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6"/>
        <w:gridCol w:w="1364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Feeling_sad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(13%)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 (40%)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Crying_more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(51%)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 (23%)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Loss_of_interest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 (43%)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Less_time_friends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(44%)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 (32%)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Sleep_problems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(37%)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(34%)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Appetite_changes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 (48%)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</w:tr>
      <w:tr>
        <w:trPr>
          <w:trHeight w:val="57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(52%)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</w:tr>
      <w:tr>
        <w:trPr>
          <w:trHeight w:val="61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Feeling_bad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(44%)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574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 (48%)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(29%)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Self_harm_thoughts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 (46%)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2026-01-18T15:51:11Z</dcterms:modified>
  <cp:category/>
</cp:coreProperties>
</file>