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6"/>
        <w:gridCol w:w="136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Feeling_sad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 (45%)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Crying_more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(9.0%)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 (47%)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(9.8%)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Loss_of_interest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(24%)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 (33%)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(29%)</w:t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Less_time_friends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(42%)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(16%)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Sleep_problems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 (28%)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Appetite_changes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(17%)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 (39%)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57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(16%)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(43%)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61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Feeling_bad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(23%)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(37%)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(25%)</w:t>
            </w:r>
          </w:p>
        </w:tc>
      </w:tr>
      <w:tr>
        <w:trPr>
          <w:trHeight w:val="57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(21%)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(40%)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Self_harm_thoughts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(17%)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 (35%)</w:t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2026-01-06T17:52:33Z</dcterms:modified>
  <cp:category/>
</cp:coreProperties>
</file>