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6"/>
        <w:gridCol w:w="1364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 sad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 (45%)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Crying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(9.0%)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 (47%)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(9.8%)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Loss of 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 (24%)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 (33%)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(29%)</w:t>
            </w:r>
          </w:p>
        </w:tc>
      </w:tr>
      <w:tr>
        <w:trPr>
          <w:trHeight w:val="57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Less time with friends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(42%)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(16%)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Sleep problems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 (28%)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Appetite changes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(17%)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 (39%)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</w:tr>
      <w:tr>
        <w:trPr>
          <w:trHeight w:val="57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(20%)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(16%)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(43%)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(20%)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 bad about self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 (23%)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(37%)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(25%)</w:t>
            </w:r>
          </w:p>
        </w:tc>
      </w:tr>
      <w:tr>
        <w:trPr>
          <w:trHeight w:val="615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 problems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(21%)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 (40%)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Thoughts of self-harm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(17%)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 (35%)</w:t>
            </w:r>
          </w:p>
        </w:tc>
      </w:tr>
      <w:tr>
        <w:trPr>
          <w:trHeight w:val="617" w:hRule="auto"/>
        </w:trPr>
        body52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(20%)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2026-01-06T17:37:49Z</dcterms:modified>
  <cp:category/>
</cp:coreProperties>
</file>