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6"/>
        <w:gridCol w:w="1364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Feeling_sad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 (45%)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Crying_more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(9.0%)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 (47%)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(9.8%)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(19%)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Loss_of_interest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(24%)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 (33%)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(29%)</w:t>
            </w:r>
          </w:p>
        </w:tc>
      </w:tr>
      <w:tr>
        <w:trPr>
          <w:trHeight w:val="61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Less_time_friends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(42%)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Sleep_problems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(20%)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 (28%)</w:t>
            </w:r>
          </w:p>
        </w:tc>
      </w:tr>
      <w:tr>
        <w:trPr>
          <w:trHeight w:val="61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Appetite_changes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(26%)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(17%)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 (39%)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(18%)</w:t>
            </w:r>
          </w:p>
        </w:tc>
      </w:tr>
      <w:tr>
        <w:trPr>
          <w:trHeight w:val="57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(43%)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61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Feeling_bad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 (23%)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(15%)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(25%)</w:t>
            </w:r>
          </w:p>
        </w:tc>
      </w:tr>
      <w:tr>
        <w:trPr>
          <w:trHeight w:val="57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(21%)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(14%)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(40%)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(25%)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Self_harm_thoughts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More than half the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(27%)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Nearly every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(17%)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 (35%)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Several 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(20%)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2026-01-07T11:24:52Z</dcterms:modified>
  <cp:category/>
</cp:coreProperties>
</file>