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eiryo" w:hAnsi="Meiryo" w:eastAsia="Meiryo"/>
          <w:b/>
          <w:color w:val="1F3A5F"/>
          <w:sz w:val="32"/>
        </w:rPr>
        <w:t>プロキシが認められなかった場合の代替案</w:t>
      </w:r>
    </w:p>
    <w:p>
      <w:pPr>
        <w:jc w:val="right"/>
      </w:pPr>
      <w:r>
        <w:rPr>
          <w:rFonts w:ascii="Meiryo" w:hAnsi="Meiryo" w:eastAsia="Meiryo"/>
          <w:b w:val="0"/>
          <w:sz w:val="18"/>
        </w:rPr>
        <w:t>2026年10月11日　／　提案者：＿＿＿＿＿＿　／　「ポケモンカードを使った集団遊び」企画書の補足資料</w:t>
      </w:r>
    </w:p>
    <w:p>
      <w:pPr>
        <w:keepNext/>
        <w:spacing w:before="160"/>
      </w:pPr>
      <w:r>
        <w:rPr>
          <w:rFonts w:ascii="Meiryo" w:hAnsi="Meiryo" w:eastAsia="Meiryo"/>
          <w:b/>
          <w:color w:val="1F3A5F"/>
          <w:sz w:val="23"/>
        </w:rPr>
        <w:t>1. 考え方</w:t>
      </w:r>
    </w:p>
    <w:p>
      <w:r>
        <w:rPr>
          <w:rFonts w:ascii="Meiryo" w:hAnsi="Meiryo" w:eastAsia="Meiryo"/>
          <w:b w:val="0"/>
        </w:rPr>
        <w:t>この活動のねらいは、「子ども同士で関わる機会を増やすこと」と「日中の活動の選択肢を広げること」です。カードの形が変わっても、このねらいは変わりません。プロキシ（代用カード）が認められなかった場合は、下の案に切り替えて、活動を続けられるようにします。</w:t>
      </w:r>
    </w:p>
    <w:p>
      <w:pPr>
        <w:keepNext/>
        <w:spacing w:before="160"/>
      </w:pPr>
      <w:r>
        <w:rPr>
          <w:rFonts w:ascii="Meiryo" w:hAnsi="Meiryo" w:eastAsia="Meiryo"/>
          <w:b/>
          <w:color w:val="1F3A5F"/>
          <w:sz w:val="23"/>
        </w:rPr>
        <w:t>2. 代替案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7B8794"/>
          <w:left w:val="single" w:sz="6" w:color="7B8794"/>
          <w:bottom w:val="single" w:sz="6" w:color="7B8794"/>
          <w:right w:val="single" w:sz="6" w:color="7B8794"/>
          <w:insideH w:val="single" w:sz="6" w:color="7B8794"/>
          <w:insideV w:val="single" w:sz="6" w:color="7B8794"/>
        </w:tblBorders>
      </w:tblPr>
      <w:tblGrid>
        <w:gridCol w:w="1531"/>
        <w:gridCol w:w="2920"/>
        <w:gridCol w:w="2920"/>
        <w:gridCol w:w="2920"/>
      </w:tblGrid>
      <w:tr>
        <w:tc>
          <w:tcPr>
            <w:tcW w:type="dxa" w:w="1531"/>
            <w:vAlign w:val="top"/>
          </w:tcPr>
          <w:p>
            <w:r/>
            <w:r>
              <w:rPr>
                <w:rFonts w:ascii="Meiryo" w:hAnsi="Meiryo" w:eastAsia="Meiryo"/>
                <w:b/>
                <w:sz w:val="19"/>
              </w:rPr>
            </w:r>
          </w:p>
        </w:tc>
        <w:tc>
          <w:tcPr>
            <w:tcW w:type="dxa" w:w="2920"/>
            <w:vAlign w:val="top"/>
            <w:shd w:val="clear" w:color="auto" w:fill="1F3A5F"/>
          </w:tcPr>
          <w:p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案A　オリジナルカード</w:t>
            </w:r>
          </w:p>
        </w:tc>
        <w:tc>
          <w:tcPr>
            <w:tcW w:type="dxa" w:w="2920"/>
            <w:vAlign w:val="top"/>
            <w:shd w:val="clear" w:color="auto" w:fill="1F3A5F"/>
          </w:tcPr>
          <w:p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案B　公式の素材を使ったカード</w:t>
            </w:r>
          </w:p>
        </w:tc>
        <w:tc>
          <w:tcPr>
            <w:tcW w:type="dxa" w:w="2920"/>
            <w:vAlign w:val="top"/>
            <w:shd w:val="clear" w:color="auto" w:fill="1F3A5F"/>
          </w:tcPr>
          <w:p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案C　本物のカードを少数用意</w:t>
            </w:r>
          </w:p>
        </w:tc>
      </w:tr>
      <w:tr>
        <w:tc>
          <w:tcPr>
            <w:tcW w:type="dxa" w:w="1531"/>
            <w:vAlign w:val="top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  <w:tc>
          <w:tcPr>
            <w:tcW w:type="dxa" w:w="2920"/>
            <w:vAlign w:val="top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子どもが考えたキャラクター（手描き・ChatGPTなど）で、カードを作る。ポケモンの名前や絵は使わない。</w:t>
            </w:r>
          </w:p>
        </w:tc>
        <w:tc>
          <w:tcPr>
            <w:tcW w:type="dxa" w:w="2920"/>
            <w:vAlign w:val="top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公式が教育・保育施設向けに配っているイラスト素材（ポケモン イラストラボ）で、カードの絵を作る。</w:t>
            </w:r>
          </w:p>
        </w:tc>
        <w:tc>
          <w:tcPr>
            <w:tcW w:type="dxa" w:w="2920"/>
            <w:vAlign w:val="top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公式のスターターセットなどを、少数購入する。職員が管理し、事業所内で遊ぶ。</w:t>
            </w:r>
          </w:p>
        </w:tc>
      </w:tr>
      <w:tr>
        <w:tc>
          <w:tcPr>
            <w:tcW w:type="dxa" w:w="1531"/>
            <w:vAlign w:val="top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費用のめやす</w:t>
            </w:r>
          </w:p>
        </w:tc>
        <w:tc>
          <w:tcPr>
            <w:tcW w:type="dxa" w:w="2920"/>
            <w:vAlign w:val="top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台紙（100円ショップのカードやトランプ）、印刷代、スリーブ。企画書の予算（約1,000円）内で始められる。</w:t>
            </w:r>
          </w:p>
        </w:tc>
        <w:tc>
          <w:tcPr>
            <w:tcW w:type="dxa" w:w="2920"/>
            <w:vAlign w:val="top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印刷代、スリーブ。予算内。</w:t>
            </w:r>
          </w:p>
        </w:tc>
        <w:tc>
          <w:tcPr>
            <w:tcW w:type="dxa" w:w="2920"/>
            <w:vAlign w:val="top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予算が増える。価格は、購入前に確認する。</w:t>
            </w:r>
          </w:p>
        </w:tc>
      </w:tr>
      <w:tr>
        <w:tc>
          <w:tcPr>
            <w:tcW w:type="dxa" w:w="1531"/>
            <w:vAlign w:val="top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よい点</w:t>
            </w:r>
          </w:p>
        </w:tc>
        <w:tc>
          <w:tcPr>
            <w:tcW w:type="dxa" w:w="2920"/>
            <w:vAlign w:val="top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権利の問題が小さい。子どもが自分で考えるので、愛着が出る。すでにテンプレートがある。</w:t>
            </w:r>
          </w:p>
        </w:tc>
        <w:tc>
          <w:tcPr>
            <w:tcW w:type="dxa" w:w="2920"/>
            <w:vAlign w:val="top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公式の絵を使えるので、子どもが親しみやすい。</w:t>
            </w:r>
          </w:p>
        </w:tc>
        <w:tc>
          <w:tcPr>
            <w:tcW w:type="dxa" w:w="2920"/>
            <w:vAlign w:val="top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権利の問題がない。子どもの興味に最も近い。</w:t>
            </w:r>
          </w:p>
        </w:tc>
      </w:tr>
      <w:tr>
        <w:tc>
          <w:tcPr>
            <w:tcW w:type="dxa" w:w="1531"/>
            <w:vAlign w:val="top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注意点</w:t>
            </w:r>
          </w:p>
        </w:tc>
        <w:tc>
          <w:tcPr>
            <w:tcW w:type="dxa" w:w="2920"/>
            <w:vAlign w:val="top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本物のポケモンカードとは別の遊びになる。ChatGPTを使う場合は、年齢条件を確認する。</w:t>
            </w:r>
          </w:p>
        </w:tc>
        <w:tc>
          <w:tcPr>
            <w:tcW w:type="dxa" w:w="2920"/>
            <w:vAlign w:val="top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放課後等デイサービスが、素材の対象施設に入るか、確認できていない。利用規約の確認が必要。</w:t>
            </w:r>
          </w:p>
        </w:tc>
        <w:tc>
          <w:tcPr>
            <w:tcW w:type="dxa" w:w="2920"/>
            <w:vAlign w:val="top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費用が増える。紛失や破損、カードの取り合いに気をつける。上司の承認が必要。</w:t>
            </w:r>
          </w:p>
        </w:tc>
      </w:tr>
    </w:tbl>
    <w:p>
      <w:pPr>
        <w:keepNext/>
        <w:spacing w:before="160"/>
      </w:pPr>
      <w:r>
        <w:rPr>
          <w:rFonts w:ascii="Meiryo" w:hAnsi="Meiryo" w:eastAsia="Meiryo"/>
          <w:b/>
          <w:color w:val="1F3A5F"/>
          <w:sz w:val="23"/>
        </w:rPr>
        <w:t>3. おすすめの進め方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まず、公式（株式会社ポケモン）に、プロキシ作成が可能かどうかを問い合わせる。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認められなかった場合は、案A（オリジナルカード）で活動を始める。予算内で、すぐに始められる。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活動の様子を見て、続けられそうなら、案B（公式の素材）や案C（本物のカード）を、改めて上司に相談する。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ルールは、企画書のとおり、最初は簡単なルールから始め、続けていけそうなら公式ルールに変えていく。</w:t>
      </w:r>
    </w:p>
    <w:p>
      <w:pPr>
        <w:keepNext/>
        <w:spacing w:before="160"/>
      </w:pPr>
      <w:r>
        <w:rPr>
          <w:rFonts w:ascii="Meiryo" w:hAnsi="Meiryo" w:eastAsia="Meiryo"/>
          <w:b/>
          <w:color w:val="1F3A5F"/>
          <w:sz w:val="23"/>
        </w:rPr>
        <w:t>4. 変わらないこと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対象（自立度の高い小学生〜高校生）、少人数、週1〜2回、30分程度、という進め方。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ルール早見表、プレイシート、約束ポスター、活動の記録シート（そのまま使えます）。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職員向けの勉強会（提案者が主催）と、トラブルへの対応方法の話し合い。</w:t>
      </w:r>
    </w:p>
    <w:p>
      <w:pPr>
        <w:keepNext/>
        <w:spacing w:before="160"/>
      </w:pPr>
      <w:r>
        <w:rPr>
          <w:rFonts w:ascii="Meiryo" w:hAnsi="Meiryo" w:eastAsia="Meiryo"/>
          <w:b/>
          <w:color w:val="1F3A5F"/>
          <w:sz w:val="23"/>
        </w:rPr>
        <w:t>5. 確認してもらいたいこと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プロキシが認められない場合に、案Aで始めてよいか。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案B・案Cを、将来の候補として考えてよいか。</w:t>
      </w:r>
    </w:p>
    <w:sectPr w:rsidR="00FC693F" w:rsidRPr="0006063C" w:rsidSect="00034616">
      <w:pgSz w:w="11906" w:h="16838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9" w:lineRule="auto"/>
    </w:pPr>
    <w:rPr>
      <w:rFonts w:ascii="Meiryo" w:hAnsi="Meiryo" w:eastAsia="Meiry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