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560"/>
        <w:jc w:val="center"/>
      </w:pPr>
      <w:r>
        <w:rPr>
          <w:b/>
          <w:color w:val="2F6B9A"/>
          <w:sz w:val="28"/>
        </w:rPr>
        <w:t>ULTITECH ERP</w:t>
      </w:r>
    </w:p>
    <w:p>
      <w:pPr>
        <w:pStyle w:val="Title"/>
        <w:widowControl/>
        <w:jc w:val="center"/>
      </w:pPr>
      <w:r>
        <w:t>AI Agent Automation</w:t>
        <w:br/>
        <w:t>Blueprint</w:t>
      </w:r>
    </w:p>
    <w:p>
      <w:pPr>
        <w:widowControl/>
        <w:jc w:val="center"/>
      </w:pPr>
      <w:r>
        <w:rPr>
          <w:color w:val="66727C"/>
          <w:sz w:val="26"/>
        </w:rPr>
        <w:t>Automating repetitive ERP recording, monitoring, decision support, and safe actions</w:t>
      </w:r>
    </w:p>
    <w:tbl>
      <w:tblPr>
        <w:tblStyle w:val="TableGrid"/>
        <w:tblW w:type="auto" w:w="0"/>
        <w:jc w:val="center"/>
        <w:tblLook w:firstColumn="1" w:firstRow="1" w:lastColumn="0" w:lastRow="0" w:noHBand="0" w:noVBand="1" w:val="04A0"/>
      </w:tblPr>
      <w:tblGrid>
        <w:gridCol w:w="4997"/>
        <w:gridCol w:w="4997"/>
      </w:tblGrid>
      <w:tr>
        <w:tc>
          <w:tcPr>
            <w:tcW w:type="dxa" w:w="4997"/>
            <w:shd w:fill="F7FAFC"/>
            <w:vAlign w:val="center"/>
            <w:tcBorders>
              <w:top w:sz="4" w:val="single" w:color="D7E3EC"/>
              <w:left w:sz="4" w:val="single" w:color="D7E3EC"/>
              <w:bottom w:sz="4" w:val="single" w:color="D7E3EC"/>
              <w:right w:sz="4" w:val="single" w:color="D7E3EC"/>
            </w:tcBorders>
          </w:tcPr>
          <w:p>
            <w:pPr>
              <w:spacing w:after="40"/>
            </w:pPr>
            <w:r>
              <w:rPr>
                <w:b/>
                <w:color w:val="25313A"/>
                <w:sz w:val="18"/>
              </w:rPr>
              <w:t>System</w:t>
            </w:r>
          </w:p>
        </w:tc>
        <w:tc>
          <w:tcPr>
            <w:tcW w:type="dxa" w:w="4997"/>
            <w:shd w:fill="F7FAFC"/>
            <w:vAlign w:val="center"/>
            <w:tcBorders>
              <w:top w:sz="4" w:val="single" w:color="D7E3EC"/>
              <w:left w:sz="4" w:val="single" w:color="D7E3EC"/>
              <w:bottom w:sz="4" w:val="single" w:color="D7E3EC"/>
              <w:right w:sz="4" w:val="single" w:color="D7E3EC"/>
            </w:tcBorders>
          </w:tcPr>
          <w:p>
            <w:pPr>
              <w:spacing w:after="40"/>
            </w:pPr>
            <w:r>
              <w:rPr>
                <w:color w:val="25313A"/>
                <w:sz w:val="18"/>
              </w:rPr>
              <w:t>Ultitech ERP</w:t>
            </w:r>
          </w:p>
        </w:tc>
      </w:tr>
      <w:tr>
        <w:tc>
          <w:tcPr>
            <w:tcW w:type="dxa" w:w="4997"/>
            <w:shd w:fill="17324D"/>
            <w:vAlign w:val="center"/>
            <w:tcBorders>
              <w:top w:sz="4" w:val="single" w:color="D7E3EC"/>
              <w:left w:sz="4" w:val="single" w:color="D7E3EC"/>
              <w:bottom w:sz="4" w:val="single" w:color="D7E3EC"/>
              <w:right w:sz="4" w:val="single" w:color="D7E3EC"/>
            </w:tcBorders>
          </w:tcPr>
          <w:p>
            <w:pPr>
              <w:spacing w:after="40"/>
            </w:pPr>
            <w:r>
              <w:rPr>
                <w:b/>
                <w:color w:val="25313A"/>
                <w:sz w:val="18"/>
              </w:rPr>
              <w:t>Architecture</w:t>
            </w:r>
          </w:p>
        </w:tc>
        <w:tc>
          <w:tcPr>
            <w:tcW w:type="dxa" w:w="4997"/>
            <w:shd w:fill="F7FAFC"/>
            <w:vAlign w:val="center"/>
            <w:tcBorders>
              <w:top w:sz="4" w:val="single" w:color="D7E3EC"/>
              <w:left w:sz="4" w:val="single" w:color="D7E3EC"/>
              <w:bottom w:sz="4" w:val="single" w:color="D7E3EC"/>
              <w:right w:sz="4" w:val="single" w:color="D7E3EC"/>
            </w:tcBorders>
          </w:tcPr>
          <w:p>
            <w:pPr>
              <w:spacing w:after="40"/>
            </w:pPr>
            <w:r>
              <w:rPr>
                <w:color w:val="25313A"/>
                <w:sz w:val="18"/>
              </w:rPr>
              <w:t>PHP 8.x + MySQL/MariaDB + Apache; control DB + tenant databases</w:t>
            </w:r>
          </w:p>
        </w:tc>
      </w:tr>
      <w:tr>
        <w:tc>
          <w:tcPr>
            <w:tcW w:type="dxa" w:w="4997"/>
            <w:shd w:fill="F7FAFC"/>
            <w:vAlign w:val="center"/>
            <w:tcBorders>
              <w:top w:sz="4" w:val="single" w:color="D7E3EC"/>
              <w:left w:sz="4" w:val="single" w:color="D7E3EC"/>
              <w:bottom w:sz="4" w:val="single" w:color="D7E3EC"/>
              <w:right w:sz="4" w:val="single" w:color="D7E3EC"/>
            </w:tcBorders>
          </w:tcPr>
          <w:p>
            <w:pPr>
              <w:spacing w:after="40"/>
            </w:pPr>
            <w:r>
              <w:rPr>
                <w:b/>
                <w:color w:val="25313A"/>
                <w:sz w:val="18"/>
              </w:rPr>
              <w:t>Companies documented</w:t>
            </w:r>
          </w:p>
        </w:tc>
        <w:tc>
          <w:tcPr>
            <w:tcW w:type="dxa" w:w="4997"/>
            <w:shd w:fill="F7FAFC"/>
            <w:vAlign w:val="center"/>
            <w:tcBorders>
              <w:top w:sz="4" w:val="single" w:color="D7E3EC"/>
              <w:left w:sz="4" w:val="single" w:color="D7E3EC"/>
              <w:bottom w:sz="4" w:val="single" w:color="D7E3EC"/>
              <w:right w:sz="4" w:val="single" w:color="D7E3EC"/>
            </w:tcBorders>
          </w:tcPr>
          <w:p>
            <w:pPr>
              <w:spacing w:after="40"/>
            </w:pPr>
            <w:r>
              <w:rPr>
                <w:color w:val="25313A"/>
                <w:sz w:val="18"/>
              </w:rPr>
              <w:t>Ultimate General Trading and Roadmaster</w:t>
            </w:r>
          </w:p>
        </w:tc>
      </w:tr>
      <w:tr>
        <w:tc>
          <w:tcPr>
            <w:tcW w:type="dxa" w:w="4997"/>
            <w:shd w:fill="17324D"/>
            <w:vAlign w:val="center"/>
            <w:tcBorders>
              <w:top w:sz="4" w:val="single" w:color="D7E3EC"/>
              <w:left w:sz="4" w:val="single" w:color="D7E3EC"/>
              <w:bottom w:sz="4" w:val="single" w:color="D7E3EC"/>
              <w:right w:sz="4" w:val="single" w:color="D7E3EC"/>
            </w:tcBorders>
          </w:tcPr>
          <w:p>
            <w:pPr>
              <w:spacing w:after="40"/>
            </w:pPr>
            <w:r>
              <w:rPr>
                <w:b/>
                <w:color w:val="25313A"/>
                <w:sz w:val="18"/>
              </w:rPr>
              <w:t>Source basis</w:t>
            </w:r>
          </w:p>
        </w:tc>
        <w:tc>
          <w:tcPr>
            <w:tcW w:type="dxa" w:w="4997"/>
            <w:shd w:fill="F7FAFC"/>
            <w:vAlign w:val="center"/>
            <w:tcBorders>
              <w:top w:sz="4" w:val="single" w:color="D7E3EC"/>
              <w:left w:sz="4" w:val="single" w:color="D7E3EC"/>
              <w:bottom w:sz="4" w:val="single" w:color="D7E3EC"/>
              <w:right w:sz="4" w:val="single" w:color="D7E3EC"/>
            </w:tcBorders>
          </w:tcPr>
          <w:p>
            <w:pPr>
              <w:spacing w:after="40"/>
            </w:pPr>
            <w:r>
              <w:rPr>
                <w:color w:val="25313A"/>
                <w:sz w:val="18"/>
              </w:rPr>
              <w:t>Provided Ultitech ERP README; future integrations are clearly identified as additions</w:t>
            </w:r>
          </w:p>
        </w:tc>
      </w:tr>
    </w:tbl>
    <w:p>
      <w:pPr>
        <w:widowControl/>
      </w:pPr>
    </w:p>
    <w:p>
      <w:pPr>
        <w:widowControl/>
        <w:jc w:val="center"/>
      </w:pPr>
      <w:r>
        <w:rPr>
          <w:i/>
          <w:color w:val="66727C"/>
          <w:sz w:val="18"/>
        </w:rPr>
        <w:t>Prepared for AI-agent planning and implementation</w:t>
      </w:r>
    </w:p>
    <w:p>
      <w:pPr>
        <w:widowControl/>
      </w:pPr>
      <w:r>
        <w:br w:type="page"/>
      </w:r>
    </w:p>
    <w:p>
      <w:pPr>
        <w:pStyle w:val="Heading1"/>
        <w:keepNext/>
        <w:widowControl/>
      </w:pPr>
      <w:r>
        <w:t>Contents</w:t>
      </w:r>
    </w:p>
    <w:p>
      <w:pPr>
        <w:widowControl/>
        <w:spacing w:after="60"/>
      </w:pPr>
      <w:r>
        <w:t>1. Executive Summary</w:t>
      </w:r>
    </w:p>
    <w:p>
      <w:pPr>
        <w:widowControl/>
        <w:spacing w:after="60"/>
      </w:pPr>
      <w:r>
        <w:t>2. What the AI Agent Should Do</w:t>
      </w:r>
    </w:p>
    <w:p>
      <w:pPr>
        <w:widowControl/>
        <w:spacing w:after="60"/>
      </w:pPr>
      <w:r>
        <w:t>3. Automation Opportunities by ERP Area</w:t>
      </w:r>
    </w:p>
    <w:p>
      <w:pPr>
        <w:widowControl/>
        <w:spacing w:after="60"/>
      </w:pPr>
      <w:r>
        <w:t>4. External Information Ingestion</w:t>
      </w:r>
    </w:p>
    <w:p>
      <w:pPr>
        <w:widowControl/>
        <w:spacing w:after="60"/>
      </w:pPr>
      <w:r>
        <w:t>5. ERP Monitoring and Proactive Work</w:t>
      </w:r>
    </w:p>
    <w:p>
      <w:pPr>
        <w:widowControl/>
        <w:spacing w:after="60"/>
      </w:pPr>
      <w:r>
        <w:t>6. Administrative Automation</w:t>
      </w:r>
    </w:p>
    <w:p>
      <w:pPr>
        <w:widowControl/>
        <w:spacing w:after="60"/>
      </w:pPr>
      <w:r>
        <w:t>7. AI-Generated Reports and Insights</w:t>
      </w:r>
    </w:p>
    <w:p>
      <w:pPr>
        <w:widowControl/>
        <w:spacing w:after="60"/>
      </w:pPr>
      <w:r>
        <w:t>8. Error and Anomaly Detection</w:t>
      </w:r>
    </w:p>
    <w:p>
      <w:pPr>
        <w:widowControl/>
        <w:spacing w:after="60"/>
      </w:pPr>
      <w:r>
        <w:t>9. Human Approval and Safety Model</w:t>
      </w:r>
    </w:p>
    <w:p>
      <w:pPr>
        <w:widowControl/>
        <w:spacing w:after="60"/>
      </w:pPr>
      <w:r>
        <w:t>10. Recommended Ultitech Agent Architecture</w:t>
      </w:r>
    </w:p>
    <w:p>
      <w:pPr>
        <w:widowControl/>
        <w:spacing w:after="60"/>
      </w:pPr>
      <w:r>
        <w:t>11. Recommended First Implementation Phase</w:t>
      </w:r>
    </w:p>
    <w:p>
      <w:pPr>
        <w:widowControl/>
        <w:spacing w:after="60"/>
      </w:pPr>
      <w:r>
        <w:t>12. Target Operating Model</w:t>
      </w:r>
    </w:p>
    <w:p>
      <w:pPr>
        <w:widowControl/>
        <w:spacing w:after="60"/>
      </w:pPr>
      <w:r>
        <w:t>13. Source and Scope Notes</w:t>
      </w:r>
    </w:p>
    <w:tbl>
      <w:tblPr>
        <w:tblW w:type="auto" w:w="0"/>
        <w:tblLayout w:type="autofit"/>
        <w:tblLook w:firstColumn="1" w:firstRow="1" w:lastColumn="0" w:lastRow="0" w:noHBand="0" w:noVBand="1" w:val="04A0"/>
      </w:tblPr>
      <w:tblGrid>
        <w:gridCol w:w="9994"/>
      </w:tblGrid>
      <w:tr>
        <w:tc>
          <w:tcPr>
            <w:tcW w:type="dxa" w:w="9994"/>
            <w:shd w:fill="EEF4F8"/>
            <w:tcBorders>
              <w:top w:sz="4" w:val="single" w:color="D7E3EC"/>
              <w:left w:sz="20" w:val="single" w:color="2F6B9A"/>
              <w:bottom w:sz="4" w:val="single" w:color="D7E3EC"/>
              <w:right w:sz="4" w:val="single" w:color="D7E3EC"/>
            </w:tcBorders>
          </w:tcPr>
          <w:p>
            <w:pPr>
              <w:spacing w:after="40"/>
            </w:pPr>
            <w:r>
              <w:rPr>
                <w:b/>
                <w:color w:val="2F6B9A"/>
                <w:sz w:val="21"/>
              </w:rPr>
              <w:t>Core principle</w:t>
            </w:r>
          </w:p>
          <w:p>
            <w:pPr>
              <w:spacing w:after="0"/>
            </w:pPr>
            <w:r>
              <w:rPr>
                <w:sz w:val="19"/>
              </w:rPr>
              <w:t>The AI agent should not simply fill forms faster. It should observe business events, understand information, decide what action is required, and use controlled ERP tools to create or update records safely.</w:t>
            </w:r>
          </w:p>
        </w:tc>
      </w:tr>
    </w:tbl>
    <w:p>
      <w:pPr>
        <w:widowControl/>
        <w:spacing w:after="0"/>
      </w:pPr>
    </w:p>
    <w:p>
      <w:pPr>
        <w:widowControl/>
      </w:pPr>
      <w:r>
        <w:br w:type="page"/>
      </w:r>
    </w:p>
    <w:p>
      <w:pPr>
        <w:pStyle w:val="Heading1"/>
        <w:keepNext/>
        <w:widowControl/>
      </w:pPr>
      <w:r>
        <w:t>1. Executive Summary</w:t>
      </w:r>
    </w:p>
    <w:p>
      <w:pPr>
        <w:pStyle w:val="BodyText"/>
        <w:widowControl/>
        <w:spacing w:after="120" w:line="259" w:lineRule="auto"/>
      </w:pPr>
      <w:r>
        <w:t>Ultitech ERP is already organized around a multi-company structure with a central control database and separate tenant databases for operational data. The README documents PHP 8.x, MySQL/MariaDB, Apache, company-specific routing, centralized login indexing, payment vouchers, sales, stock, procurement-related operational data, meetings, and notifications.</w:t>
      </w:r>
    </w:p>
    <w:p>
      <w:pPr>
        <w:pStyle w:val="BodyText"/>
        <w:widowControl/>
        <w:spacing w:after="120" w:line="259" w:lineRule="auto"/>
      </w:pPr>
      <w:r>
        <w:t>That architecture provides a practical foundation for introducing an AI agent. The strongest opportunity is to move repetitive work away from manual recording and toward event-driven automation: the agent watches for business events, gathers information from approved sources, prepares transactions, performs safe actions, and asks a human to approve high-impact financial or administrative decisions.</w:t>
      </w:r>
    </w:p>
    <w:p>
      <w:pPr>
        <w:pStyle w:val="BodyText"/>
        <w:widowControl/>
        <w:spacing w:after="120" w:line="259" w:lineRule="auto"/>
      </w:pPr>
      <w:r>
        <w:t>The goal is not to remove people from the ERP. The goal is to make people spend less time entering repetitive data and more time reviewing exceptions, approving consequential actions, and making business decisions.</w:t>
      </w:r>
    </w:p>
    <w:tbl>
      <w:tblPr>
        <w:tblW w:type="auto" w:w="0"/>
        <w:tblLayout w:type="autofit"/>
        <w:tblLook w:firstColumn="1" w:firstRow="1" w:lastColumn="0" w:lastRow="0" w:noHBand="0" w:noVBand="1" w:val="04A0"/>
      </w:tblPr>
      <w:tblGrid>
        <w:gridCol w:w="9994"/>
      </w:tblGrid>
      <w:tr>
        <w:tc>
          <w:tcPr>
            <w:tcW w:type="dxa" w:w="9994"/>
            <w:shd w:fill="EEF4F8"/>
            <w:tcBorders>
              <w:top w:sz="4" w:val="single" w:color="D7E3EC"/>
              <w:left w:sz="20" w:val="single" w:color="2F6B9A"/>
              <w:bottom w:sz="4" w:val="single" w:color="D7E3EC"/>
              <w:right w:sz="4" w:val="single" w:color="D7E3EC"/>
            </w:tcBorders>
          </w:tcPr>
          <w:p>
            <w:pPr>
              <w:spacing w:after="40"/>
            </w:pPr>
            <w:r>
              <w:rPr>
                <w:b/>
                <w:color w:val="2F6B9A"/>
                <w:sz w:val="21"/>
              </w:rPr>
              <w:t>Important distinction</w:t>
            </w:r>
          </w:p>
          <w:p>
            <w:pPr>
              <w:spacing w:after="0"/>
            </w:pPr>
            <w:r>
              <w:rPr>
                <w:sz w:val="19"/>
              </w:rPr>
              <w:t>The README documents the current ERP structure. Email, WhatsApp, banking APIs, and document-ingestion connectors are not documented there, so those capabilities should be treated as future integrations rather than existing system functions.</w:t>
            </w:r>
          </w:p>
        </w:tc>
      </w:tr>
    </w:tbl>
    <w:p>
      <w:pPr>
        <w:widowControl/>
        <w:spacing w:after="0"/>
      </w:pPr>
    </w:p>
    <w:p>
      <w:pPr>
        <w:pStyle w:val="Heading1"/>
        <w:keepNext/>
        <w:widowControl/>
      </w:pPr>
      <w:r>
        <w:t>2. What the AI Agent Should Do</w:t>
      </w:r>
    </w:p>
    <w:p>
      <w:pPr>
        <w:pStyle w:val="BodyText"/>
        <w:widowControl/>
        <w:spacing w:after="120" w:line="259" w:lineRule="auto"/>
      </w:pPr>
      <w:r>
        <w:t>A useful ERP agent can be designed around four stages: observe, understand, act, and report.</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223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OBSERVE</w:t>
            </w:r>
          </w:p>
        </w:tc>
        <w:tc>
          <w:tcPr>
            <w:tcW w:type="dxa" w:w="223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UNDERSTAND</w:t>
            </w:r>
          </w:p>
        </w:tc>
        <w:tc>
          <w:tcPr>
            <w:tcW w:type="dxa" w:w="223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ACT</w:t>
            </w:r>
          </w:p>
        </w:tc>
        <w:tc>
          <w:tcPr>
            <w:tcW w:type="dxa" w:w="223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REPORT</w:t>
            </w:r>
          </w:p>
        </w:tc>
      </w:tr>
      <w:tr>
        <w:tc>
          <w:tcPr>
            <w:tcW w:type="dxa" w:w="2232"/>
            <w:vAlign w:val="center"/>
            <w:tcBorders>
              <w:top w:sz="4" w:val="single" w:color="D7E3EC"/>
              <w:left w:sz="4" w:val="single" w:color="D7E3EC"/>
              <w:bottom w:sz="4" w:val="single" w:color="D7E3EC"/>
              <w:right w:sz="4" w:val="single" w:color="D7E3EC"/>
            </w:tcBorders>
          </w:tcPr>
          <w:p>
            <w:pPr>
              <w:spacing w:after="40"/>
            </w:pPr>
            <w:r>
              <w:rPr>
                <w:color w:val="25313A"/>
                <w:sz w:val="18"/>
              </w:rPr>
              <w:t>Detect business events and new information.</w:t>
            </w:r>
          </w:p>
        </w:tc>
        <w:tc>
          <w:tcPr>
            <w:tcW w:type="dxa" w:w="2232"/>
            <w:vAlign w:val="center"/>
            <w:tcBorders>
              <w:top w:sz="4" w:val="single" w:color="D7E3EC"/>
              <w:left w:sz="4" w:val="single" w:color="D7E3EC"/>
              <w:bottom w:sz="4" w:val="single" w:color="D7E3EC"/>
              <w:right w:sz="4" w:val="single" w:color="D7E3EC"/>
            </w:tcBorders>
          </w:tcPr>
          <w:p>
            <w:pPr>
              <w:spacing w:after="40"/>
            </w:pPr>
            <w:r>
              <w:rPr>
                <w:color w:val="25313A"/>
                <w:sz w:val="18"/>
              </w:rPr>
              <w:t>Extract facts, identify records, and determine intent.</w:t>
            </w:r>
          </w:p>
        </w:tc>
        <w:tc>
          <w:tcPr>
            <w:tcW w:type="dxa" w:w="2232"/>
            <w:vAlign w:val="center"/>
            <w:tcBorders>
              <w:top w:sz="4" w:val="single" w:color="D7E3EC"/>
              <w:left w:sz="4" w:val="single" w:color="D7E3EC"/>
              <w:bottom w:sz="4" w:val="single" w:color="D7E3EC"/>
              <w:right w:sz="4" w:val="single" w:color="D7E3EC"/>
            </w:tcBorders>
          </w:tcPr>
          <w:p>
            <w:pPr>
              <w:spacing w:after="40"/>
            </w:pPr>
            <w:r>
              <w:rPr>
                <w:color w:val="25313A"/>
                <w:sz w:val="18"/>
              </w:rPr>
              <w:t>Call approved ERP tools to create, update, notify, or route work.</w:t>
            </w:r>
          </w:p>
        </w:tc>
        <w:tc>
          <w:tcPr>
            <w:tcW w:type="dxa" w:w="2232"/>
            <w:vAlign w:val="center"/>
            <w:tcBorders>
              <w:top w:sz="4" w:val="single" w:color="D7E3EC"/>
              <w:left w:sz="4" w:val="single" w:color="D7E3EC"/>
              <w:bottom w:sz="4" w:val="single" w:color="D7E3EC"/>
              <w:right w:sz="4" w:val="single" w:color="D7E3EC"/>
            </w:tcBorders>
          </w:tcPr>
          <w:p>
            <w:pPr>
              <w:spacing w:after="40"/>
            </w:pPr>
            <w:r>
              <w:rPr>
                <w:color w:val="25313A"/>
                <w:sz w:val="18"/>
              </w:rPr>
              <w:t>Explain what happened, what needs approval, and what remains unresolved.</w:t>
            </w:r>
          </w:p>
        </w:tc>
      </w:tr>
    </w:tbl>
    <w:p>
      <w:pPr>
        <w:pStyle w:val="Heading2"/>
        <w:keepNext/>
        <w:widowControl/>
      </w:pPr>
      <w:r>
        <w:t>Examples of the operating model</w:t>
      </w:r>
    </w:p>
    <w:p>
      <w:pPr>
        <w:pStyle w:val="ListBullet"/>
        <w:widowControl/>
        <w:spacing w:after="60"/>
        <w:ind w:left="360"/>
      </w:pPr>
      <w:r>
        <w:t>A supplier invoice arrives -&gt; the agent extracts supplier, invoice number, items, amount, VAT, and due date -&gt; prepares a payment voucher draft -&gt; routes it for approval.</w:t>
      </w:r>
    </w:p>
    <w:p>
      <w:pPr>
        <w:pStyle w:val="ListBullet"/>
        <w:widowControl/>
        <w:spacing w:after="60"/>
        <w:ind w:left="360"/>
      </w:pPr>
      <w:r>
        <w:t>Stock falls below the defined minimum -&gt; the agent detects the shortage -&gt; checks usage history -&gt; prepares a procurement request -&gt; notifies procurement.</w:t>
      </w:r>
    </w:p>
    <w:p>
      <w:pPr>
        <w:pStyle w:val="ListBullet"/>
        <w:widowControl/>
        <w:spacing w:after="60"/>
        <w:ind w:left="360"/>
      </w:pPr>
      <w:r>
        <w:t>A customer asks for products -&gt; the agent identifies the customer and products -&gt; checks stock -&gt; calculates the order -&gt; creates a sales-order draft or initiates the configured workflow.</w:t>
      </w:r>
    </w:p>
    <w:p>
      <w:pPr>
        <w:pStyle w:val="ListBullet"/>
        <w:widowControl/>
        <w:spacing w:after="60"/>
        <w:ind w:left="360"/>
      </w:pPr>
      <w:r>
        <w:t>A payment appears in imported bank data -&gt; the agent matches it to an outstanding invoice -&gt; updates the relevant status or flags it for review when no reliable match exists.</w:t>
      </w:r>
    </w:p>
    <w:p>
      <w:pPr>
        <w:pStyle w:val="Heading1"/>
        <w:keepNext/>
        <w:widowControl/>
      </w:pPr>
      <w:r>
        <w:t>3. Automation Opportunities by ERP Area</w:t>
      </w:r>
    </w:p>
    <w:p>
      <w:pPr>
        <w:pStyle w:val="Heading2"/>
        <w:keepNext/>
        <w:widowControl/>
      </w:pPr>
      <w:r>
        <w:t>3.1 Finance and Payment Vouchers</w:t>
      </w:r>
    </w:p>
    <w:p>
      <w:pPr>
        <w:pStyle w:val="BodyText"/>
        <w:widowControl/>
        <w:spacing w:after="120" w:line="259" w:lineRule="auto"/>
      </w:pPr>
      <w:r>
        <w:t>Payment-voucher preparation is a strong initial automation target because the process is structured, repetitive, and approval-oriented.</w:t>
      </w:r>
    </w:p>
    <w:p>
      <w:pPr>
        <w:pStyle w:val="ListBullet"/>
        <w:widowControl/>
        <w:spacing w:after="60"/>
        <w:ind w:left="360"/>
      </w:pPr>
      <w:r>
        <w:t>Read invoices, payment requests, or other approved source documents and extract key fields.</w:t>
      </w:r>
    </w:p>
    <w:p>
      <w:pPr>
        <w:pStyle w:val="ListBullet"/>
        <w:widowControl/>
        <w:spacing w:after="60"/>
        <w:ind w:left="360"/>
      </w:pPr>
      <w:r>
        <w:t>Identify the supplier, amount, invoice number, date, reason, and supporting reference.</w:t>
      </w:r>
    </w:p>
    <w:p>
      <w:pPr>
        <w:pStyle w:val="ListBullet"/>
        <w:widowControl/>
        <w:spacing w:after="60"/>
        <w:ind w:left="360"/>
      </w:pPr>
      <w:r>
        <w:t>Create a payment-voucher draft instead of requiring manual entry of every field.</w:t>
      </w:r>
    </w:p>
    <w:p>
      <w:pPr>
        <w:pStyle w:val="ListBullet"/>
        <w:widowControl/>
        <w:spacing w:after="60"/>
        <w:ind w:left="360"/>
      </w:pPr>
      <w:r>
        <w:t>Attach the source document where the system supports document attachment.</w:t>
      </w:r>
    </w:p>
    <w:p>
      <w:pPr>
        <w:pStyle w:val="ListBullet"/>
        <w:widowControl/>
        <w:spacing w:after="60"/>
        <w:ind w:left="360"/>
      </w:pPr>
      <w:r>
        <w:t>Route the draft to the correct applicant or approver.</w:t>
      </w:r>
    </w:p>
    <w:p>
      <w:pPr>
        <w:pStyle w:val="ListBullet"/>
        <w:widowControl/>
        <w:spacing w:after="60"/>
        <w:ind w:left="360"/>
      </w:pPr>
      <w:r>
        <w:t>Notify the approver and track pending, approved, rejected, or returned states.</w:t>
      </w:r>
    </w:p>
    <w:p>
      <w:pPr>
        <w:pStyle w:val="ListBullet"/>
        <w:widowControl/>
        <w:spacing w:after="60"/>
        <w:ind w:left="360"/>
      </w:pPr>
      <w:r>
        <w:t>Flag missing information, duplicate invoice numbers, or suspicious inconsistencies before approval.</w:t>
      </w:r>
    </w:p>
    <w:p>
      <w:pPr>
        <w:pStyle w:val="Heading2"/>
        <w:keepNext/>
        <w:widowControl/>
      </w:pPr>
      <w:r>
        <w:t>3.2 Sales</w:t>
      </w:r>
    </w:p>
    <w:p>
      <w:pPr>
        <w:pStyle w:val="ListBullet"/>
        <w:widowControl/>
        <w:spacing w:after="60"/>
        <w:ind w:left="360"/>
      </w:pPr>
      <w:r>
        <w:t>Convert customer requests into sales-order or quotation drafts.</w:t>
      </w:r>
    </w:p>
    <w:p>
      <w:pPr>
        <w:pStyle w:val="ListBullet"/>
        <w:widowControl/>
        <w:spacing w:after="60"/>
        <w:ind w:left="360"/>
      </w:pPr>
      <w:r>
        <w:t>Search for the customer and product using existing ERP records.</w:t>
      </w:r>
    </w:p>
    <w:p>
      <w:pPr>
        <w:pStyle w:val="ListBullet"/>
        <w:widowControl/>
        <w:spacing w:after="60"/>
        <w:ind w:left="360"/>
      </w:pPr>
      <w:r>
        <w:t>Check available stock before creating the transaction.</w:t>
      </w:r>
    </w:p>
    <w:p>
      <w:pPr>
        <w:pStyle w:val="ListBullet"/>
        <w:widowControl/>
        <w:spacing w:after="60"/>
        <w:ind w:left="360"/>
      </w:pPr>
      <w:r>
        <w:t>Calculate totals using the ERP pricing rules rather than relying on free-form model arithmetic.</w:t>
      </w:r>
    </w:p>
    <w:p>
      <w:pPr>
        <w:pStyle w:val="ListBullet"/>
        <w:widowControl/>
        <w:spacing w:after="60"/>
        <w:ind w:left="360"/>
      </w:pPr>
      <w:r>
        <w:t>Track the status of the order and trigger notifications for exceptions or delays.</w:t>
      </w:r>
    </w:p>
    <w:p>
      <w:pPr>
        <w:pStyle w:val="Heading2"/>
        <w:keepNext/>
        <w:widowControl/>
      </w:pPr>
      <w:r>
        <w:t>3.3 Inventory and Stock</w:t>
      </w:r>
    </w:p>
    <w:p>
      <w:pPr>
        <w:pStyle w:val="ListBullet"/>
        <w:widowControl/>
        <w:spacing w:after="60"/>
        <w:ind w:left="360"/>
      </w:pPr>
      <w:r>
        <w:t>Detect products below minimum or reorder levels.</w:t>
      </w:r>
    </w:p>
    <w:p>
      <w:pPr>
        <w:pStyle w:val="ListBullet"/>
        <w:widowControl/>
        <w:spacing w:after="60"/>
        <w:ind w:left="360"/>
      </w:pPr>
      <w:r>
        <w:t>Identify fast-moving and slow-moving stock.</w:t>
      </w:r>
    </w:p>
    <w:p>
      <w:pPr>
        <w:pStyle w:val="ListBullet"/>
        <w:widowControl/>
        <w:spacing w:after="60"/>
        <w:ind w:left="360"/>
      </w:pPr>
      <w:r>
        <w:t>Watch for unusual stock changes and inconsistencies between related transactions.</w:t>
      </w:r>
    </w:p>
    <w:p>
      <w:pPr>
        <w:pStyle w:val="ListBullet"/>
        <w:widowControl/>
        <w:spacing w:after="60"/>
        <w:ind w:left="360"/>
      </w:pPr>
      <w:r>
        <w:t>Suggest reorder quantities using approved business rules and historical usage.</w:t>
      </w:r>
    </w:p>
    <w:p>
      <w:pPr>
        <w:pStyle w:val="ListBullet"/>
        <w:widowControl/>
        <w:spacing w:after="60"/>
        <w:ind w:left="360"/>
      </w:pPr>
      <w:r>
        <w:t>Prepare procurement requests or purchase-order drafts for human approval.</w:t>
      </w:r>
    </w:p>
    <w:p>
      <w:pPr>
        <w:pStyle w:val="ListBullet"/>
        <w:widowControl/>
        <w:spacing w:after="60"/>
        <w:ind w:left="360"/>
      </w:pPr>
      <w:r>
        <w:t>Summarize stock alerts without requiring staff to inspect each item manually.</w:t>
      </w:r>
    </w:p>
    <w:p>
      <w:pPr>
        <w:pStyle w:val="Heading2"/>
        <w:keepNext/>
        <w:widowControl/>
      </w:pPr>
      <w:r>
        <w:t>3.4 Procurement</w:t>
      </w:r>
    </w:p>
    <w:p>
      <w:pPr>
        <w:pStyle w:val="ListBullet"/>
        <w:widowControl/>
        <w:spacing w:after="60"/>
        <w:ind w:left="360"/>
      </w:pPr>
      <w:r>
        <w:t>Create procurement drafts when stock reaches configured thresholds.</w:t>
      </w:r>
    </w:p>
    <w:p>
      <w:pPr>
        <w:pStyle w:val="ListBullet"/>
        <w:widowControl/>
        <w:spacing w:after="60"/>
        <w:ind w:left="360"/>
      </w:pPr>
      <w:r>
        <w:t>Use prior purchase history to provide context on supplier prices and quantities.</w:t>
      </w:r>
    </w:p>
    <w:p>
      <w:pPr>
        <w:pStyle w:val="ListBullet"/>
        <w:widowControl/>
        <w:spacing w:after="60"/>
        <w:ind w:left="360"/>
      </w:pPr>
      <w:r>
        <w:t>Read incoming supplier quotations when a document-ingestion integration is available.</w:t>
      </w:r>
    </w:p>
    <w:p>
      <w:pPr>
        <w:pStyle w:val="ListBullet"/>
        <w:widowControl/>
        <w:spacing w:after="60"/>
        <w:ind w:left="360"/>
      </w:pPr>
      <w:r>
        <w:t>Compare current quotations with historical records and flag unusual price movements.</w:t>
      </w:r>
    </w:p>
    <w:p>
      <w:pPr>
        <w:pStyle w:val="ListBullet"/>
        <w:widowControl/>
        <w:spacing w:after="60"/>
        <w:ind w:left="360"/>
      </w:pPr>
      <w:r>
        <w:t>Route procurement items through approval workflows.</w:t>
      </w:r>
    </w:p>
    <w:p>
      <w:pPr>
        <w:pStyle w:val="Heading2"/>
        <w:keepNext/>
        <w:widowControl/>
      </w:pPr>
      <w:r>
        <w:t>3.5 Notifications</w:t>
      </w:r>
    </w:p>
    <w:p>
      <w:pPr>
        <w:pStyle w:val="BodyText"/>
        <w:widowControl/>
        <w:spacing w:after="120" w:line="259" w:lineRule="auto"/>
      </w:pPr>
      <w:r>
        <w:t>The control database already includes notifications. The agent can use that existing capability to generate event-driven alerts rather than requiring employees to write notifications manually.</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Event</w:t>
            </w:r>
          </w:p>
        </w:tc>
        <w:tc>
          <w:tcPr>
            <w:tcW w:type="dxa" w:w="6048"/>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Example agent notification</w:t>
            </w:r>
          </w:p>
        </w:tc>
      </w:tr>
      <w:tr>
        <w:tc>
          <w:tcPr>
            <w:tcW w:type="dxa" w:w="2880"/>
            <w:vAlign w:val="center"/>
            <w:tcBorders>
              <w:top w:sz="4" w:val="single" w:color="D7E3EC"/>
              <w:left w:sz="4" w:val="single" w:color="D7E3EC"/>
              <w:bottom w:sz="4" w:val="single" w:color="D7E3EC"/>
              <w:right w:sz="4" w:val="single" w:color="D7E3EC"/>
            </w:tcBorders>
          </w:tcPr>
          <w:p>
            <w:pPr>
              <w:spacing w:after="40"/>
            </w:pPr>
            <w:r>
              <w:rPr>
                <w:color w:val="25313A"/>
                <w:sz w:val="18"/>
              </w:rPr>
              <w:t>Payment waiting for approval</w:t>
            </w:r>
          </w:p>
        </w:tc>
        <w:tc>
          <w:tcPr>
            <w:tcW w:type="dxa" w:w="6048"/>
            <w:vAlign w:val="center"/>
            <w:tcBorders>
              <w:top w:sz="4" w:val="single" w:color="D7E3EC"/>
              <w:left w:sz="4" w:val="single" w:color="D7E3EC"/>
              <w:bottom w:sz="4" w:val="single" w:color="D7E3EC"/>
              <w:right w:sz="4" w:val="single" w:color="D7E3EC"/>
            </w:tcBorders>
          </w:tcPr>
          <w:p>
            <w:pPr>
              <w:spacing w:after="40"/>
            </w:pPr>
            <w:r>
              <w:rPr>
                <w:color w:val="25313A"/>
                <w:sz w:val="18"/>
              </w:rPr>
              <w:t>Payment Voucher PV/UGT/2026/479 is awaiting approval.</w:t>
            </w:r>
          </w:p>
        </w:tc>
      </w:tr>
      <w:tr>
        <w:tc>
          <w:tcPr>
            <w:tcW w:type="dxa" w:w="28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Low stock</w:t>
            </w:r>
          </w:p>
        </w:tc>
        <w:tc>
          <w:tcPr>
            <w:tcW w:type="dxa" w:w="6048"/>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Brake Pad stock has fallen below the configured minimum level.</w:t>
            </w:r>
          </w:p>
        </w:tc>
      </w:tr>
      <w:tr>
        <w:tc>
          <w:tcPr>
            <w:tcW w:type="dxa" w:w="2880"/>
            <w:vAlign w:val="center"/>
            <w:tcBorders>
              <w:top w:sz="4" w:val="single" w:color="D7E3EC"/>
              <w:left w:sz="4" w:val="single" w:color="D7E3EC"/>
              <w:bottom w:sz="4" w:val="single" w:color="D7E3EC"/>
              <w:right w:sz="4" w:val="single" w:color="D7E3EC"/>
            </w:tcBorders>
          </w:tcPr>
          <w:p>
            <w:pPr>
              <w:spacing w:after="40"/>
            </w:pPr>
            <w:r>
              <w:rPr>
                <w:color w:val="25313A"/>
                <w:sz w:val="18"/>
              </w:rPr>
              <w:t>Overdue invoice</w:t>
            </w:r>
          </w:p>
        </w:tc>
        <w:tc>
          <w:tcPr>
            <w:tcW w:type="dxa" w:w="6048"/>
            <w:vAlign w:val="center"/>
            <w:tcBorders>
              <w:top w:sz="4" w:val="single" w:color="D7E3EC"/>
              <w:left w:sz="4" w:val="single" w:color="D7E3EC"/>
              <w:bottom w:sz="4" w:val="single" w:color="D7E3EC"/>
              <w:right w:sz="4" w:val="single" w:color="D7E3EC"/>
            </w:tcBorders>
          </w:tcPr>
          <w:p>
            <w:pPr>
              <w:spacing w:after="40"/>
            </w:pPr>
            <w:r>
              <w:rPr>
                <w:color w:val="25313A"/>
                <w:sz w:val="18"/>
              </w:rPr>
              <w:t>Customer invoice INV-0098 is overdue and requires follow-up.</w:t>
            </w:r>
          </w:p>
        </w:tc>
      </w:tr>
      <w:tr>
        <w:tc>
          <w:tcPr>
            <w:tcW w:type="dxa" w:w="28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Stalled request</w:t>
            </w:r>
          </w:p>
        </w:tc>
        <w:tc>
          <w:tcPr>
            <w:tcW w:type="dxa" w:w="6048"/>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Purchase request PR-104 has been awaiting approval for 3 days.</w:t>
            </w:r>
          </w:p>
        </w:tc>
      </w:tr>
    </w:tbl>
    <w:p>
      <w:pPr>
        <w:pStyle w:val="Heading1"/>
        <w:keepNext/>
        <w:widowControl/>
      </w:pPr>
      <w:r>
        <w:t>4. External Information Ingestion</w:t>
      </w:r>
    </w:p>
    <w:p>
      <w:pPr>
        <w:pStyle w:val="BodyText"/>
        <w:widowControl/>
        <w:spacing w:after="120" w:line="259" w:lineRule="auto"/>
      </w:pPr>
      <w:r>
        <w:t>A major automation step is allowing the agent to capture information from places where business data already arrives. This reduces the number of forms employees must fill in manually.</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7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Source</w:t>
            </w:r>
          </w:p>
        </w:tc>
        <w:tc>
          <w:tcPr>
            <w:tcW w:type="dxa" w:w="5184"/>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Possible agent action</w:t>
            </w:r>
          </w:p>
        </w:tc>
        <w:tc>
          <w:tcPr>
            <w:tcW w:type="dxa" w:w="2304"/>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Status in README</w:t>
            </w:r>
          </w:p>
        </w:tc>
      </w:tr>
      <w:tr>
        <w:tc>
          <w:tcPr>
            <w:tcW w:type="dxa" w:w="1872"/>
            <w:vAlign w:val="center"/>
            <w:tcBorders>
              <w:top w:sz="4" w:val="single" w:color="D7E3EC"/>
              <w:left w:sz="4" w:val="single" w:color="D7E3EC"/>
              <w:bottom w:sz="4" w:val="single" w:color="D7E3EC"/>
              <w:right w:sz="4" w:val="single" w:color="D7E3EC"/>
            </w:tcBorders>
          </w:tcPr>
          <w:p>
            <w:pPr>
              <w:spacing w:after="40"/>
            </w:pPr>
            <w:r>
              <w:rPr>
                <w:color w:val="25313A"/>
                <w:sz w:val="18"/>
              </w:rPr>
              <w:t>Email</w:t>
            </w:r>
          </w:p>
        </w:tc>
        <w:tc>
          <w:tcPr>
            <w:tcW w:type="dxa" w:w="5184"/>
            <w:vAlign w:val="center"/>
            <w:tcBorders>
              <w:top w:sz="4" w:val="single" w:color="D7E3EC"/>
              <w:left w:sz="4" w:val="single" w:color="D7E3EC"/>
              <w:bottom w:sz="4" w:val="single" w:color="D7E3EC"/>
              <w:right w:sz="4" w:val="single" w:color="D7E3EC"/>
            </w:tcBorders>
          </w:tcPr>
          <w:p>
            <w:pPr>
              <w:spacing w:after="40"/>
            </w:pPr>
            <w:r>
              <w:rPr>
                <w:color w:val="25313A"/>
                <w:sz w:val="18"/>
              </w:rPr>
              <w:t>Read approved messages and attachments, extract structured information, and prepare ERP records.</w:t>
            </w:r>
          </w:p>
        </w:tc>
        <w:tc>
          <w:tcPr>
            <w:tcW w:type="dxa" w:w="2304"/>
            <w:vAlign w:val="center"/>
            <w:tcBorders>
              <w:top w:sz="4" w:val="single" w:color="D7E3EC"/>
              <w:left w:sz="4" w:val="single" w:color="D7E3EC"/>
              <w:bottom w:sz="4" w:val="single" w:color="D7E3EC"/>
              <w:right w:sz="4" w:val="single" w:color="D7E3EC"/>
            </w:tcBorders>
          </w:tcPr>
          <w:p>
            <w:pPr>
              <w:spacing w:after="40"/>
            </w:pPr>
            <w:r>
              <w:rPr>
                <w:color w:val="25313A"/>
                <w:sz w:val="18"/>
              </w:rPr>
              <w:t>Not documented; future integration.</w:t>
            </w:r>
          </w:p>
        </w:tc>
      </w:tr>
      <w:tr>
        <w:tc>
          <w:tcPr>
            <w:tcW w:type="dxa" w:w="187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PDF invoices</w:t>
            </w:r>
          </w:p>
        </w:tc>
        <w:tc>
          <w:tcPr>
            <w:tcW w:type="dxa" w:w="518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Extract invoice number, supplier, items, quantities, VAT, total, and due date.</w:t>
            </w:r>
          </w:p>
        </w:tc>
        <w:tc>
          <w:tcPr>
            <w:tcW w:type="dxa" w:w="230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Not documented; future integration.</w:t>
            </w:r>
          </w:p>
        </w:tc>
      </w:tr>
      <w:tr>
        <w:tc>
          <w:tcPr>
            <w:tcW w:type="dxa" w:w="1872"/>
            <w:vAlign w:val="center"/>
            <w:tcBorders>
              <w:top w:sz="4" w:val="single" w:color="D7E3EC"/>
              <w:left w:sz="4" w:val="single" w:color="D7E3EC"/>
              <w:bottom w:sz="4" w:val="single" w:color="D7E3EC"/>
              <w:right w:sz="4" w:val="single" w:color="D7E3EC"/>
            </w:tcBorders>
          </w:tcPr>
          <w:p>
            <w:pPr>
              <w:spacing w:after="40"/>
            </w:pPr>
            <w:r>
              <w:rPr>
                <w:color w:val="25313A"/>
                <w:sz w:val="18"/>
              </w:rPr>
              <w:t>WhatsApp / customer chat</w:t>
            </w:r>
          </w:p>
        </w:tc>
        <w:tc>
          <w:tcPr>
            <w:tcW w:type="dxa" w:w="5184"/>
            <w:vAlign w:val="center"/>
            <w:tcBorders>
              <w:top w:sz="4" w:val="single" w:color="D7E3EC"/>
              <w:left w:sz="4" w:val="single" w:color="D7E3EC"/>
              <w:bottom w:sz="4" w:val="single" w:color="D7E3EC"/>
              <w:right w:sz="4" w:val="single" w:color="D7E3EC"/>
            </w:tcBorders>
          </w:tcPr>
          <w:p>
            <w:pPr>
              <w:spacing w:after="40"/>
            </w:pPr>
            <w:r>
              <w:rPr>
                <w:color w:val="25313A"/>
                <w:sz w:val="18"/>
              </w:rPr>
              <w:t>Read customer requests and initiate quotation/order workflows.</w:t>
            </w:r>
          </w:p>
        </w:tc>
        <w:tc>
          <w:tcPr>
            <w:tcW w:type="dxa" w:w="2304"/>
            <w:vAlign w:val="center"/>
            <w:tcBorders>
              <w:top w:sz="4" w:val="single" w:color="D7E3EC"/>
              <w:left w:sz="4" w:val="single" w:color="D7E3EC"/>
              <w:bottom w:sz="4" w:val="single" w:color="D7E3EC"/>
              <w:right w:sz="4" w:val="single" w:color="D7E3EC"/>
            </w:tcBorders>
          </w:tcPr>
          <w:p>
            <w:pPr>
              <w:spacing w:after="40"/>
            </w:pPr>
            <w:r>
              <w:rPr>
                <w:color w:val="25313A"/>
                <w:sz w:val="18"/>
              </w:rPr>
              <w:t>Not documented; future integration.</w:t>
            </w:r>
          </w:p>
        </w:tc>
      </w:tr>
      <w:tr>
        <w:tc>
          <w:tcPr>
            <w:tcW w:type="dxa" w:w="187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Bank statements / banking API</w:t>
            </w:r>
          </w:p>
        </w:tc>
        <w:tc>
          <w:tcPr>
            <w:tcW w:type="dxa" w:w="518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Match incoming payments to receivables and flag unmatched transactions.</w:t>
            </w:r>
          </w:p>
        </w:tc>
        <w:tc>
          <w:tcPr>
            <w:tcW w:type="dxa" w:w="230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Not documented; future integration.</w:t>
            </w:r>
          </w:p>
        </w:tc>
      </w:tr>
      <w:tr>
        <w:tc>
          <w:tcPr>
            <w:tcW w:type="dxa" w:w="1872"/>
            <w:vAlign w:val="center"/>
            <w:tcBorders>
              <w:top w:sz="4" w:val="single" w:color="D7E3EC"/>
              <w:left w:sz="4" w:val="single" w:color="D7E3EC"/>
              <w:bottom w:sz="4" w:val="single" w:color="D7E3EC"/>
              <w:right w:sz="4" w:val="single" w:color="D7E3EC"/>
            </w:tcBorders>
          </w:tcPr>
          <w:p>
            <w:pPr>
              <w:spacing w:after="40"/>
            </w:pPr>
            <w:r>
              <w:rPr>
                <w:color w:val="25313A"/>
                <w:sz w:val="18"/>
              </w:rPr>
              <w:t>Excel / CSV</w:t>
            </w:r>
          </w:p>
        </w:tc>
        <w:tc>
          <w:tcPr>
            <w:tcW w:type="dxa" w:w="5184"/>
            <w:vAlign w:val="center"/>
            <w:tcBorders>
              <w:top w:sz="4" w:val="single" w:color="D7E3EC"/>
              <w:left w:sz="4" w:val="single" w:color="D7E3EC"/>
              <w:bottom w:sz="4" w:val="single" w:color="D7E3EC"/>
              <w:right w:sz="4" w:val="single" w:color="D7E3EC"/>
            </w:tcBorders>
          </w:tcPr>
          <w:p>
            <w:pPr>
              <w:spacing w:after="40"/>
            </w:pPr>
            <w:r>
              <w:rPr>
                <w:color w:val="25313A"/>
                <w:sz w:val="18"/>
              </w:rPr>
              <w:t>Read approved files and turn rows into validated drafts or imports.</w:t>
            </w:r>
          </w:p>
        </w:tc>
        <w:tc>
          <w:tcPr>
            <w:tcW w:type="dxa" w:w="2304"/>
            <w:vAlign w:val="center"/>
            <w:tcBorders>
              <w:top w:sz="4" w:val="single" w:color="D7E3EC"/>
              <w:left w:sz="4" w:val="single" w:color="D7E3EC"/>
              <w:bottom w:sz="4" w:val="single" w:color="D7E3EC"/>
              <w:right w:sz="4" w:val="single" w:color="D7E3EC"/>
            </w:tcBorders>
          </w:tcPr>
          <w:p>
            <w:pPr>
              <w:spacing w:after="40"/>
            </w:pPr>
            <w:r>
              <w:rPr>
                <w:color w:val="25313A"/>
                <w:sz w:val="18"/>
              </w:rPr>
              <w:t>Partly plausible as an extension; specific integration not documented.</w:t>
            </w:r>
          </w:p>
        </w:tc>
      </w:tr>
    </w:tbl>
    <w:tbl>
      <w:tblPr>
        <w:tblW w:type="auto" w:w="0"/>
        <w:tblLayout w:type="autofit"/>
        <w:tblLook w:firstColumn="1" w:firstRow="1" w:lastColumn="0" w:lastRow="0" w:noHBand="0" w:noVBand="1" w:val="04A0"/>
      </w:tblPr>
      <w:tblGrid>
        <w:gridCol w:w="9994"/>
      </w:tblGrid>
      <w:tr>
        <w:tc>
          <w:tcPr>
            <w:tcW w:type="dxa" w:w="9994"/>
            <w:shd w:fill="EEF4F8"/>
            <w:tcBorders>
              <w:top w:sz="4" w:val="single" w:color="D7E3EC"/>
              <w:left w:sz="20" w:val="single" w:color="2F6B9A"/>
              <w:bottom w:sz="4" w:val="single" w:color="D7E3EC"/>
              <w:right w:sz="4" w:val="single" w:color="D7E3EC"/>
            </w:tcBorders>
          </w:tcPr>
          <w:p>
            <w:pPr>
              <w:spacing w:after="40"/>
            </w:pPr>
            <w:r>
              <w:rPr>
                <w:b/>
                <w:color w:val="2F6B9A"/>
                <w:sz w:val="21"/>
              </w:rPr>
              <w:t>Design rule</w:t>
            </w:r>
          </w:p>
          <w:p>
            <w:pPr>
              <w:spacing w:after="0"/>
            </w:pPr>
            <w:r>
              <w:rPr>
                <w:sz w:val="19"/>
              </w:rPr>
              <w:t>External sources should feed the agent through explicit ingestion connectors. The agent should validate extracted data against ERP records before creating transactions.</w:t>
            </w:r>
          </w:p>
        </w:tc>
      </w:tr>
    </w:tbl>
    <w:p>
      <w:pPr>
        <w:widowControl/>
        <w:spacing w:after="0"/>
      </w:pPr>
    </w:p>
    <w:p>
      <w:pPr>
        <w:pStyle w:val="Heading1"/>
        <w:keepNext/>
        <w:widowControl/>
      </w:pPr>
      <w:r>
        <w:t>5. ERP Monitoring and Proactive Work</w:t>
      </w:r>
    </w:p>
    <w:p>
      <w:pPr>
        <w:pStyle w:val="BodyText"/>
        <w:widowControl/>
        <w:spacing w:after="120" w:line="259" w:lineRule="auto"/>
      </w:pPr>
      <w:r>
        <w:t>The agent can act as a continuous business monitor. Instead of waiting for a user to open pages and search for pending work, it can evaluate defined conditions and surface exceptions automatically.</w:t>
      </w:r>
    </w:p>
    <w:p>
      <w:pPr>
        <w:pStyle w:val="ListBullet"/>
        <w:widowControl/>
        <w:spacing w:after="60"/>
        <w:ind w:left="360"/>
      </w:pPr>
      <w:r>
        <w:t>Unpaid and overdue customer invoices.</w:t>
      </w:r>
    </w:p>
    <w:p>
      <w:pPr>
        <w:pStyle w:val="ListBullet"/>
        <w:widowControl/>
        <w:spacing w:after="60"/>
        <w:ind w:left="360"/>
      </w:pPr>
      <w:r>
        <w:t>Outstanding supplier payables.</w:t>
      </w:r>
    </w:p>
    <w:p>
      <w:pPr>
        <w:pStyle w:val="ListBullet"/>
        <w:widowControl/>
        <w:spacing w:after="60"/>
        <w:ind w:left="360"/>
      </w:pPr>
      <w:r>
        <w:t>Payment vouchers awaiting approval.</w:t>
      </w:r>
    </w:p>
    <w:p>
      <w:pPr>
        <w:pStyle w:val="ListBullet"/>
        <w:widowControl/>
        <w:spacing w:after="60"/>
        <w:ind w:left="360"/>
      </w:pPr>
      <w:r>
        <w:t>Low or critical stock.</w:t>
      </w:r>
    </w:p>
    <w:p>
      <w:pPr>
        <w:pStyle w:val="ListBullet"/>
        <w:widowControl/>
        <w:spacing w:after="60"/>
        <w:ind w:left="360"/>
      </w:pPr>
      <w:r>
        <w:t>Purchase requests that have stalled.</w:t>
      </w:r>
    </w:p>
    <w:p>
      <w:pPr>
        <w:pStyle w:val="ListBullet"/>
        <w:widowControl/>
        <w:spacing w:after="60"/>
        <w:ind w:left="360"/>
      </w:pPr>
      <w:r>
        <w:t>Unexpected stock changes or mismatches.</w:t>
      </w:r>
    </w:p>
    <w:p>
      <w:pPr>
        <w:pStyle w:val="ListBullet"/>
        <w:widowControl/>
        <w:spacing w:after="60"/>
        <w:ind w:left="360"/>
      </w:pPr>
      <w:r>
        <w:t>Transactions that look duplicated or incomplete.</w:t>
      </w:r>
    </w:p>
    <w:p>
      <w:pPr>
        <w:pStyle w:val="ListBullet"/>
        <w:widowControl/>
        <w:spacing w:after="60"/>
        <w:ind w:left="360"/>
      </w:pPr>
      <w:r>
        <w:t>Workflows that have remained in one status for longer than a configured threshold.</w:t>
      </w:r>
    </w:p>
    <w:p>
      <w:pPr>
        <w:pStyle w:val="Heading2"/>
        <w:keepNext/>
        <w:widowControl/>
      </w:pPr>
      <w:r>
        <w:t>Example daily briefing</w:t>
      </w:r>
    </w:p>
    <w:p>
      <w:pPr>
        <w:spacing w:after="140"/>
        <w:ind w:left="317" w:right="317"/>
        <w:widowControl/>
        <w:shd w:fill="F2F4F5"/>
      </w:pPr>
      <w:r>
        <w:rPr>
          <w:rFonts w:ascii="Consolas" w:hAnsi="Consolas"/>
          <w:color w:val="25313A"/>
          <w:sz w:val="17"/>
        </w:rPr>
        <w:t>GOOD MORNING</w:t>
        <w:br/>
        <w:br/>
        <w:t>12 items require attention</w:t>
        <w:br/>
        <w:t>- 5 payment vouchers awaiting approval</w:t>
        <w:br/>
        <w:t>- 3 overdue customer invoices</w:t>
        <w:br/>
        <w:t>- 2 low-stock products</w:t>
        <w:br/>
        <w:t>- 1 procurement request stalled for 3 days</w:t>
        <w:br/>
        <w:t>- 1 possible duplicate invoice</w:t>
        <w:br/>
        <w:br/>
        <w:t>Available actions: Review approvals | Review receivables | Review stock | Review exceptions</w:t>
      </w:r>
    </w:p>
    <w:p>
      <w:pPr>
        <w:pStyle w:val="Heading1"/>
        <w:keepNext/>
        <w:widowControl/>
      </w:pPr>
      <w:r>
        <w:t>6. Administrative Automation</w:t>
      </w:r>
    </w:p>
    <w:p>
      <w:pPr>
        <w:pStyle w:val="BodyText"/>
        <w:widowControl/>
        <w:spacing w:after="120" w:line="259" w:lineRule="auto"/>
      </w:pPr>
      <w:r>
        <w:t>The existing control and tenant architecture also creates opportunities to automate administrative workflows without changing the underlying business data model more than necessary.</w:t>
      </w:r>
    </w:p>
    <w:p>
      <w:pPr>
        <w:pStyle w:val="Heading2"/>
        <w:keepNext/>
        <w:widowControl/>
      </w:pPr>
      <w:r>
        <w:t>Employee onboarding</w:t>
      </w:r>
    </w:p>
    <w:p>
      <w:pPr>
        <w:pStyle w:val="BodyText"/>
        <w:widowControl/>
        <w:spacing w:after="120" w:line="259" w:lineRule="auto"/>
      </w:pPr>
      <w:r>
        <w:t>A controlled agent workflow could accept a structured instruction such as:</w:t>
      </w:r>
    </w:p>
    <w:p>
      <w:pPr>
        <w:spacing w:after="140"/>
        <w:ind w:left="317" w:right="317"/>
        <w:widowControl/>
        <w:shd w:fill="F2F4F5"/>
      </w:pPr>
      <w:r>
        <w:rPr>
          <w:rFonts w:ascii="Consolas" w:hAnsi="Consolas"/>
          <w:color w:val="25313A"/>
          <w:sz w:val="17"/>
        </w:rPr>
        <w:t>Create an account for John Peter as Procurement Officer at Roadmaster.</w:t>
      </w:r>
    </w:p>
    <w:p>
      <w:pPr>
        <w:pStyle w:val="BodyText"/>
        <w:widowControl/>
        <w:spacing w:after="120" w:line="259" w:lineRule="auto"/>
      </w:pPr>
      <w:r>
        <w:t>The agent could then validate the company, create the appropriate user record, synchronize the login index as required, assign the role or permissions supported by the ERP, and send a notification. The individual steps should remain constrained by the same validation and authorization rules used by the normal ERP UI.</w:t>
      </w:r>
    </w:p>
    <w:p>
      <w:pPr>
        <w:pStyle w:val="Heading2"/>
        <w:keepNext/>
        <w:widowControl/>
      </w:pPr>
      <w:r>
        <w:t>Meetings and follow-up</w:t>
      </w:r>
    </w:p>
    <w:p>
      <w:pPr>
        <w:pStyle w:val="BodyText"/>
        <w:widowControl/>
        <w:spacing w:after="120" w:line="259" w:lineRule="auto"/>
      </w:pPr>
      <w:r>
        <w:t>The README documents meetings in the control database. An agent can extend this area by creating meetings, sending reminders, capturing action items from approved notes, and creating follow-up tasks where the system supports them.</w:t>
      </w:r>
    </w:p>
    <w:p>
      <w:pPr>
        <w:pStyle w:val="Heading1"/>
        <w:keepNext/>
        <w:widowControl/>
      </w:pPr>
      <w:r>
        <w:t>7. AI-Generated Reports and Insights</w:t>
      </w:r>
    </w:p>
    <w:p>
      <w:pPr>
        <w:pStyle w:val="BodyText"/>
        <w:widowControl/>
        <w:spacing w:after="120" w:line="259" w:lineRule="auto"/>
      </w:pPr>
      <w:r>
        <w:t>The agent should be able to produce management-oriented summaries from ERP data, not just raw database exports.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Frequency</w:t>
            </w:r>
          </w:p>
        </w:tc>
        <w:tc>
          <w:tcPr>
            <w:tcW w:type="dxa" w:w="547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Typical content</w:t>
            </w:r>
          </w:p>
        </w:tc>
        <w:tc>
          <w:tcPr>
            <w:tcW w:type="dxa" w:w="2304"/>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Value</w:t>
            </w:r>
          </w:p>
        </w:tc>
      </w:tr>
      <w:tr>
        <w:tc>
          <w:tcPr>
            <w:tcW w:type="dxa" w:w="1584"/>
            <w:vAlign w:val="center"/>
            <w:tcBorders>
              <w:top w:sz="4" w:val="single" w:color="D7E3EC"/>
              <w:left w:sz="4" w:val="single" w:color="D7E3EC"/>
              <w:bottom w:sz="4" w:val="single" w:color="D7E3EC"/>
              <w:right w:sz="4" w:val="single" w:color="D7E3EC"/>
            </w:tcBorders>
          </w:tcPr>
          <w:p>
            <w:pPr>
              <w:spacing w:after="40"/>
            </w:pPr>
            <w:r>
              <w:rPr>
                <w:color w:val="25313A"/>
                <w:sz w:val="18"/>
              </w:rPr>
              <w:t>Daily</w:t>
            </w:r>
          </w:p>
        </w:tc>
        <w:tc>
          <w:tcPr>
            <w:tcW w:type="dxa" w:w="5472"/>
            <w:vAlign w:val="center"/>
            <w:tcBorders>
              <w:top w:sz="4" w:val="single" w:color="D7E3EC"/>
              <w:left w:sz="4" w:val="single" w:color="D7E3EC"/>
              <w:bottom w:sz="4" w:val="single" w:color="D7E3EC"/>
              <w:right w:sz="4" w:val="single" w:color="D7E3EC"/>
            </w:tcBorders>
          </w:tcPr>
          <w:p>
            <w:pPr>
              <w:spacing w:after="40"/>
            </w:pPr>
            <w:r>
              <w:rPr>
                <w:color w:val="25313A"/>
                <w:sz w:val="18"/>
              </w:rPr>
              <w:t>Sales, payments, expenses, stock alerts, pending approvals.</w:t>
            </w:r>
          </w:p>
        </w:tc>
        <w:tc>
          <w:tcPr>
            <w:tcW w:type="dxa" w:w="2304"/>
            <w:vAlign w:val="center"/>
            <w:tcBorders>
              <w:top w:sz="4" w:val="single" w:color="D7E3EC"/>
              <w:left w:sz="4" w:val="single" w:color="D7E3EC"/>
              <w:bottom w:sz="4" w:val="single" w:color="D7E3EC"/>
              <w:right w:sz="4" w:val="single" w:color="D7E3EC"/>
            </w:tcBorders>
          </w:tcPr>
          <w:p>
            <w:pPr>
              <w:spacing w:after="40"/>
            </w:pPr>
            <w:r>
              <w:rPr>
                <w:color w:val="25313A"/>
                <w:sz w:val="18"/>
              </w:rPr>
              <w:t>Fast operational awareness.</w:t>
            </w:r>
          </w:p>
        </w:tc>
      </w:tr>
      <w:tr>
        <w:tc>
          <w:tcPr>
            <w:tcW w:type="dxa" w:w="158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Weekly</w:t>
            </w:r>
          </w:p>
        </w:tc>
        <w:tc>
          <w:tcPr>
            <w:tcW w:type="dxa" w:w="547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Sales movement, cash activity, receivables, payables, procurement, stock trends.</w:t>
            </w:r>
          </w:p>
        </w:tc>
        <w:tc>
          <w:tcPr>
            <w:tcW w:type="dxa" w:w="230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Trend monitoring.</w:t>
            </w:r>
          </w:p>
        </w:tc>
      </w:tr>
      <w:tr>
        <w:tc>
          <w:tcPr>
            <w:tcW w:type="dxa" w:w="1584"/>
            <w:vAlign w:val="center"/>
            <w:tcBorders>
              <w:top w:sz="4" w:val="single" w:color="D7E3EC"/>
              <w:left w:sz="4" w:val="single" w:color="D7E3EC"/>
              <w:bottom w:sz="4" w:val="single" w:color="D7E3EC"/>
              <w:right w:sz="4" w:val="single" w:color="D7E3EC"/>
            </w:tcBorders>
          </w:tcPr>
          <w:p>
            <w:pPr>
              <w:spacing w:after="40"/>
            </w:pPr>
            <w:r>
              <w:rPr>
                <w:color w:val="25313A"/>
                <w:sz w:val="18"/>
              </w:rPr>
              <w:t>Monthly</w:t>
            </w:r>
          </w:p>
        </w:tc>
        <w:tc>
          <w:tcPr>
            <w:tcW w:type="dxa" w:w="5472"/>
            <w:vAlign w:val="center"/>
            <w:tcBorders>
              <w:top w:sz="4" w:val="single" w:color="D7E3EC"/>
              <w:left w:sz="4" w:val="single" w:color="D7E3EC"/>
              <w:bottom w:sz="4" w:val="single" w:color="D7E3EC"/>
              <w:right w:sz="4" w:val="single" w:color="D7E3EC"/>
            </w:tcBorders>
          </w:tcPr>
          <w:p>
            <w:pPr>
              <w:spacing w:after="40"/>
            </w:pPr>
            <w:r>
              <w:rPr>
                <w:color w:val="25313A"/>
                <w:sz w:val="18"/>
              </w:rPr>
              <w:t>Revenue, expenses, outstanding balances, stock movement, procurement activity, workflow exceptions.</w:t>
            </w:r>
          </w:p>
        </w:tc>
        <w:tc>
          <w:tcPr>
            <w:tcW w:type="dxa" w:w="2304"/>
            <w:vAlign w:val="center"/>
            <w:tcBorders>
              <w:top w:sz="4" w:val="single" w:color="D7E3EC"/>
              <w:left w:sz="4" w:val="single" w:color="D7E3EC"/>
              <w:bottom w:sz="4" w:val="single" w:color="D7E3EC"/>
              <w:right w:sz="4" w:val="single" w:color="D7E3EC"/>
            </w:tcBorders>
          </w:tcPr>
          <w:p>
            <w:pPr>
              <w:spacing w:after="40"/>
            </w:pPr>
            <w:r>
              <w:rPr>
                <w:color w:val="25313A"/>
                <w:sz w:val="18"/>
              </w:rPr>
              <w:t>Management review.</w:t>
            </w:r>
          </w:p>
        </w:tc>
      </w:tr>
      <w:tr>
        <w:tc>
          <w:tcPr>
            <w:tcW w:type="dxa" w:w="158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On demand</w:t>
            </w:r>
          </w:p>
        </w:tc>
        <w:tc>
          <w:tcPr>
            <w:tcW w:type="dxa" w:w="547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Natural-language answers to business questions using ERP data and authorized tools.</w:t>
            </w:r>
          </w:p>
        </w:tc>
        <w:tc>
          <w:tcPr>
            <w:tcW w:type="dxa" w:w="230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Direct access to information.</w:t>
            </w:r>
          </w:p>
        </w:tc>
      </w:tr>
    </w:tbl>
    <w:p>
      <w:pPr>
        <w:pStyle w:val="Heading2"/>
        <w:keepNext/>
        <w:widowControl/>
      </w:pPr>
      <w:r>
        <w:t>Example insight</w:t>
      </w:r>
    </w:p>
    <w:tbl>
      <w:tblPr>
        <w:tblW w:type="auto" w:w="0"/>
        <w:tblLayout w:type="autofit"/>
        <w:tblLook w:firstColumn="1" w:firstRow="1" w:lastColumn="0" w:lastRow="0" w:noHBand="0" w:noVBand="1" w:val="04A0"/>
      </w:tblPr>
      <w:tblGrid>
        <w:gridCol w:w="9994"/>
      </w:tblGrid>
      <w:tr>
        <w:tc>
          <w:tcPr>
            <w:tcW w:type="dxa" w:w="9994"/>
            <w:shd w:fill="F7FAFC"/>
            <w:tcBorders>
              <w:top w:sz="4" w:val="single" w:color="D7E3EC"/>
              <w:left w:sz="20" w:val="single" w:color="2D7A56"/>
              <w:bottom w:sz="4" w:val="single" w:color="D7E3EC"/>
              <w:right w:sz="4" w:val="single" w:color="D7E3EC"/>
            </w:tcBorders>
          </w:tcPr>
          <w:p>
            <w:pPr>
              <w:spacing w:after="40"/>
            </w:pPr>
            <w:r>
              <w:rPr>
                <w:b/>
                <w:color w:val="2D7A56"/>
                <w:sz w:val="21"/>
              </w:rPr>
              <w:t>Example</w:t>
            </w:r>
          </w:p>
          <w:p>
            <w:pPr>
              <w:spacing w:after="0"/>
            </w:pPr>
            <w:r>
              <w:rPr>
                <w:sz w:val="19"/>
              </w:rPr>
              <w:t>Receivables increased mainly because four customer invoices became overdue this week. Review the overdue accounts and follow-up actions.</w:t>
            </w:r>
          </w:p>
        </w:tc>
      </w:tr>
    </w:tbl>
    <w:p>
      <w:pPr>
        <w:widowControl/>
        <w:spacing w:after="0"/>
      </w:pPr>
    </w:p>
    <w:p>
      <w:pPr>
        <w:pStyle w:val="BodyText"/>
        <w:widowControl/>
        <w:spacing w:after="120" w:line="259" w:lineRule="auto"/>
      </w:pPr>
      <w:r>
        <w:t>The important design requirement is that the agent should distinguish verified ERP facts from interpretation. Quantitative facts should come from ERP data, while explanations should be clearly presented as analysis of those facts.</w:t>
      </w:r>
    </w:p>
    <w:p>
      <w:pPr>
        <w:pStyle w:val="Heading1"/>
        <w:keepNext/>
        <w:widowControl/>
      </w:pPr>
      <w:r>
        <w:t>8. Error and Anomaly Detection</w:t>
      </w:r>
    </w:p>
    <w:p>
      <w:pPr>
        <w:pStyle w:val="BodyText"/>
        <w:widowControl/>
        <w:spacing w:after="120" w:line="259" w:lineRule="auto"/>
      </w:pPr>
      <w:r>
        <w:t>A useful agent does not only create records. It checks whether business records make sense together and highlights potential errors before they propagate.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880"/>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Pattern</w:t>
            </w:r>
          </w:p>
        </w:tc>
        <w:tc>
          <w:tcPr>
            <w:tcW w:type="dxa" w:w="6480"/>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Agent response</w:t>
            </w:r>
          </w:p>
        </w:tc>
      </w:tr>
      <w:tr>
        <w:tc>
          <w:tcPr>
            <w:tcW w:type="dxa" w:w="2880"/>
            <w:vAlign w:val="center"/>
            <w:tcBorders>
              <w:top w:sz="4" w:val="single" w:color="D7E3EC"/>
              <w:left w:sz="4" w:val="single" w:color="D7E3EC"/>
              <w:bottom w:sz="4" w:val="single" w:color="D7E3EC"/>
              <w:right w:sz="4" w:val="single" w:color="D7E3EC"/>
            </w:tcBorders>
          </w:tcPr>
          <w:p>
            <w:pPr>
              <w:spacing w:after="40"/>
            </w:pPr>
            <w:r>
              <w:rPr>
                <w:color w:val="25313A"/>
                <w:sz w:val="18"/>
              </w:rPr>
              <w:t>Possible duplicate invoice</w:t>
            </w:r>
          </w:p>
        </w:tc>
        <w:tc>
          <w:tcPr>
            <w:tcW w:type="dxa" w:w="6480"/>
            <w:vAlign w:val="center"/>
            <w:tcBorders>
              <w:top w:sz="4" w:val="single" w:color="D7E3EC"/>
              <w:left w:sz="4" w:val="single" w:color="D7E3EC"/>
              <w:bottom w:sz="4" w:val="single" w:color="D7E3EC"/>
              <w:right w:sz="4" w:val="single" w:color="D7E3EC"/>
            </w:tcBorders>
          </w:tcPr>
          <w:p>
            <w:pPr>
              <w:spacing w:after="40"/>
            </w:pPr>
            <w:r>
              <w:rPr>
                <w:color w:val="25313A"/>
                <w:sz w:val="18"/>
              </w:rPr>
              <w:t>Flag the duplicate and present matching invoice numbers, suppliers, dates, or amounts for review.</w:t>
            </w:r>
          </w:p>
        </w:tc>
      </w:tr>
      <w:tr>
        <w:tc>
          <w:tcPr>
            <w:tcW w:type="dxa" w:w="28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Stock discrepancy</w:t>
            </w:r>
          </w:p>
        </w:tc>
        <w:tc>
          <w:tcPr>
            <w:tcW w:type="dxa" w:w="64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Compare relevant stock movements and linked sales/procurement records; request investigation.</w:t>
            </w:r>
          </w:p>
        </w:tc>
      </w:tr>
      <w:tr>
        <w:tc>
          <w:tcPr>
            <w:tcW w:type="dxa" w:w="2880"/>
            <w:vAlign w:val="center"/>
            <w:tcBorders>
              <w:top w:sz="4" w:val="single" w:color="D7E3EC"/>
              <w:left w:sz="4" w:val="single" w:color="D7E3EC"/>
              <w:bottom w:sz="4" w:val="single" w:color="D7E3EC"/>
              <w:right w:sz="4" w:val="single" w:color="D7E3EC"/>
            </w:tcBorders>
          </w:tcPr>
          <w:p>
            <w:pPr>
              <w:spacing w:after="40"/>
            </w:pPr>
            <w:r>
              <w:rPr>
                <w:color w:val="25313A"/>
                <w:sz w:val="18"/>
              </w:rPr>
              <w:t>Unusual supplier price</w:t>
            </w:r>
          </w:p>
        </w:tc>
        <w:tc>
          <w:tcPr>
            <w:tcW w:type="dxa" w:w="6480"/>
            <w:vAlign w:val="center"/>
            <w:tcBorders>
              <w:top w:sz="4" w:val="single" w:color="D7E3EC"/>
              <w:left w:sz="4" w:val="single" w:color="D7E3EC"/>
              <w:bottom w:sz="4" w:val="single" w:color="D7E3EC"/>
              <w:right w:sz="4" w:val="single" w:color="D7E3EC"/>
            </w:tcBorders>
          </w:tcPr>
          <w:p>
            <w:pPr>
              <w:spacing w:after="40"/>
            </w:pPr>
            <w:r>
              <w:rPr>
                <w:color w:val="25313A"/>
                <w:sz w:val="18"/>
              </w:rPr>
              <w:t>Compare the current price with approved historical records and flag the change.</w:t>
            </w:r>
          </w:p>
        </w:tc>
      </w:tr>
      <w:tr>
        <w:tc>
          <w:tcPr>
            <w:tcW w:type="dxa" w:w="28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Missing transaction data</w:t>
            </w:r>
          </w:p>
        </w:tc>
        <w:tc>
          <w:tcPr>
            <w:tcW w:type="dxa" w:w="64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Identify required fields and ask for or retrieve the missing information from an approved source.</w:t>
            </w:r>
          </w:p>
        </w:tc>
      </w:tr>
      <w:tr>
        <w:tc>
          <w:tcPr>
            <w:tcW w:type="dxa" w:w="2880"/>
            <w:vAlign w:val="center"/>
            <w:tcBorders>
              <w:top w:sz="4" w:val="single" w:color="D7E3EC"/>
              <w:left w:sz="4" w:val="single" w:color="D7E3EC"/>
              <w:bottom w:sz="4" w:val="single" w:color="D7E3EC"/>
              <w:right w:sz="4" w:val="single" w:color="D7E3EC"/>
            </w:tcBorders>
          </w:tcPr>
          <w:p>
            <w:pPr>
              <w:spacing w:after="40"/>
            </w:pPr>
            <w:r>
              <w:rPr>
                <w:color w:val="25313A"/>
                <w:sz w:val="18"/>
              </w:rPr>
              <w:t>Unexpected workflow state</w:t>
            </w:r>
          </w:p>
        </w:tc>
        <w:tc>
          <w:tcPr>
            <w:tcW w:type="dxa" w:w="6480"/>
            <w:vAlign w:val="center"/>
            <w:tcBorders>
              <w:top w:sz="4" w:val="single" w:color="D7E3EC"/>
              <w:left w:sz="4" w:val="single" w:color="D7E3EC"/>
              <w:bottom w:sz="4" w:val="single" w:color="D7E3EC"/>
              <w:right w:sz="4" w:val="single" w:color="D7E3EC"/>
            </w:tcBorders>
          </w:tcPr>
          <w:p>
            <w:pPr>
              <w:spacing w:after="40"/>
            </w:pPr>
            <w:r>
              <w:rPr>
                <w:color w:val="25313A"/>
                <w:sz w:val="18"/>
              </w:rPr>
              <w:t>Notify the responsible user and provide the underlying records that caused the alert.</w:t>
            </w:r>
          </w:p>
        </w:tc>
      </w:tr>
    </w:tbl>
    <w:p>
      <w:pPr>
        <w:pStyle w:val="Heading1"/>
        <w:keepNext/>
        <w:widowControl/>
      </w:pPr>
      <w:r>
        <w:t>9. Human Approval and Safety Model</w:t>
      </w:r>
    </w:p>
    <w:p>
      <w:pPr>
        <w:pStyle w:val="BodyText"/>
        <w:widowControl/>
        <w:spacing w:after="120" w:line="259" w:lineRule="auto"/>
      </w:pPr>
      <w:r>
        <w:t>For ERP systems, not every agent action should be fully automatic. The safest design is to separate low-risk automation from actions that change important financial, operational, or permission data.</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448"/>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Level</w:t>
            </w:r>
          </w:p>
        </w:tc>
        <w:tc>
          <w:tcPr>
            <w:tcW w:type="dxa" w:w="4608"/>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Examples</w:t>
            </w:r>
          </w:p>
        </w:tc>
        <w:tc>
          <w:tcPr>
            <w:tcW w:type="dxa" w:w="2736"/>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Recommended behavior</w:t>
            </w:r>
          </w:p>
        </w:tc>
      </w:tr>
      <w:tr>
        <w:tc>
          <w:tcPr>
            <w:tcW w:type="dxa" w:w="2448"/>
            <w:vAlign w:val="center"/>
            <w:tcBorders>
              <w:top w:sz="4" w:val="single" w:color="D7E3EC"/>
              <w:left w:sz="4" w:val="single" w:color="D7E3EC"/>
              <w:bottom w:sz="4" w:val="single" w:color="D7E3EC"/>
              <w:right w:sz="4" w:val="single" w:color="D7E3EC"/>
            </w:tcBorders>
          </w:tcPr>
          <w:p>
            <w:pPr>
              <w:spacing w:after="40"/>
            </w:pPr>
            <w:r>
              <w:rPr>
                <w:color w:val="25313A"/>
                <w:sz w:val="18"/>
              </w:rPr>
              <w:t>Level 1 - Fully automatic</w:t>
            </w:r>
          </w:p>
        </w:tc>
        <w:tc>
          <w:tcPr>
            <w:tcW w:type="dxa" w:w="4608"/>
            <w:vAlign w:val="center"/>
            <w:tcBorders>
              <w:top w:sz="4" w:val="single" w:color="D7E3EC"/>
              <w:left w:sz="4" w:val="single" w:color="D7E3EC"/>
              <w:bottom w:sz="4" w:val="single" w:color="D7E3EC"/>
              <w:right w:sz="4" w:val="single" w:color="D7E3EC"/>
            </w:tcBorders>
          </w:tcPr>
          <w:p>
            <w:pPr>
              <w:spacing w:after="40"/>
            </w:pPr>
            <w:r>
              <w:rPr>
                <w:color w:val="25313A"/>
                <w:sz w:val="18"/>
              </w:rPr>
              <w:t>Notifications, reminders, reports, low-stock alerts, duplicate detection, data extraction, status checks.</w:t>
            </w:r>
          </w:p>
        </w:tc>
        <w:tc>
          <w:tcPr>
            <w:tcW w:type="dxa" w:w="2736"/>
            <w:vAlign w:val="center"/>
            <w:tcBorders>
              <w:top w:sz="4" w:val="single" w:color="D7E3EC"/>
              <w:left w:sz="4" w:val="single" w:color="D7E3EC"/>
              <w:bottom w:sz="4" w:val="single" w:color="D7E3EC"/>
              <w:right w:sz="4" w:val="single" w:color="D7E3EC"/>
            </w:tcBorders>
          </w:tcPr>
          <w:p>
            <w:pPr>
              <w:spacing w:after="40"/>
            </w:pPr>
            <w:r>
              <w:rPr>
                <w:color w:val="25313A"/>
                <w:sz w:val="18"/>
              </w:rPr>
              <w:t>Execute automatically within configured rules.</w:t>
            </w:r>
          </w:p>
        </w:tc>
      </w:tr>
      <w:tr>
        <w:tc>
          <w:tcPr>
            <w:tcW w:type="dxa" w:w="2448"/>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Level 2 - Draft + approval</w:t>
            </w:r>
          </w:p>
        </w:tc>
        <w:tc>
          <w:tcPr>
            <w:tcW w:type="dxa" w:w="4608"/>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Payment voucher drafts, purchase requests, sales-order drafts, invoice-status changes.</w:t>
            </w:r>
          </w:p>
        </w:tc>
        <w:tc>
          <w:tcPr>
            <w:tcW w:type="dxa" w:w="2736"/>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Agent prepares the action; authorized human confirms.</w:t>
            </w:r>
          </w:p>
        </w:tc>
      </w:tr>
      <w:tr>
        <w:tc>
          <w:tcPr>
            <w:tcW w:type="dxa" w:w="2448"/>
            <w:vAlign w:val="center"/>
            <w:tcBorders>
              <w:top w:sz="4" w:val="single" w:color="D7E3EC"/>
              <w:left w:sz="4" w:val="single" w:color="D7E3EC"/>
              <w:bottom w:sz="4" w:val="single" w:color="D7E3EC"/>
              <w:right w:sz="4" w:val="single" w:color="D7E3EC"/>
            </w:tcBorders>
          </w:tcPr>
          <w:p>
            <w:pPr>
              <w:spacing w:after="40"/>
            </w:pPr>
            <w:r>
              <w:rPr>
                <w:color w:val="25313A"/>
                <w:sz w:val="18"/>
              </w:rPr>
              <w:t>Level 3 - Human approval required</w:t>
            </w:r>
          </w:p>
        </w:tc>
        <w:tc>
          <w:tcPr>
            <w:tcW w:type="dxa" w:w="4608"/>
            <w:vAlign w:val="center"/>
            <w:tcBorders>
              <w:top w:sz="4" w:val="single" w:color="D7E3EC"/>
              <w:left w:sz="4" w:val="single" w:color="D7E3EC"/>
              <w:bottom w:sz="4" w:val="single" w:color="D7E3EC"/>
              <w:right w:sz="4" w:val="single" w:color="D7E3EC"/>
            </w:tcBorders>
          </w:tcPr>
          <w:p>
            <w:pPr>
              <w:spacing w:after="40"/>
            </w:pPr>
            <w:r>
              <w:rPr>
                <w:color w:val="25313A"/>
                <w:sz w:val="18"/>
              </w:rPr>
              <w:t>Money movement, deletion of financial records, major accounting postings, sensitive permission changes, important cancellations.</w:t>
            </w:r>
          </w:p>
        </w:tc>
        <w:tc>
          <w:tcPr>
            <w:tcW w:type="dxa" w:w="2736"/>
            <w:vAlign w:val="center"/>
            <w:tcBorders>
              <w:top w:sz="4" w:val="single" w:color="D7E3EC"/>
              <w:left w:sz="4" w:val="single" w:color="D7E3EC"/>
              <w:bottom w:sz="4" w:val="single" w:color="D7E3EC"/>
              <w:right w:sz="4" w:val="single" w:color="D7E3EC"/>
            </w:tcBorders>
          </w:tcPr>
          <w:p>
            <w:pPr>
              <w:spacing w:after="40"/>
            </w:pPr>
            <w:r>
              <w:rPr>
                <w:color w:val="25313A"/>
                <w:sz w:val="18"/>
              </w:rPr>
              <w:t>Agent prepares and explains; human approval is mandatory.</w:t>
            </w:r>
          </w:p>
        </w:tc>
      </w:tr>
    </w:tbl>
    <w:tbl>
      <w:tblPr>
        <w:tblW w:type="auto" w:w="0"/>
        <w:tblLayout w:type="autofit"/>
        <w:tblLook w:firstColumn="1" w:firstRow="1" w:lastColumn="0" w:lastRow="0" w:noHBand="0" w:noVBand="1" w:val="04A0"/>
      </w:tblPr>
      <w:tblGrid>
        <w:gridCol w:w="9994"/>
      </w:tblGrid>
      <w:tr>
        <w:tc>
          <w:tcPr>
            <w:tcW w:type="dxa" w:w="9994"/>
            <w:shd w:fill="FFF7ED"/>
            <w:tcBorders>
              <w:top w:sz="4" w:val="single" w:color="D7E3EC"/>
              <w:left w:sz="20" w:val="single" w:color="B56B1C"/>
              <w:bottom w:sz="4" w:val="single" w:color="D7E3EC"/>
              <w:right w:sz="4" w:val="single" w:color="D7E3EC"/>
            </w:tcBorders>
          </w:tcPr>
          <w:p>
            <w:pPr>
              <w:spacing w:after="40"/>
            </w:pPr>
            <w:r>
              <w:rPr>
                <w:b/>
                <w:color w:val="B56B1C"/>
                <w:sz w:val="21"/>
              </w:rPr>
              <w:t>Core safety rule</w:t>
            </w:r>
          </w:p>
          <w:p>
            <w:pPr>
              <w:spacing w:after="0"/>
            </w:pPr>
            <w:r>
              <w:rPr>
                <w:sz w:val="19"/>
              </w:rPr>
              <w:t>The agent should never receive unrestricted authority to write arbitrary SQL against tenant databases. Consequential actions should go through approved business tools, validation, authorization, and audit logging.</w:t>
            </w:r>
          </w:p>
        </w:tc>
      </w:tr>
    </w:tbl>
    <w:p>
      <w:pPr>
        <w:widowControl/>
        <w:spacing w:after="0"/>
      </w:pPr>
    </w:p>
    <w:p>
      <w:pPr>
        <w:pStyle w:val="Heading1"/>
        <w:keepNext/>
        <w:widowControl/>
      </w:pPr>
      <w:r>
        <w:t>10. Recommended Ultitech Agent Architecture</w:t>
      </w:r>
    </w:p>
    <w:p>
      <w:pPr>
        <w:pStyle w:val="BodyText"/>
        <w:widowControl/>
        <w:spacing w:after="120" w:line="259" w:lineRule="auto"/>
      </w:pPr>
      <w:r>
        <w:t>The recommended design is an AI agent connected to a controlled tool layer. The agent reasons about what needs to happen; the tool layer enforces the application rules.</w:t>
      </w:r>
    </w:p>
    <w:p>
      <w:pPr>
        <w:spacing w:after="140"/>
        <w:ind w:left="317" w:right="317"/>
        <w:widowControl/>
        <w:shd w:fill="F2F4F5"/>
      </w:pPr>
      <w:r>
        <w:rPr>
          <w:rFonts w:ascii="Consolas" w:hAnsi="Consolas"/>
          <w:color w:val="25313A"/>
          <w:sz w:val="17"/>
        </w:rPr>
        <w:t xml:space="preserve">                    USER</w:t>
        <w:br/>
        <w:t xml:space="preserve">                      |</w:t>
        <w:br/>
        <w:t xml:space="preserve">                      v</w:t>
        <w:br/>
        <w:t xml:space="preserve">                 +-----------+</w:t>
        <w:br/>
        <w:t xml:space="preserve">                 | AI AGENT  |</w:t>
        <w:br/>
        <w:t xml:space="preserve">                 +-----------+</w:t>
        <w:br/>
        <w:t xml:space="preserve">                    /     \</w:t>
        <w:br/>
        <w:t xml:space="preserve">                   /       \</w:t>
        <w:br/>
        <w:t xml:space="preserve">                  v         v</w:t>
        <w:br/>
        <w:t xml:space="preserve">        +---------------+  +----------------+</w:t>
        <w:br/>
        <w:t xml:space="preserve">        |  READ TOOLS   |  | ACTION TOOLS   |</w:t>
        <w:br/>
        <w:t xml:space="preserve">        | get_stock()   |  | create_pv()    |</w:t>
        <w:br/>
        <w:t xml:space="preserve">        | get_invoice() |  | create_order() |</w:t>
        <w:br/>
        <w:t xml:space="preserve">        | get_payables()|  | create_pr()    |</w:t>
        <w:br/>
        <w:t xml:space="preserve">        | get_receivables|  | notify()       |</w:t>
        <w:br/>
        <w:t xml:space="preserve">        +---------------+  +----------------+</w:t>
        <w:br/>
        <w:t xml:space="preserve">                  \         /</w:t>
        <w:br/>
        <w:t xml:space="preserve">                   \       /</w:t>
        <w:br/>
        <w:t xml:space="preserve">                    v     v</w:t>
        <w:br/>
        <w:t xml:space="preserve">              +------------------+</w:t>
        <w:br/>
        <w:t xml:space="preserve">              | ERP BUSINESS     |</w:t>
        <w:br/>
        <w:t xml:space="preserve">              | FUNCTIONS / API  |</w:t>
        <w:br/>
        <w:t xml:space="preserve">              +------------------+</w:t>
        <w:br/>
        <w:t xml:space="preserve">                       |</w:t>
        <w:br/>
        <w:t xml:space="preserve">                       v</w:t>
        <w:br/>
        <w:t xml:space="preserve">              +------------------+</w:t>
        <w:br/>
        <w:t xml:space="preserve">              | CONTROL DB +     |</w:t>
        <w:br/>
        <w:t xml:space="preserve">              | TENANT DATABASES |</w:t>
        <w:br/>
        <w:t xml:space="preserve">              +------------------+</w:t>
      </w:r>
    </w:p>
    <w:p>
      <w:pPr>
        <w:pStyle w:val="Heading2"/>
        <w:keepNext/>
        <w:widowControl/>
      </w:pPr>
      <w:r>
        <w:t>Illustrative agent tool set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584"/>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Tool category</w:t>
            </w:r>
          </w:p>
        </w:tc>
        <w:tc>
          <w:tcPr>
            <w:tcW w:type="dxa" w:w="3024"/>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Example tool</w:t>
            </w:r>
          </w:p>
        </w:tc>
        <w:tc>
          <w:tcPr>
            <w:tcW w:type="dxa" w:w="4608"/>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Purpose</w:t>
            </w:r>
          </w:p>
        </w:tc>
      </w:tr>
      <w:tr>
        <w:tc>
          <w:tcPr>
            <w:tcW w:type="dxa" w:w="1584"/>
            <w:vAlign w:val="center"/>
            <w:tcBorders>
              <w:top w:sz="4" w:val="single" w:color="D7E3EC"/>
              <w:left w:sz="4" w:val="single" w:color="D7E3EC"/>
              <w:bottom w:sz="4" w:val="single" w:color="D7E3EC"/>
              <w:right w:sz="4" w:val="single" w:color="D7E3EC"/>
            </w:tcBorders>
          </w:tcPr>
          <w:p>
            <w:pPr>
              <w:spacing w:after="40"/>
            </w:pPr>
            <w:r>
              <w:rPr>
                <w:color w:val="25313A"/>
                <w:sz w:val="18"/>
              </w:rPr>
              <w:t>Read</w:t>
            </w:r>
          </w:p>
        </w:tc>
        <w:tc>
          <w:tcPr>
            <w:tcW w:type="dxa" w:w="3024"/>
            <w:vAlign w:val="center"/>
            <w:tcBorders>
              <w:top w:sz="4" w:val="single" w:color="D7E3EC"/>
              <w:left w:sz="4" w:val="single" w:color="D7E3EC"/>
              <w:bottom w:sz="4" w:val="single" w:color="D7E3EC"/>
              <w:right w:sz="4" w:val="single" w:color="D7E3EC"/>
            </w:tcBorders>
          </w:tcPr>
          <w:p>
            <w:pPr>
              <w:spacing w:after="40"/>
            </w:pPr>
            <w:r>
              <w:rPr>
                <w:color w:val="25313A"/>
                <w:sz w:val="18"/>
              </w:rPr>
              <w:t>get_stock()</w:t>
            </w:r>
          </w:p>
        </w:tc>
        <w:tc>
          <w:tcPr>
            <w:tcW w:type="dxa" w:w="4608"/>
            <w:vAlign w:val="center"/>
            <w:tcBorders>
              <w:top w:sz="4" w:val="single" w:color="D7E3EC"/>
              <w:left w:sz="4" w:val="single" w:color="D7E3EC"/>
              <w:bottom w:sz="4" w:val="single" w:color="D7E3EC"/>
              <w:right w:sz="4" w:val="single" w:color="D7E3EC"/>
            </w:tcBorders>
          </w:tcPr>
          <w:p>
            <w:pPr>
              <w:spacing w:after="40"/>
            </w:pPr>
            <w:r>
              <w:rPr>
                <w:color w:val="25313A"/>
                <w:sz w:val="18"/>
              </w:rPr>
              <w:t>Read current stock using authorized tenant context.</w:t>
            </w:r>
          </w:p>
        </w:tc>
      </w:tr>
      <w:tr>
        <w:tc>
          <w:tcPr>
            <w:tcW w:type="dxa" w:w="158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Read</w:t>
            </w:r>
          </w:p>
        </w:tc>
        <w:tc>
          <w:tcPr>
            <w:tcW w:type="dxa" w:w="302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search_customer()</w:t>
            </w:r>
          </w:p>
        </w:tc>
        <w:tc>
          <w:tcPr>
            <w:tcW w:type="dxa" w:w="4608"/>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Find a customer from ERP records.</w:t>
            </w:r>
          </w:p>
        </w:tc>
      </w:tr>
      <w:tr>
        <w:tc>
          <w:tcPr>
            <w:tcW w:type="dxa" w:w="1584"/>
            <w:vAlign w:val="center"/>
            <w:tcBorders>
              <w:top w:sz="4" w:val="single" w:color="D7E3EC"/>
              <w:left w:sz="4" w:val="single" w:color="D7E3EC"/>
              <w:bottom w:sz="4" w:val="single" w:color="D7E3EC"/>
              <w:right w:sz="4" w:val="single" w:color="D7E3EC"/>
            </w:tcBorders>
          </w:tcPr>
          <w:p>
            <w:pPr>
              <w:spacing w:after="40"/>
            </w:pPr>
            <w:r>
              <w:rPr>
                <w:color w:val="25313A"/>
                <w:sz w:val="18"/>
              </w:rPr>
              <w:t>Read</w:t>
            </w:r>
          </w:p>
        </w:tc>
        <w:tc>
          <w:tcPr>
            <w:tcW w:type="dxa" w:w="3024"/>
            <w:vAlign w:val="center"/>
            <w:tcBorders>
              <w:top w:sz="4" w:val="single" w:color="D7E3EC"/>
              <w:left w:sz="4" w:val="single" w:color="D7E3EC"/>
              <w:bottom w:sz="4" w:val="single" w:color="D7E3EC"/>
              <w:right w:sz="4" w:val="single" w:color="D7E3EC"/>
            </w:tcBorders>
          </w:tcPr>
          <w:p>
            <w:pPr>
              <w:spacing w:after="40"/>
            </w:pPr>
            <w:r>
              <w:rPr>
                <w:color w:val="25313A"/>
                <w:sz w:val="18"/>
              </w:rPr>
              <w:t>get_invoice()</w:t>
            </w:r>
          </w:p>
        </w:tc>
        <w:tc>
          <w:tcPr>
            <w:tcW w:type="dxa" w:w="4608"/>
            <w:vAlign w:val="center"/>
            <w:tcBorders>
              <w:top w:sz="4" w:val="single" w:color="D7E3EC"/>
              <w:left w:sz="4" w:val="single" w:color="D7E3EC"/>
              <w:bottom w:sz="4" w:val="single" w:color="D7E3EC"/>
              <w:right w:sz="4" w:val="single" w:color="D7E3EC"/>
            </w:tcBorders>
          </w:tcPr>
          <w:p>
            <w:pPr>
              <w:spacing w:after="40"/>
            </w:pPr>
            <w:r>
              <w:rPr>
                <w:color w:val="25313A"/>
                <w:sz w:val="18"/>
              </w:rPr>
              <w:t>Retrieve invoice details and status.</w:t>
            </w:r>
          </w:p>
        </w:tc>
      </w:tr>
      <w:tr>
        <w:tc>
          <w:tcPr>
            <w:tcW w:type="dxa" w:w="158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Read</w:t>
            </w:r>
          </w:p>
        </w:tc>
        <w:tc>
          <w:tcPr>
            <w:tcW w:type="dxa" w:w="302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get_pending_approvals()</w:t>
            </w:r>
          </w:p>
        </w:tc>
        <w:tc>
          <w:tcPr>
            <w:tcW w:type="dxa" w:w="4608"/>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Find work awaiting authorized action.</w:t>
            </w:r>
          </w:p>
        </w:tc>
      </w:tr>
      <w:tr>
        <w:tc>
          <w:tcPr>
            <w:tcW w:type="dxa" w:w="1584"/>
            <w:vAlign w:val="center"/>
            <w:tcBorders>
              <w:top w:sz="4" w:val="single" w:color="D7E3EC"/>
              <w:left w:sz="4" w:val="single" w:color="D7E3EC"/>
              <w:bottom w:sz="4" w:val="single" w:color="D7E3EC"/>
              <w:right w:sz="4" w:val="single" w:color="D7E3EC"/>
            </w:tcBorders>
          </w:tcPr>
          <w:p>
            <w:pPr>
              <w:spacing w:after="40"/>
            </w:pPr>
            <w:r>
              <w:rPr>
                <w:color w:val="25313A"/>
                <w:sz w:val="18"/>
              </w:rPr>
              <w:t>Action</w:t>
            </w:r>
          </w:p>
        </w:tc>
        <w:tc>
          <w:tcPr>
            <w:tcW w:type="dxa" w:w="3024"/>
            <w:vAlign w:val="center"/>
            <w:tcBorders>
              <w:top w:sz="4" w:val="single" w:color="D7E3EC"/>
              <w:left w:sz="4" w:val="single" w:color="D7E3EC"/>
              <w:bottom w:sz="4" w:val="single" w:color="D7E3EC"/>
              <w:right w:sz="4" w:val="single" w:color="D7E3EC"/>
            </w:tcBorders>
          </w:tcPr>
          <w:p>
            <w:pPr>
              <w:spacing w:after="40"/>
            </w:pPr>
            <w:r>
              <w:rPr>
                <w:color w:val="25313A"/>
                <w:sz w:val="18"/>
              </w:rPr>
              <w:t>create_payment_voucher()</w:t>
            </w:r>
          </w:p>
        </w:tc>
        <w:tc>
          <w:tcPr>
            <w:tcW w:type="dxa" w:w="4608"/>
            <w:vAlign w:val="center"/>
            <w:tcBorders>
              <w:top w:sz="4" w:val="single" w:color="D7E3EC"/>
              <w:left w:sz="4" w:val="single" w:color="D7E3EC"/>
              <w:bottom w:sz="4" w:val="single" w:color="D7E3EC"/>
              <w:right w:sz="4" w:val="single" w:color="D7E3EC"/>
            </w:tcBorders>
          </w:tcPr>
          <w:p>
            <w:pPr>
              <w:spacing w:after="40"/>
            </w:pPr>
            <w:r>
              <w:rPr>
                <w:color w:val="25313A"/>
                <w:sz w:val="18"/>
              </w:rPr>
              <w:t>Create a validated PV draft.</w:t>
            </w:r>
          </w:p>
        </w:tc>
      </w:tr>
      <w:tr>
        <w:tc>
          <w:tcPr>
            <w:tcW w:type="dxa" w:w="158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Action</w:t>
            </w:r>
          </w:p>
        </w:tc>
        <w:tc>
          <w:tcPr>
            <w:tcW w:type="dxa" w:w="302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create_sales_order()</w:t>
            </w:r>
          </w:p>
        </w:tc>
        <w:tc>
          <w:tcPr>
            <w:tcW w:type="dxa" w:w="4608"/>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Create a sales-order draft using ERP rules.</w:t>
            </w:r>
          </w:p>
        </w:tc>
      </w:tr>
      <w:tr>
        <w:tc>
          <w:tcPr>
            <w:tcW w:type="dxa" w:w="1584"/>
            <w:vAlign w:val="center"/>
            <w:tcBorders>
              <w:top w:sz="4" w:val="single" w:color="D7E3EC"/>
              <w:left w:sz="4" w:val="single" w:color="D7E3EC"/>
              <w:bottom w:sz="4" w:val="single" w:color="D7E3EC"/>
              <w:right w:sz="4" w:val="single" w:color="D7E3EC"/>
            </w:tcBorders>
          </w:tcPr>
          <w:p>
            <w:pPr>
              <w:spacing w:after="40"/>
            </w:pPr>
            <w:r>
              <w:rPr>
                <w:color w:val="25313A"/>
                <w:sz w:val="18"/>
              </w:rPr>
              <w:t>Action</w:t>
            </w:r>
          </w:p>
        </w:tc>
        <w:tc>
          <w:tcPr>
            <w:tcW w:type="dxa" w:w="3024"/>
            <w:vAlign w:val="center"/>
            <w:tcBorders>
              <w:top w:sz="4" w:val="single" w:color="D7E3EC"/>
              <w:left w:sz="4" w:val="single" w:color="D7E3EC"/>
              <w:bottom w:sz="4" w:val="single" w:color="D7E3EC"/>
              <w:right w:sz="4" w:val="single" w:color="D7E3EC"/>
            </w:tcBorders>
          </w:tcPr>
          <w:p>
            <w:pPr>
              <w:spacing w:after="40"/>
            </w:pPr>
            <w:r>
              <w:rPr>
                <w:color w:val="25313A"/>
                <w:sz w:val="18"/>
              </w:rPr>
              <w:t>create_purchase_request()</w:t>
            </w:r>
          </w:p>
        </w:tc>
        <w:tc>
          <w:tcPr>
            <w:tcW w:type="dxa" w:w="4608"/>
            <w:vAlign w:val="center"/>
            <w:tcBorders>
              <w:top w:sz="4" w:val="single" w:color="D7E3EC"/>
              <w:left w:sz="4" w:val="single" w:color="D7E3EC"/>
              <w:bottom w:sz="4" w:val="single" w:color="D7E3EC"/>
              <w:right w:sz="4" w:val="single" w:color="D7E3EC"/>
            </w:tcBorders>
          </w:tcPr>
          <w:p>
            <w:pPr>
              <w:spacing w:after="40"/>
            </w:pPr>
            <w:r>
              <w:rPr>
                <w:color w:val="25313A"/>
                <w:sz w:val="18"/>
              </w:rPr>
              <w:t>Create procurement work from approved triggers.</w:t>
            </w:r>
          </w:p>
        </w:tc>
      </w:tr>
      <w:tr>
        <w:tc>
          <w:tcPr>
            <w:tcW w:type="dxa" w:w="158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Action</w:t>
            </w:r>
          </w:p>
        </w:tc>
        <w:tc>
          <w:tcPr>
            <w:tcW w:type="dxa" w:w="3024"/>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create_notification()</w:t>
            </w:r>
          </w:p>
        </w:tc>
        <w:tc>
          <w:tcPr>
            <w:tcW w:type="dxa" w:w="4608"/>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Send an ERP notification to the responsible user.</w:t>
            </w:r>
          </w:p>
        </w:tc>
      </w:tr>
      <w:tr>
        <w:tc>
          <w:tcPr>
            <w:tcW w:type="dxa" w:w="1584"/>
            <w:vAlign w:val="center"/>
            <w:tcBorders>
              <w:top w:sz="4" w:val="single" w:color="D7E3EC"/>
              <w:left w:sz="4" w:val="single" w:color="D7E3EC"/>
              <w:bottom w:sz="4" w:val="single" w:color="D7E3EC"/>
              <w:right w:sz="4" w:val="single" w:color="D7E3EC"/>
            </w:tcBorders>
          </w:tcPr>
          <w:p>
            <w:pPr>
              <w:spacing w:after="40"/>
            </w:pPr>
            <w:r>
              <w:rPr>
                <w:color w:val="25313A"/>
                <w:sz w:val="18"/>
              </w:rPr>
              <w:t>Action</w:t>
            </w:r>
          </w:p>
        </w:tc>
        <w:tc>
          <w:tcPr>
            <w:tcW w:type="dxa" w:w="3024"/>
            <w:vAlign w:val="center"/>
            <w:tcBorders>
              <w:top w:sz="4" w:val="single" w:color="D7E3EC"/>
              <w:left w:sz="4" w:val="single" w:color="D7E3EC"/>
              <w:bottom w:sz="4" w:val="single" w:color="D7E3EC"/>
              <w:right w:sz="4" w:val="single" w:color="D7E3EC"/>
            </w:tcBorders>
          </w:tcPr>
          <w:p>
            <w:pPr>
              <w:spacing w:after="40"/>
            </w:pPr>
            <w:r>
              <w:rPr>
                <w:color w:val="25313A"/>
                <w:sz w:val="18"/>
              </w:rPr>
              <w:t>generate_report()</w:t>
            </w:r>
          </w:p>
        </w:tc>
        <w:tc>
          <w:tcPr>
            <w:tcW w:type="dxa" w:w="4608"/>
            <w:vAlign w:val="center"/>
            <w:tcBorders>
              <w:top w:sz="4" w:val="single" w:color="D7E3EC"/>
              <w:left w:sz="4" w:val="single" w:color="D7E3EC"/>
              <w:bottom w:sz="4" w:val="single" w:color="D7E3EC"/>
              <w:right w:sz="4" w:val="single" w:color="D7E3EC"/>
            </w:tcBorders>
          </w:tcPr>
          <w:p>
            <w:pPr>
              <w:spacing w:after="40"/>
            </w:pPr>
            <w:r>
              <w:rPr>
                <w:color w:val="25313A"/>
                <w:sz w:val="18"/>
              </w:rPr>
              <w:t>Produce a structured report from authorized ERP data.</w:t>
            </w:r>
          </w:p>
        </w:tc>
      </w:tr>
    </w:tbl>
    <w:p>
      <w:pPr>
        <w:pStyle w:val="BodyText"/>
        <w:widowControl/>
        <w:spacing w:after="120" w:line="259" w:lineRule="auto"/>
      </w:pPr>
      <w:r>
        <w:t>Tenant security is especially important in Ultitech because company routing is central to the current architecture. The agent should always execute in an explicit company context and use the same authorization boundary as the logged-in user or service identity.</w:t>
      </w:r>
    </w:p>
    <w:p>
      <w:pPr>
        <w:pStyle w:val="Heading1"/>
        <w:keepNext/>
        <w:widowControl/>
      </w:pPr>
      <w:r>
        <w:t>11. Recommended First Implementation Phase</w:t>
      </w:r>
    </w:p>
    <w:p>
      <w:pPr>
        <w:pStyle w:val="BodyText"/>
        <w:widowControl/>
        <w:spacing w:after="120" w:line="259" w:lineRule="auto"/>
      </w:pPr>
      <w:r>
        <w:t>A practical first phase should focus on high-value, low-complexity workflows that can prove the agent model without giving it unrestricted authority.</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79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Priority</w:t>
            </w:r>
          </w:p>
        </w:tc>
        <w:tc>
          <w:tcPr>
            <w:tcW w:type="dxa" w:w="2880"/>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Automation</w:t>
            </w:r>
          </w:p>
        </w:tc>
        <w:tc>
          <w:tcPr>
            <w:tcW w:type="dxa" w:w="403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Trigger</w:t>
            </w:r>
          </w:p>
        </w:tc>
        <w:tc>
          <w:tcPr>
            <w:tcW w:type="dxa" w:w="1872"/>
            <w:vAlign w:val="center"/>
            <w:shd w:fill="17324D"/>
            <w:tcBorders>
              <w:top w:sz="4" w:val="single" w:color="D7E3EC"/>
              <w:left w:sz="4" w:val="single" w:color="D7E3EC"/>
              <w:bottom w:sz="4" w:val="single" w:color="D7E3EC"/>
              <w:right w:sz="4" w:val="single" w:color="D7E3EC"/>
            </w:tcBorders>
          </w:tcPr>
          <w:p>
            <w:pPr>
              <w:spacing w:after="40"/>
            </w:pPr>
            <w:r>
              <w:rPr>
                <w:b/>
                <w:color w:val="FFFFFF"/>
                <w:sz w:val="18"/>
              </w:rPr>
              <w:t>Approval</w:t>
            </w:r>
          </w:p>
        </w:tc>
      </w:tr>
      <w:tr>
        <w:tc>
          <w:tcPr>
            <w:tcW w:type="dxa" w:w="792"/>
            <w:vAlign w:val="center"/>
            <w:tcBorders>
              <w:top w:sz="4" w:val="single" w:color="D7E3EC"/>
              <w:left w:sz="4" w:val="single" w:color="D7E3EC"/>
              <w:bottom w:sz="4" w:val="single" w:color="D7E3EC"/>
              <w:right w:sz="4" w:val="single" w:color="D7E3EC"/>
            </w:tcBorders>
          </w:tcPr>
          <w:p>
            <w:pPr>
              <w:spacing w:after="40"/>
            </w:pPr>
            <w:r>
              <w:rPr>
                <w:color w:val="25313A"/>
                <w:sz w:val="18"/>
              </w:rPr>
              <w:t>1</w:t>
            </w:r>
          </w:p>
        </w:tc>
        <w:tc>
          <w:tcPr>
            <w:tcW w:type="dxa" w:w="2880"/>
            <w:vAlign w:val="center"/>
            <w:tcBorders>
              <w:top w:sz="4" w:val="single" w:color="D7E3EC"/>
              <w:left w:sz="4" w:val="single" w:color="D7E3EC"/>
              <w:bottom w:sz="4" w:val="single" w:color="D7E3EC"/>
              <w:right w:sz="4" w:val="single" w:color="D7E3EC"/>
            </w:tcBorders>
          </w:tcPr>
          <w:p>
            <w:pPr>
              <w:spacing w:after="40"/>
            </w:pPr>
            <w:r>
              <w:rPr>
                <w:color w:val="25313A"/>
                <w:sz w:val="18"/>
              </w:rPr>
              <w:t>Payment voucher draft</w:t>
            </w:r>
          </w:p>
        </w:tc>
        <w:tc>
          <w:tcPr>
            <w:tcW w:type="dxa" w:w="4032"/>
            <w:vAlign w:val="center"/>
            <w:tcBorders>
              <w:top w:sz="4" w:val="single" w:color="D7E3EC"/>
              <w:left w:sz="4" w:val="single" w:color="D7E3EC"/>
              <w:bottom w:sz="4" w:val="single" w:color="D7E3EC"/>
              <w:right w:sz="4" w:val="single" w:color="D7E3EC"/>
            </w:tcBorders>
          </w:tcPr>
          <w:p>
            <w:pPr>
              <w:spacing w:after="40"/>
            </w:pPr>
            <w:r>
              <w:rPr>
                <w:color w:val="25313A"/>
                <w:sz w:val="18"/>
              </w:rPr>
              <w:t>Approved invoice/payment request becomes available.</w:t>
            </w:r>
          </w:p>
        </w:tc>
        <w:tc>
          <w:tcPr>
            <w:tcW w:type="dxa" w:w="1872"/>
            <w:vAlign w:val="center"/>
            <w:tcBorders>
              <w:top w:sz="4" w:val="single" w:color="D7E3EC"/>
              <w:left w:sz="4" w:val="single" w:color="D7E3EC"/>
              <w:bottom w:sz="4" w:val="single" w:color="D7E3EC"/>
              <w:right w:sz="4" w:val="single" w:color="D7E3EC"/>
            </w:tcBorders>
          </w:tcPr>
          <w:p>
            <w:pPr>
              <w:spacing w:after="40"/>
            </w:pPr>
            <w:r>
              <w:rPr>
                <w:color w:val="25313A"/>
                <w:sz w:val="18"/>
              </w:rPr>
              <w:t>Human approval.</w:t>
            </w:r>
          </w:p>
        </w:tc>
      </w:tr>
      <w:tr>
        <w:tc>
          <w:tcPr>
            <w:tcW w:type="dxa" w:w="79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2</w:t>
            </w:r>
          </w:p>
        </w:tc>
        <w:tc>
          <w:tcPr>
            <w:tcW w:type="dxa" w:w="28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Low-stock detection</w:t>
            </w:r>
          </w:p>
        </w:tc>
        <w:tc>
          <w:tcPr>
            <w:tcW w:type="dxa" w:w="403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Stock falls below configured threshold.</w:t>
            </w:r>
          </w:p>
        </w:tc>
        <w:tc>
          <w:tcPr>
            <w:tcW w:type="dxa" w:w="187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Automatic alert; optional procurement draft.</w:t>
            </w:r>
          </w:p>
        </w:tc>
      </w:tr>
      <w:tr>
        <w:tc>
          <w:tcPr>
            <w:tcW w:type="dxa" w:w="792"/>
            <w:vAlign w:val="center"/>
            <w:tcBorders>
              <w:top w:sz="4" w:val="single" w:color="D7E3EC"/>
              <w:left w:sz="4" w:val="single" w:color="D7E3EC"/>
              <w:bottom w:sz="4" w:val="single" w:color="D7E3EC"/>
              <w:right w:sz="4" w:val="single" w:color="D7E3EC"/>
            </w:tcBorders>
          </w:tcPr>
          <w:p>
            <w:pPr>
              <w:spacing w:after="40"/>
            </w:pPr>
            <w:r>
              <w:rPr>
                <w:color w:val="25313A"/>
                <w:sz w:val="18"/>
              </w:rPr>
              <w:t>3</w:t>
            </w:r>
          </w:p>
        </w:tc>
        <w:tc>
          <w:tcPr>
            <w:tcW w:type="dxa" w:w="2880"/>
            <w:vAlign w:val="center"/>
            <w:tcBorders>
              <w:top w:sz="4" w:val="single" w:color="D7E3EC"/>
              <w:left w:sz="4" w:val="single" w:color="D7E3EC"/>
              <w:bottom w:sz="4" w:val="single" w:color="D7E3EC"/>
              <w:right w:sz="4" w:val="single" w:color="D7E3EC"/>
            </w:tcBorders>
          </w:tcPr>
          <w:p>
            <w:pPr>
              <w:spacing w:after="40"/>
            </w:pPr>
            <w:r>
              <w:rPr>
                <w:color w:val="25313A"/>
                <w:sz w:val="18"/>
              </w:rPr>
              <w:t>Pending-approval monitor</w:t>
            </w:r>
          </w:p>
        </w:tc>
        <w:tc>
          <w:tcPr>
            <w:tcW w:type="dxa" w:w="4032"/>
            <w:vAlign w:val="center"/>
            <w:tcBorders>
              <w:top w:sz="4" w:val="single" w:color="D7E3EC"/>
              <w:left w:sz="4" w:val="single" w:color="D7E3EC"/>
              <w:bottom w:sz="4" w:val="single" w:color="D7E3EC"/>
              <w:right w:sz="4" w:val="single" w:color="D7E3EC"/>
            </w:tcBorders>
          </w:tcPr>
          <w:p>
            <w:pPr>
              <w:spacing w:after="40"/>
            </w:pPr>
            <w:r>
              <w:rPr>
                <w:color w:val="25313A"/>
                <w:sz w:val="18"/>
              </w:rPr>
              <w:t>Workflow remains pending beyond threshold.</w:t>
            </w:r>
          </w:p>
        </w:tc>
        <w:tc>
          <w:tcPr>
            <w:tcW w:type="dxa" w:w="1872"/>
            <w:vAlign w:val="center"/>
            <w:tcBorders>
              <w:top w:sz="4" w:val="single" w:color="D7E3EC"/>
              <w:left w:sz="4" w:val="single" w:color="D7E3EC"/>
              <w:bottom w:sz="4" w:val="single" w:color="D7E3EC"/>
              <w:right w:sz="4" w:val="single" w:color="D7E3EC"/>
            </w:tcBorders>
          </w:tcPr>
          <w:p>
            <w:pPr>
              <w:spacing w:after="40"/>
            </w:pPr>
            <w:r>
              <w:rPr>
                <w:color w:val="25313A"/>
                <w:sz w:val="18"/>
              </w:rPr>
              <w:t>Automatic reminder.</w:t>
            </w:r>
          </w:p>
        </w:tc>
      </w:tr>
      <w:tr>
        <w:tc>
          <w:tcPr>
            <w:tcW w:type="dxa" w:w="79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4</w:t>
            </w:r>
          </w:p>
        </w:tc>
        <w:tc>
          <w:tcPr>
            <w:tcW w:type="dxa" w:w="28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Receivables monitor</w:t>
            </w:r>
          </w:p>
        </w:tc>
        <w:tc>
          <w:tcPr>
            <w:tcW w:type="dxa" w:w="403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Invoice becomes overdue.</w:t>
            </w:r>
          </w:p>
        </w:tc>
        <w:tc>
          <w:tcPr>
            <w:tcW w:type="dxa" w:w="187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Automatic alert; optional follow-up draft.</w:t>
            </w:r>
          </w:p>
        </w:tc>
      </w:tr>
      <w:tr>
        <w:tc>
          <w:tcPr>
            <w:tcW w:type="dxa" w:w="792"/>
            <w:vAlign w:val="center"/>
            <w:tcBorders>
              <w:top w:sz="4" w:val="single" w:color="D7E3EC"/>
              <w:left w:sz="4" w:val="single" w:color="D7E3EC"/>
              <w:bottom w:sz="4" w:val="single" w:color="D7E3EC"/>
              <w:right w:sz="4" w:val="single" w:color="D7E3EC"/>
            </w:tcBorders>
          </w:tcPr>
          <w:p>
            <w:pPr>
              <w:spacing w:after="40"/>
            </w:pPr>
            <w:r>
              <w:rPr>
                <w:color w:val="25313A"/>
                <w:sz w:val="18"/>
              </w:rPr>
              <w:t>5</w:t>
            </w:r>
          </w:p>
        </w:tc>
        <w:tc>
          <w:tcPr>
            <w:tcW w:type="dxa" w:w="2880"/>
            <w:vAlign w:val="center"/>
            <w:tcBorders>
              <w:top w:sz="4" w:val="single" w:color="D7E3EC"/>
              <w:left w:sz="4" w:val="single" w:color="D7E3EC"/>
              <w:bottom w:sz="4" w:val="single" w:color="D7E3EC"/>
              <w:right w:sz="4" w:val="single" w:color="D7E3EC"/>
            </w:tcBorders>
          </w:tcPr>
          <w:p>
            <w:pPr>
              <w:spacing w:after="40"/>
            </w:pPr>
            <w:r>
              <w:rPr>
                <w:color w:val="25313A"/>
                <w:sz w:val="18"/>
              </w:rPr>
              <w:t>Daily management briefing</w:t>
            </w:r>
          </w:p>
        </w:tc>
        <w:tc>
          <w:tcPr>
            <w:tcW w:type="dxa" w:w="4032"/>
            <w:vAlign w:val="center"/>
            <w:tcBorders>
              <w:top w:sz="4" w:val="single" w:color="D7E3EC"/>
              <w:left w:sz="4" w:val="single" w:color="D7E3EC"/>
              <w:bottom w:sz="4" w:val="single" w:color="D7E3EC"/>
              <w:right w:sz="4" w:val="single" w:color="D7E3EC"/>
            </w:tcBorders>
          </w:tcPr>
          <w:p>
            <w:pPr>
              <w:spacing w:after="40"/>
            </w:pPr>
            <w:r>
              <w:rPr>
                <w:color w:val="25313A"/>
                <w:sz w:val="18"/>
              </w:rPr>
              <w:t>Scheduled daily run.</w:t>
            </w:r>
          </w:p>
        </w:tc>
        <w:tc>
          <w:tcPr>
            <w:tcW w:type="dxa" w:w="1872"/>
            <w:vAlign w:val="center"/>
            <w:tcBorders>
              <w:top w:sz="4" w:val="single" w:color="D7E3EC"/>
              <w:left w:sz="4" w:val="single" w:color="D7E3EC"/>
              <w:bottom w:sz="4" w:val="single" w:color="D7E3EC"/>
              <w:right w:sz="4" w:val="single" w:color="D7E3EC"/>
            </w:tcBorders>
          </w:tcPr>
          <w:p>
            <w:pPr>
              <w:spacing w:after="40"/>
            </w:pPr>
            <w:r>
              <w:rPr>
                <w:color w:val="25313A"/>
                <w:sz w:val="18"/>
              </w:rPr>
              <w:t>Automatic report.</w:t>
            </w:r>
          </w:p>
        </w:tc>
      </w:tr>
      <w:tr>
        <w:tc>
          <w:tcPr>
            <w:tcW w:type="dxa" w:w="79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6</w:t>
            </w:r>
          </w:p>
        </w:tc>
        <w:tc>
          <w:tcPr>
            <w:tcW w:type="dxa" w:w="2880"/>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Duplicate/anomaly detection</w:t>
            </w:r>
          </w:p>
        </w:tc>
        <w:tc>
          <w:tcPr>
            <w:tcW w:type="dxa" w:w="403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New or updated transaction.</w:t>
            </w:r>
          </w:p>
        </w:tc>
        <w:tc>
          <w:tcPr>
            <w:tcW w:type="dxa" w:w="1872"/>
            <w:vAlign w:val="center"/>
            <w:shd w:fill="F7FAFC"/>
            <w:tcBorders>
              <w:top w:sz="4" w:val="single" w:color="D7E3EC"/>
              <w:left w:sz="4" w:val="single" w:color="D7E3EC"/>
              <w:bottom w:sz="4" w:val="single" w:color="D7E3EC"/>
              <w:right w:sz="4" w:val="single" w:color="D7E3EC"/>
            </w:tcBorders>
          </w:tcPr>
          <w:p>
            <w:pPr>
              <w:spacing w:after="40"/>
            </w:pPr>
            <w:r>
              <w:rPr>
                <w:color w:val="25313A"/>
                <w:sz w:val="18"/>
              </w:rPr>
              <w:t>Human review of flagged cases.</w:t>
            </w:r>
          </w:p>
        </w:tc>
      </w:tr>
    </w:tbl>
    <w:p>
      <w:pPr>
        <w:pStyle w:val="Heading2"/>
        <w:keepNext/>
        <w:widowControl/>
      </w:pPr>
      <w:r>
        <w:t>Implementation sequence</w:t>
      </w:r>
    </w:p>
    <w:p>
      <w:pPr>
        <w:pStyle w:val="ListNumber"/>
        <w:widowControl/>
        <w:spacing w:after="60"/>
      </w:pPr>
      <w:r>
        <w:t>Define the agent's allowed tools and their exact input/output schemas.</w:t>
      </w:r>
    </w:p>
    <w:p>
      <w:pPr>
        <w:pStyle w:val="ListNumber"/>
        <w:widowControl/>
        <w:spacing w:after="60"/>
      </w:pPr>
      <w:r>
        <w:t>Implement read-only tools first and verify tenant isolation.</w:t>
      </w:r>
    </w:p>
    <w:p>
      <w:pPr>
        <w:pStyle w:val="ListNumber"/>
        <w:widowControl/>
        <w:spacing w:after="60"/>
      </w:pPr>
      <w:r>
        <w:t>Add draft-creation tools for payment vouchers, sales orders, and procurement requests.</w:t>
      </w:r>
    </w:p>
    <w:p>
      <w:pPr>
        <w:pStyle w:val="ListNumber"/>
        <w:widowControl/>
        <w:spacing w:after="60"/>
      </w:pPr>
      <w:r>
        <w:t>Add approval routing and notifications.</w:t>
      </w:r>
    </w:p>
    <w:p>
      <w:pPr>
        <w:pStyle w:val="ListNumber"/>
        <w:widowControl/>
        <w:spacing w:after="60"/>
      </w:pPr>
      <w:r>
        <w:t>Add audit logs for every agent action, including tool name, user/service identity, tenant, timestamp, inputs, result, and approval state.</w:t>
      </w:r>
    </w:p>
    <w:p>
      <w:pPr>
        <w:pStyle w:val="ListNumber"/>
        <w:widowControl/>
        <w:spacing w:after="60"/>
      </w:pPr>
      <w:r>
        <w:t>Only then introduce external ingestion such as email, documents, WhatsApp, or banking integrations.</w:t>
      </w:r>
    </w:p>
    <w:p>
      <w:pPr>
        <w:pStyle w:val="Heading1"/>
        <w:keepNext/>
        <w:widowControl/>
      </w:pPr>
      <w:r>
        <w:t>12. Target Operating Model</w:t>
      </w:r>
    </w:p>
    <w:p>
      <w:pPr>
        <w:pStyle w:val="BodyText"/>
        <w:widowControl/>
        <w:spacing w:after="120" w:line="259" w:lineRule="auto"/>
      </w:pPr>
      <w:r>
        <w:t>The long-term model for Ultitech can be summarized as an event-driven ERP in which the system captures work from business events instead of requiring users to recreate the same information manually across forms.</w:t>
      </w:r>
    </w:p>
    <w:p>
      <w:pPr>
        <w:spacing w:after="140"/>
        <w:ind w:left="317" w:right="317"/>
        <w:widowControl/>
        <w:shd w:fill="F2F4F5"/>
      </w:pPr>
      <w:r>
        <w:rPr>
          <w:rFonts w:ascii="Consolas" w:hAnsi="Consolas"/>
          <w:color w:val="25313A"/>
          <w:sz w:val="17"/>
        </w:rPr>
        <w:t>BUSINESS EVENT</w:t>
        <w:br/>
        <w:t xml:space="preserve">   |</w:t>
        <w:br/>
        <w:t xml:space="preserve">   +--&gt; Email / document / user command / ERP record change</w:t>
        <w:br/>
        <w:t xml:space="preserve">   |</w:t>
        <w:br/>
        <w:t xml:space="preserve">   v</w:t>
        <w:br/>
        <w:t>AI AGENT</w:t>
        <w:br/>
        <w:t xml:space="preserve">   |</w:t>
        <w:br/>
        <w:t xml:space="preserve">   +--&gt; identify intent</w:t>
        <w:br/>
        <w:t xml:space="preserve">   +--&gt; retrieve ERP facts</w:t>
        <w:br/>
        <w:t xml:space="preserve">   +--&gt; validate required data</w:t>
        <w:br/>
        <w:t xml:space="preserve">   +--&gt; choose approved tool</w:t>
        <w:br/>
        <w:t xml:space="preserve">   |</w:t>
        <w:br/>
        <w:t xml:space="preserve">   +--&gt; low-risk action --------&gt; execute</w:t>
        <w:br/>
        <w:t xml:space="preserve">   |</w:t>
        <w:br/>
        <w:t xml:space="preserve">   +--&gt; consequential action ---&gt; draft + request approval</w:t>
        <w:br/>
        <w:t xml:space="preserve">   |</w:t>
        <w:br/>
        <w:t xml:space="preserve">   v</w:t>
        <w:br/>
        <w:t>AUDIT + NOTIFICATION + REPORTING</w:t>
      </w:r>
    </w:p>
    <w:tbl>
      <w:tblPr>
        <w:tblW w:type="auto" w:w="0"/>
        <w:tblLayout w:type="autofit"/>
        <w:tblLook w:firstColumn="1" w:firstRow="1" w:lastColumn="0" w:lastRow="0" w:noHBand="0" w:noVBand="1" w:val="04A0"/>
      </w:tblPr>
      <w:tblGrid>
        <w:gridCol w:w="9994"/>
      </w:tblGrid>
      <w:tr>
        <w:tc>
          <w:tcPr>
            <w:tcW w:type="dxa" w:w="9994"/>
            <w:shd w:fill="EEF4F8"/>
            <w:tcBorders>
              <w:top w:sz="4" w:val="single" w:color="D7E3EC"/>
              <w:left w:sz="20" w:val="single" w:color="2F6B9A"/>
              <w:bottom w:sz="4" w:val="single" w:color="D7E3EC"/>
              <w:right w:sz="4" w:val="single" w:color="D7E3EC"/>
            </w:tcBorders>
          </w:tcPr>
          <w:p>
            <w:pPr>
              <w:spacing w:after="40"/>
            </w:pPr>
            <w:r>
              <w:rPr>
                <w:b/>
                <w:color w:val="2F6B9A"/>
                <w:sz w:val="21"/>
              </w:rPr>
              <w:t>Target behavior</w:t>
            </w:r>
          </w:p>
          <w:p>
            <w:pPr>
              <w:spacing w:after="0"/>
            </w:pPr>
            <w:r>
              <w:rPr>
                <w:sz w:val="19"/>
              </w:rPr>
              <w:t>The user should be able to say what needs to happen in business language, while the agent translates that intent into validated ERP operations. The ERP remains the system of record; the agent becomes the execution and intelligence layer.</w:t>
            </w:r>
          </w:p>
        </w:tc>
      </w:tr>
    </w:tbl>
    <w:p>
      <w:pPr>
        <w:widowControl/>
        <w:spacing w:after="0"/>
      </w:pPr>
    </w:p>
    <w:p>
      <w:pPr>
        <w:pStyle w:val="Heading2"/>
        <w:keepNext/>
        <w:widowControl/>
      </w:pPr>
      <w:r>
        <w:t>What changes for the user</w:t>
      </w:r>
    </w:p>
    <w:p>
      <w:pPr>
        <w:pStyle w:val="BodyText"/>
        <w:widowControl/>
        <w:spacing w:after="120" w:line="259" w:lineRule="auto"/>
      </w:pPr>
      <w:r>
        <w:t>Today, a user may need to open a form, search for data, type values, save the record, and then notify another person. In the target model, the user can provide the business instruction once, and the agent handles retrieval, preparation, routing, and notifications where permitted.</w:t>
      </w:r>
    </w:p>
    <w:p>
      <w:pPr>
        <w:pStyle w:val="BodyText"/>
        <w:widowControl/>
        <w:spacing w:after="120" w:line="259" w:lineRule="auto"/>
      </w:pPr>
      <w:r>
        <w:t>This does not mean every process becomes fully autonomous. The system should deliberately keep humans in control of high-impact decisions and exceptions.</w:t>
      </w:r>
    </w:p>
    <w:p>
      <w:pPr>
        <w:pStyle w:val="Heading1"/>
        <w:keepNext/>
        <w:widowControl/>
      </w:pPr>
      <w:r>
        <w:t>13. Source and Scope Notes</w:t>
      </w:r>
    </w:p>
    <w:p>
      <w:pPr>
        <w:pStyle w:val="BodyText"/>
        <w:widowControl/>
        <w:spacing w:after="120" w:line="259" w:lineRule="auto"/>
      </w:pPr>
      <w:r>
        <w:t>This blueprint is based on the provided Ultitech ERP README. The README describes the system as a multi-company PHP ERP running on XAMPP locally and StackCP in production, with a control database for shared metadata and tenant databases for operational data. It documents company mapping, centralized login routing, payment vouchers, sales, products, stock/procurement-related data, meetings, notifications, configuration, and deployment/security notes.</w:t>
      </w:r>
    </w:p>
    <w:p>
      <w:pPr>
        <w:pStyle w:val="BodyText"/>
        <w:widowControl/>
        <w:spacing w:after="120" w:line="259" w:lineRule="auto"/>
      </w:pPr>
      <w:r>
        <w:t>The README does not document dedicated AI-agent services, email ingestion, WhatsApp integration, banking APIs, or document-processing pipelines. Those items are therefore presented here as proposed extensions rather than existing capabilities.</w:t>
      </w:r>
    </w:p>
    <w:p>
      <w:pPr>
        <w:pStyle w:val="BodyText"/>
        <w:widowControl/>
        <w:spacing w:after="120" w:line="259" w:lineRule="auto"/>
      </w:pPr>
      <w:r>
        <w:t>The recommendations in this document describe an implementation direction. Exact tool names, database fields, permissions, approval rules, event triggers, and integration mechanisms should be mapped to the actual ERP codebase before implementation.</w:t>
      </w:r>
    </w:p>
    <w:p>
      <w:pPr>
        <w:pStyle w:val="Heading1"/>
        <w:keepNext/>
        <w:widowControl/>
      </w:pPr>
      <w:r>
        <w:t>Conclusion</w:t>
      </w:r>
    </w:p>
    <w:p>
      <w:pPr>
        <w:pStyle w:val="BodyText"/>
        <w:widowControl/>
        <w:spacing w:after="120" w:line="259" w:lineRule="auto"/>
      </w:pPr>
      <w:r>
        <w:t>The most valuable role for the Ultitech AI agent is to eliminate repetitive recording while preserving the ERP as the authoritative system of record. Start with safe monitoring and draft creation, then expand toward external data ingestion and broader workflow automation. The key architectural principle is controlled tools, explicit tenant context, strong validation, human approval for consequential actions, and complete auditability.</w:t>
      </w:r>
    </w:p>
    <w:p>
      <w:pPr>
        <w:widowControl/>
        <w:jc w:val="center"/>
      </w:pPr>
      <w:r>
        <w:rPr>
          <w:i/>
          <w:color w:val="66727C"/>
          <w:sz w:val="18"/>
        </w:rPr>
        <w:t>End of document</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27C"/>
        <w:sz w:val="16"/>
      </w:rPr>
      <w:t>Ultitech ERP - AI Agent Automation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6727C"/>
        <w:sz w:val="16"/>
      </w:rPr>
      <w:t>ULTITECH ERP  |  AI AGENT AUTOMATION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531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6B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2F6B9A"/>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Ultitech ERP - AI Agent Automation Blueprint</dc:title>
  <dc:subject>AI agent automation opportunities for Ultitech ERP</dc:subject>
  <dc:creator>Ultitech ERP</dc:creator>
  <cp:keywords>Ultitech ERP, AI Agent, ERP Automation, Finance, Sales, Inventory, Procurement</cp:keywords>
  <dc:description>generated by python-docx</dc:description>
  <cp:lastModifiedBy/>
  <cp:revision>1</cp:revision>
  <dcterms:created xsi:type="dcterms:W3CDTF">2013-12-23T23:15:00Z</dcterms:created>
  <dcterms:modified xsi:type="dcterms:W3CDTF">2013-12-23T23:15:00Z</dcterms:modified>
  <cp:category/>
</cp:coreProperties>
</file>