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inance_tools"/>
      <w:r>
        <w:t xml:space="preserve">finance_tools</w:t>
      </w:r>
      <w:bookmarkEnd w:id="20"/>
    </w:p>
    <w:p>
      <w:pPr>
        <w:pStyle w:val="FirstParagraph"/>
      </w:pPr>
      <w:r>
        <w:t xml:space="preserve">日本株売買予測ツール（仮）</w:t>
      </w:r>
    </w:p>
    <w:p>
      <w:pPr>
        <w:pStyle w:val="Heading2"/>
      </w:pPr>
      <w:bookmarkStart w:id="21" w:name="セットアップ"/>
      <w:r>
        <w:t xml:space="preserve">セットアップ</w:t>
      </w:r>
      <w:bookmarkEnd w:id="21"/>
    </w:p>
    <w:p>
      <w:pPr>
        <w:pStyle w:val="FirstParagraph"/>
      </w:pPr>
      <w:r>
        <w:t xml:space="preserve">認証情報はテンプレートファイル(</w:t>
      </w:r>
      <w:r>
        <w:rPr>
          <w:rStyle w:val="VerbatimChar"/>
        </w:rPr>
        <w:t xml:space="preserve">*.example</w:t>
      </w:r>
      <w:r>
        <w:t xml:space="preserve">)をコピーして作成してください(いずれもgit管理対象外です)。</w:t>
      </w:r>
    </w:p>
    <w:p>
      <w:pPr>
        <w:pStyle w:val="SourceCode"/>
      </w:pPr>
      <w:r>
        <w:rPr>
          <w:rStyle w:val="VerbatimChar"/>
        </w:rPr>
        <w:t xml:space="preserve">cp .env.example .env</w:t>
      </w:r>
      <w:r>
        <w:br/>
      </w:r>
      <w:r>
        <w:rPr>
          <w:rStyle w:val="VerbatimChar"/>
        </w:rPr>
        <w:t xml:space="preserve">cp mysql/client.cnf.example mysql/client.cnf</w:t>
      </w:r>
      <w:r>
        <w:br/>
      </w:r>
      <w:r>
        <w:rPr>
          <w:rStyle w:val="VerbatimChar"/>
        </w:rPr>
        <w:t xml:space="preserve">cp mysql/secrets/root_password.txt.example mysql/secrets/root_password.txt</w:t>
      </w:r>
      <w:r>
        <w:br/>
      </w:r>
      <w:r>
        <w:rPr>
          <w:rStyle w:val="VerbatimChar"/>
        </w:rPr>
        <w:t xml:space="preserve">cp mysql/secrets/password.txt.example mysql/secrets/password.txt</w:t>
      </w:r>
    </w:p>
    <w:p>
      <w:pPr>
        <w:pStyle w:val="FirstParagraph"/>
      </w:pPr>
      <w:r>
        <w:t xml:space="preserve">各ファイルの値を必要に応じて書き換えたうえで、</w:t>
      </w:r>
      <w:r>
        <w:rPr>
          <w:rStyle w:val="VerbatimChar"/>
        </w:rPr>
        <w:t xml:space="preserve">mysql/client.cnf</w:t>
      </w:r>
      <w:r>
        <w:t xml:space="preserve"> </w:t>
      </w:r>
      <w:r>
        <w:t xml:space="preserve">と</w:t>
      </w:r>
      <w:r>
        <w:t xml:space="preserve"> </w:t>
      </w:r>
      <w:r>
        <w:rPr>
          <w:rStyle w:val="VerbatimChar"/>
        </w:rPr>
        <w:t xml:space="preserve">mysql/secrets/*.txt</w:t>
      </w:r>
      <w:r>
        <w:t xml:space="preserve"> </w:t>
      </w:r>
      <w:r>
        <w:t xml:space="preserve">の</w:t>
      </w:r>
      <w:r>
        <w:t xml:space="preserve"> </w:t>
      </w:r>
      <w:r>
        <w:t xml:space="preserve">パスワードは一致させてください(</w:t>
      </w:r>
      <w:r>
        <w:rPr>
          <w:rStyle w:val="VerbatimChar"/>
        </w:rPr>
        <w:t xml:space="preserve">mysql/secrets/password.txt</w:t>
      </w:r>
      <w:r>
        <w:t xml:space="preserve"> </w:t>
      </w:r>
      <w:r>
        <w:t xml:space="preserve">が実際にDBへ設定される</w:t>
      </w:r>
      <w:r>
        <w:t xml:space="preserve"> </w:t>
      </w:r>
      <w:r>
        <w:t xml:space="preserve">アプリ用ユーザーのパスワードです)。</w:t>
      </w:r>
    </w:p>
    <w:p>
      <w:pPr>
        <w:pStyle w:val="SourceCode"/>
      </w:pPr>
      <w:r>
        <w:rPr>
          <w:rStyle w:val="VerbatimChar"/>
        </w:rPr>
        <w:t xml:space="preserve">make up</w:t>
      </w:r>
    </w:p>
    <w:p>
      <w:pPr>
        <w:pStyle w:val="Heading2"/>
      </w:pPr>
      <w:bookmarkStart w:id="22" w:name="候補スクリーニング買入タイミング判定損切り判定利確判定-計算方法と判断基準"/>
      <w:r>
        <w:t xml:space="preserve">候補スクリーニング・買入タイミング判定・損切り判定・利確判定 計算方法と判断基準</w:t>
      </w:r>
      <w:bookmarkEnd w:id="22"/>
    </w:p>
    <w:p>
      <w:pPr>
        <w:pStyle w:val="FirstParagraph"/>
      </w:pPr>
      <w:r>
        <w:t xml:space="preserve">以下は、候補スクリーニング(自動候補化)・買入タイミング判定・損切り判定・利確判定の4つの判定機能について、計算方法(判定ロジック)・判断基準に使用している項目・現状の参考値(2026-08-15時点でDBに設定されている実際の値)をまとめたものである。</w:t>
      </w:r>
    </w:p>
    <w:p>
      <w:pPr>
        <w:pStyle w:val="BodyText"/>
      </w:pPr>
      <w:r>
        <w:t xml:space="preserve">値はすべて設定画面(判定基準設定 / テクニカルスコア設定 / 取引コスト設定)から変更でき、以下の「現状の参考値」は執筆時点のスナップショットである。最新値は各設定画面または</w:t>
      </w:r>
      <w:r>
        <w:t xml:space="preserve"> </w:t>
      </w:r>
      <w:r>
        <w:rPr>
          <w:rStyle w:val="VerbatimChar"/>
        </w:rPr>
        <w:t xml:space="preserve">GET /api/screening-groups</w:t>
      </w:r>
      <w:r>
        <w:t xml:space="preserve"> </w:t>
      </w:r>
      <w:r>
        <w:t xml:space="preserve">等のAPIで確認できる。</w:t>
      </w:r>
    </w:p>
    <w:p>
      <w:pPr>
        <w:pStyle w:val="Heading3"/>
      </w:pPr>
      <w:bookmarkStart w:id="23" w:name="もくじ"/>
      <w:r>
        <w:t xml:space="preserve">もくじ</w:t>
      </w:r>
      <w:bookmarkEnd w:id="23"/>
    </w:p>
    <w:p>
      <w:pPr>
        <w:numPr>
          <w:ilvl w:val="0"/>
          <w:numId w:val="1001"/>
        </w:numPr>
        <w:pStyle w:val="Compact"/>
      </w:pPr>
      <w:hyperlink w:anchor="Xcaf188fa16d23e8f09d4f10e04e23dbeb51d3a9">
        <w:r>
          <w:rPr>
            <w:rStyle w:val="Hyperlink"/>
          </w:rPr>
          <w:t xml:space="preserve">システムの戦略概要</w:t>
        </w:r>
      </w:hyperlink>
    </w:p>
    <w:p>
      <w:pPr>
        <w:numPr>
          <w:ilvl w:val="0"/>
          <w:numId w:val="1001"/>
        </w:numPr>
        <w:pStyle w:val="Compact"/>
      </w:pPr>
      <w:hyperlink w:anchor="Xcbfaef141e4cdd8334ce3a65054230f9b945402">
        <w:r>
          <w:rPr>
            <w:rStyle w:val="Hyperlink"/>
          </w:rPr>
          <w:t xml:space="preserve">対象銘柄の範囲</w:t>
        </w:r>
      </w:hyperlink>
    </w:p>
    <w:p>
      <w:pPr>
        <w:numPr>
          <w:ilvl w:val="0"/>
          <w:numId w:val="1001"/>
        </w:numPr>
        <w:pStyle w:val="Compact"/>
      </w:pPr>
      <w:hyperlink w:anchor="Xadde1f3f82cbb7b8b31bd5fa7d65ac589841188">
        <w:r>
          <w:rPr>
            <w:rStyle w:val="Hyperlink"/>
          </w:rPr>
          <w:t xml:space="preserve">全体アーキテクチャ</w:t>
        </w:r>
      </w:hyperlink>
    </w:p>
    <w:p>
      <w:pPr>
        <w:numPr>
          <w:ilvl w:val="0"/>
          <w:numId w:val="1001"/>
        </w:numPr>
        <w:pStyle w:val="Compact"/>
      </w:pPr>
      <w:hyperlink w:anchor="X3d32672a72d9207c7d7c5e3680565cbdf716619">
        <w:r>
          <w:rPr>
            <w:rStyle w:val="Hyperlink"/>
          </w:rPr>
          <w:t xml:space="preserve">候補スクリーニング(自動候補化)</w:t>
        </w:r>
      </w:hyperlink>
    </w:p>
    <w:p>
      <w:pPr>
        <w:numPr>
          <w:ilvl w:val="0"/>
          <w:numId w:val="1001"/>
        </w:numPr>
        <w:pStyle w:val="Compact"/>
      </w:pPr>
      <w:hyperlink w:anchor="Xb95f295f98f490412a41fac9db59de8fd4fad04">
        <w:r>
          <w:rPr>
            <w:rStyle w:val="Hyperlink"/>
          </w:rPr>
          <w:t xml:space="preserve">買入タイミング判定</w:t>
        </w:r>
      </w:hyperlink>
    </w:p>
    <w:p>
      <w:pPr>
        <w:numPr>
          <w:ilvl w:val="0"/>
          <w:numId w:val="1001"/>
        </w:numPr>
        <w:pStyle w:val="Compact"/>
      </w:pPr>
      <w:hyperlink w:anchor="X0517a4d86ae78ba665c6cbe0fdefb1343fcd289">
        <w:r>
          <w:rPr>
            <w:rStyle w:val="Hyperlink"/>
          </w:rPr>
          <w:t xml:space="preserve">損切り判定</w:t>
        </w:r>
      </w:hyperlink>
    </w:p>
    <w:p>
      <w:pPr>
        <w:numPr>
          <w:ilvl w:val="0"/>
          <w:numId w:val="1001"/>
        </w:numPr>
        <w:pStyle w:val="Compact"/>
      </w:pPr>
      <w:hyperlink w:anchor="Xfc8d06fbcc30c37fe3941de7068db9414dcafba">
        <w:r>
          <w:rPr>
            <w:rStyle w:val="Hyperlink"/>
          </w:rPr>
          <w:t xml:space="preserve">利確判定</w:t>
        </w:r>
      </w:hyperlink>
    </w:p>
    <w:p>
      <w:pPr>
        <w:numPr>
          <w:ilvl w:val="0"/>
          <w:numId w:val="1001"/>
        </w:numPr>
        <w:pStyle w:val="Compact"/>
      </w:pPr>
      <w:hyperlink w:anchor="X78f22d149be201173f2cdfdfc6fdbe3cb359dd1">
        <w:r>
          <w:rPr>
            <w:rStyle w:val="Hyperlink"/>
          </w:rPr>
          <w:t xml:space="preserve">統合判定(優先順位)</w:t>
        </w:r>
      </w:hyperlink>
    </w:p>
    <w:p>
      <w:pPr>
        <w:numPr>
          <w:ilvl w:val="0"/>
          <w:numId w:val="1001"/>
        </w:numPr>
        <w:pStyle w:val="Compact"/>
      </w:pPr>
      <w:hyperlink w:anchor="X27c36c0cdf37c4d4e1fc786e7c8074e172ef9cb">
        <w:r>
          <w:rPr>
            <w:rStyle w:val="Hyperlink"/>
          </w:rPr>
          <w:t xml:space="preserve">参考: 判定に使用する主な項目一覧</w:t>
        </w:r>
      </w:hyperlink>
    </w:p>
    <w:p>
      <w:pPr>
        <w:numPr>
          <w:ilvl w:val="0"/>
          <w:numId w:val="1001"/>
        </w:numPr>
        <w:pStyle w:val="Compact"/>
      </w:pPr>
      <w:hyperlink w:anchor="X29a10223ac08fe67df71b597f29baf9fea7ee57">
        <w:r>
          <w:rPr>
            <w:rStyle w:val="Hyperlink"/>
          </w:rPr>
          <w:t xml:space="preserve">参照ソースコード</w:t>
        </w:r>
      </w:hyperlink>
    </w:p>
    <w:p>
      <w:r>
        <w:pict>
          <v:rect style="width:0;height:1.5pt" o:hralign="center" o:hrstd="t" o:hr="t"/>
        </w:pict>
      </w:r>
    </w:p>
    <w:p>
      <w:pPr>
        <w:pStyle w:val="Heading3"/>
      </w:pPr>
      <w:bookmarkStart w:id="24" w:name="システムの戦略概要"/>
      <w:r>
        <w:t xml:space="preserve">1. システムの戦略概要</w:t>
      </w:r>
      <w:bookmarkEnd w:id="24"/>
    </w:p>
    <w:p>
      <w:pPr>
        <w:pStyle w:val="FirstParagraph"/>
      </w:pPr>
      <w:r>
        <w:t xml:space="preserve">本システムは、個別株の裁量判断に頼りすぎず、</w:t>
      </w:r>
      <w:r>
        <w:rPr>
          <w:b/>
        </w:rPr>
        <w:t xml:space="preserve">機械的・再現可能なルールで「買い時」「損切り」「利確」を判定する</w:t>
      </w:r>
      <w:r>
        <w:t xml:space="preserve">ことを目指した投資支援ツールである。基本方針は以下の通り。</w:t>
      </w:r>
    </w:p>
    <w:p>
      <w:pPr>
        <w:pStyle w:val="Heading4"/>
      </w:pPr>
      <w:bookmarkStart w:id="25" w:name="候補選定はファンダメンタルズタイミングはテクニカルという2段階アプローチ"/>
      <w:r>
        <w:t xml:space="preserve">1.1 候補選定はファンダメンタルズ、タイミングはテクニカルという2段階アプローチ</w:t>
      </w:r>
      <w:bookmarkEnd w:id="25"/>
    </w:p>
    <w:p>
      <w:pPr>
        <w:pStyle w:val="FirstParagraph"/>
      </w:pPr>
      <w:r>
        <w:t xml:space="preserve">候補スクリーニングでは、ROE・自己資本比率・売上高成長率・営業利益率・時価総額といった</w:t>
      </w:r>
      <w:r>
        <w:rPr>
          <w:b/>
        </w:rPr>
        <w:t xml:space="preserve">ファンダメンタルズ指標</w:t>
      </w:r>
      <w:r>
        <w:t xml:space="preserve">で「投資対象として妥当な範囲か」をふるいにかける。そのうえで、買入タイミング判定では、MA25上抜け・出来高急増・決算サプライズといった</w:t>
      </w:r>
      <w:r>
        <w:rPr>
          <w:b/>
        </w:rPr>
        <w:t xml:space="preserve">テクニカル指標</w:t>
      </w:r>
      <w:r>
        <w:t xml:space="preserve">で「今が実際に仕掛けるタイミングか」を判定する。ファンダメンタルズの質とテクニカルのタイミングを分離して評価する設計になっている。</w:t>
      </w:r>
    </w:p>
    <w:p>
      <w:pPr>
        <w:pStyle w:val="Heading4"/>
      </w:pPr>
      <w:bookmarkStart w:id="26" w:name="確立モメンタム戦略-逆張り底打ち狙いではない"/>
      <w:r>
        <w:t xml:space="preserve">1.2 「確立モメンタム戦略」— 逆張り・底打ち狙いではない</w:t>
      </w:r>
      <w:bookmarkEnd w:id="26"/>
    </w:p>
    <w:p>
      <w:pPr>
        <w:pStyle w:val="FirstParagraph"/>
      </w:pPr>
      <w:r>
        <w:t xml:space="preserve">買入タイミング判定は、複数のシグナル(トレンド転換・出来高急増・決算の市場予想超え)の重複確認により、</w:t>
      </w:r>
      <w:r>
        <w:rPr>
          <w:b/>
        </w:rPr>
        <w:t xml:space="preserve">既に上昇トレンドが確立した銘柄を狙う</w:t>
      </w:r>
      <w:r>
        <w:t xml:space="preserve">モメンタム戦略を採用している。まだ底打ちしていない逆張り・反転狙いの銘柄は対象外である。一方で、単純な「上がっている銘柄を追いかける」だけでは高値掴みのリスクがあるため、RSI過熱・MA25乖離しすぎ・前日比急騰・上抜け直後(だまし)といった</w:t>
      </w:r>
      <w:r>
        <w:rPr>
          <w:b/>
        </w:rPr>
        <w:t xml:space="preserve">過熱・単日急騰を検知する除外条件</w:t>
      </w:r>
      <w:r>
        <w:t xml:space="preserve">を設け、モメンタムの「初動」を捉えつつ「最終局面での飛び乗り」を避けるバランスを取っている。</w:t>
      </w:r>
    </w:p>
    <w:p>
      <w:pPr>
        <w:pStyle w:val="Heading4"/>
      </w:pPr>
      <w:bookmarkStart w:id="27" w:name="銘柄の時価総額規模小型中型大型に応じた基準の調整"/>
      <w:r>
        <w:t xml:space="preserve">1.3 銘柄の時価総額規模(小型/中型/大型)に応じた基準の調整</w:t>
      </w:r>
      <w:bookmarkEnd w:id="27"/>
    </w:p>
    <w:p>
      <w:pPr>
        <w:pStyle w:val="FirstParagraph"/>
      </w:pPr>
      <w:r>
        <w:t xml:space="preserve">小型株・中型株・大型株では値動きの荒さ(ボラティリティ)やモメンタムの持続期間が異なるため、候補選定の財務基準・出来高倍率のしきい値・PER過熱判定・保有期間上限などをセグメント別に調整している(詳細は各章の「現状の参考値」を参照)。一般に、小型株は値動きが荒くモメンタムの反転も早いため基準を厳しめ・保有期間を短めに、大型株は機関投資家の資金流入で値動きが安定しモメンタムが持続しやすいため基準を緩やかめ・保有期間を長めに設定している。</w:t>
      </w:r>
    </w:p>
    <w:p>
      <w:pPr>
        <w:pStyle w:val="Heading4"/>
      </w:pPr>
      <w:bookmarkStart w:id="28" w:name="損切りは価格ファンダメンタルズスコアの複合基準"/>
      <w:r>
        <w:t xml:space="preserve">1.4 損切りは価格・ファンダメンタルズ・スコアの複合基準</w:t>
      </w:r>
      <w:bookmarkEnd w:id="28"/>
    </w:p>
    <w:p>
      <w:pPr>
        <w:pStyle w:val="FirstParagraph"/>
      </w:pPr>
      <w:r>
        <w:t xml:space="preserve">損切り判定は、単純な下落率だけでなく、(1) 銘柄自身のヒストリカルボラティリティ(HV)に連動して動的に変化する下落率基準、(2) 営業利益・EPS成長率の悪化といったファンダメンタルズの悪化、(3) 購入時からのテクニカルスコアの悪化、という3系統の基準を組み合わせている。値動きの荒い銘柄には広めの許容幅を、穏やかな銘柄には早めの損切りラインを自動的に設定する。</w:t>
      </w:r>
    </w:p>
    <w:p>
      <w:pPr>
        <w:pStyle w:val="Heading4"/>
      </w:pPr>
      <w:bookmarkStart w:id="29" w:name="利確は主観的なターゲットプライスに依存しすぎない複数軸判定"/>
      <w:r>
        <w:t xml:space="preserve">1.5 利確は「主観的なターゲットプライス」に依存しすぎない複数軸判定</w:t>
      </w:r>
      <w:bookmarkEnd w:id="29"/>
    </w:p>
    <w:p>
      <w:pPr>
        <w:pStyle w:val="FirstParagraph"/>
      </w:pPr>
      <w:r>
        <w:t xml:space="preserve">利確判定は、目標株価到達・PER過熱・トレイリングストップ発動・MA25クロスアンダー(トレンド反転)という価格・テクニカルベースの軸に加え、</w:t>
      </w:r>
      <w:r>
        <w:rPr>
          <w:b/>
        </w:rPr>
        <w:t xml:space="preserve">保有期間の上限に達したら損益に関わらず機械的に決済する</w:t>
      </w:r>
      <w:r>
        <w:t xml:space="preserve">という第3の判定軸を独立して持たせている。これは、モメンタム効果が一定期間で減衰しやすいという考え方(確率論的なモメンタム戦略)を踏まえ、「もう目標に達したから売ろう」という主観的なタイミング判断だけに頼らず、規律的な出口ルールを併用する設計である。また、額面上は利確条件を満たしていても、手数料・税金を差し引いた実質損益がプラスでなければ利確シグナルとして扱わない「純損益ゲート」を設けている。トレイリングストップの許容下落率もグループ(小型/中型/大型)ごとに調整でき、値動きの荒い銘柄ほど広め、安定した銘柄ほど狭めに設定している。</w:t>
      </w:r>
    </w:p>
    <w:p>
      <w:pPr>
        <w:pStyle w:val="Heading4"/>
      </w:pPr>
      <w:bookmarkStart w:id="30" w:name="複数回の売買nisa課税口座の分離管理"/>
      <w:r>
        <w:t xml:space="preserve">1.6 複数回の売買・NISA/課税口座の分離管理</w:t>
      </w:r>
      <w:bookmarkEnd w:id="30"/>
    </w:p>
    <w:p>
      <w:pPr>
        <w:pStyle w:val="FirstParagraph"/>
      </w:pPr>
      <w:r>
        <w:t xml:space="preserve">同一銘柄を複数回に分けて買い増し・売却することを前提に、購入価格・保有数は取引履歴全体から加重平均・合計で算出する。また、NISA口座と特定・一般口座は税制上別勘定であるため、口座種別ごとに残存数量・取得単価を分けて管理し、損益計算(手数料・税引後の想定純損益)も口座種別ごとに計算して合算する。</w:t>
      </w:r>
    </w:p>
    <w:p>
      <w:r>
        <w:pict>
          <v:rect style="width:0;height:1.5pt" o:hralign="center" o:hrstd="t" o:hr="t"/>
        </w:pict>
      </w:r>
    </w:p>
    <w:p>
      <w:pPr>
        <w:pStyle w:val="Heading3"/>
      </w:pPr>
      <w:bookmarkStart w:id="31" w:name="対象銘柄の範囲"/>
      <w:r>
        <w:t xml:space="preserve">2. 対象銘柄の範囲</w:t>
      </w:r>
      <w:bookmarkEnd w:id="31"/>
    </w:p>
    <w:p>
      <w:pPr>
        <w:pStyle w:val="FirstParagraph"/>
      </w:pPr>
      <w:r>
        <w:rPr>
          <w:b/>
        </w:rPr>
        <w:t xml:space="preserve">日本株(東京証券取引所上場銘柄)を対象とし、既定の銘柄ユニバースは日経225(日経平均株価)構成銘柄である。</w:t>
      </w:r>
    </w:p>
    <w:p>
      <w:pPr>
        <w:numPr>
          <w:ilvl w:val="0"/>
          <w:numId w:val="1002"/>
        </w:numPr>
        <w:pStyle w:val="Compact"/>
      </w:pPr>
      <w:r>
        <w:t xml:space="preserve">新規銘柄の発見(候補スクリーニング・テクニカルスコアリングの対象探索)は、日経225の構成銘柄(日本経済新聞社の公式サイトから取得)を対象に行う。銘柄コードは</w:t>
      </w:r>
      <w:r>
        <w:rPr>
          <w:rStyle w:val="VerbatimChar"/>
        </w:rPr>
        <w:t xml:space="preserve">{証券コード}.T</w:t>
      </w:r>
      <w:r>
        <w:t xml:space="preserve">形式(例:</w:t>
      </w:r>
      <w:r>
        <w:t xml:space="preserve"> </w:t>
      </w:r>
      <w:r>
        <w:rPr>
          <w:rStyle w:val="VerbatimChar"/>
        </w:rPr>
        <w:t xml:space="preserve">7203.T</w:t>
      </w:r>
      <w:r>
        <w:t xml:space="preserve">)で管理しており、</w:t>
      </w:r>
      <w:r>
        <w:rPr>
          <w:rStyle w:val="VerbatimChar"/>
        </w:rPr>
        <w:t xml:space="preserve">.T</w:t>
      </w:r>
      <w:r>
        <w:t xml:space="preserve">は東証上場銘柄であることを示す。</w:t>
      </w:r>
    </w:p>
    <w:p>
      <w:pPr>
        <w:numPr>
          <w:ilvl w:val="0"/>
          <w:numId w:val="1002"/>
        </w:numPr>
        <w:pStyle w:val="Compact"/>
      </w:pPr>
      <w:r>
        <w:t xml:space="preserve">日経225の構成銘柄は入れ替わりがあるため、</w:t>
      </w:r>
      <w:r>
        <w:rPr>
          <w:rStyle w:val="VerbatimChar"/>
        </w:rPr>
        <w:t xml:space="preserve">is_nikkei225</w:t>
      </w:r>
      <w:r>
        <w:t xml:space="preserve">フラグをバッチ処理のたびに最新の構成銘柄リストと同期する。</w:t>
      </w:r>
    </w:p>
    <w:p>
      <w:pPr>
        <w:numPr>
          <w:ilvl w:val="0"/>
          <w:numId w:val="1002"/>
        </w:numPr>
        <w:pStyle w:val="Compact"/>
      </w:pPr>
      <w:r>
        <w:t xml:space="preserve">一度「候補」「保有中」「除外」等のステータスが手動またはシステムによって設定された銘柄は、その後日経225の構成銘柄から外れても引き続き追跡対象になる(</w:t>
      </w:r>
      <w:r>
        <w:rPr>
          <w:rStyle w:val="VerbatimChar"/>
        </w:rPr>
        <w:t xml:space="preserve">user_stock_status</w:t>
      </w:r>
      <w:r>
        <w:t xml:space="preserve">に行がある銘柄は常に追跡対象)。</w:t>
      </w:r>
    </w:p>
    <w:p>
      <w:pPr>
        <w:numPr>
          <w:ilvl w:val="0"/>
          <w:numId w:val="1002"/>
        </w:numPr>
        <w:pStyle w:val="Compact"/>
      </w:pPr>
      <w:r>
        <w:t xml:space="preserve">したがって実際の追跡対象銘柄は「日経225構成銘柄」∪「過去に何らかのステータスが設定された銘柄」の和集合となる。</w:t>
      </w:r>
    </w:p>
    <w:p>
      <w:pPr>
        <w:numPr>
          <w:ilvl w:val="0"/>
          <w:numId w:val="1002"/>
        </w:numPr>
        <w:pStyle w:val="Compact"/>
      </w:pPr>
      <w:r>
        <w:t xml:space="preserve">実装:</w:t>
      </w:r>
      <w:r>
        <w:t xml:space="preserve"> </w:t>
      </w:r>
      <w:r>
        <w:rPr>
          <w:rStyle w:val="VerbatimChar"/>
        </w:rPr>
        <w:t xml:space="preserve">batch/scripts/nikkei225.py</w:t>
      </w:r>
      <w:r>
        <w:t xml:space="preserve">(構成銘柄取得)、</w:t>
      </w:r>
      <w:r>
        <w:rPr>
          <w:rStyle w:val="VerbatimChar"/>
        </w:rPr>
        <w:t xml:space="preserve">batch/scripts/target_symbols.py</w:t>
      </w:r>
      <w:r>
        <w:t xml:space="preserve">(対象銘柄群の解決)</w:t>
      </w:r>
    </w:p>
    <w:p>
      <w:r>
        <w:pict>
          <v:rect style="width:0;height:1.5pt" o:hralign="center" o:hrstd="t" o:hr="t"/>
        </w:pict>
      </w:r>
    </w:p>
    <w:p>
      <w:pPr>
        <w:pStyle w:val="Heading3"/>
      </w:pPr>
      <w:bookmarkStart w:id="32" w:name="全体アーキテクチャ"/>
      <w:r>
        <w:t xml:space="preserve">3. 全体アーキテクチャ</w:t>
      </w:r>
      <w:bookmarkEnd w:id="32"/>
    </w:p>
    <w:p>
      <w:pPr>
        <w:pStyle w:val="Heading4"/>
      </w:pPr>
      <w:bookmarkStart w:id="33" w:name="スクリーニンググループとルール"/>
      <w:r>
        <w:t xml:space="preserve">3.1 スクリーニンググループとルール</w:t>
      </w:r>
      <w:bookmarkEnd w:id="33"/>
    </w:p>
    <w:p>
      <w:pPr>
        <w:pStyle w:val="FirstParagraph"/>
      </w:pPr>
      <w:r>
        <w:t xml:space="preserve">判定基準は「スクリーニンググループ」単位(例: 小型株・中型株・大型株・デフォルト)で管理する。1つのグループは、用途(</w:t>
      </w:r>
      <w:r>
        <w:rPr>
          <w:rStyle w:val="VerbatimChar"/>
        </w:rPr>
        <w:t xml:space="preserve">rule_purpose</w:t>
      </w:r>
      <w:r>
        <w:t xml:space="preserve">)ごとに4種類のルールセットを持つ。</w:t>
      </w:r>
    </w:p>
    <w:tbl>
      <w:tblPr>
        <w:tblStyle w:val="Table"/>
        <w:tblW w:type="pct" w:w="0.0"/>
        <w:tblLook w:firstRow="1"/>
      </w:tblPr>
      <w:tblGrid/>
      <w:tr>
        <w:trPr>
          <w:cnfStyle w:firstRow="1"/>
        </w:trPr>
        <w:tc>
          <w:tcPr>
            <w:tcBorders>
              <w:bottom w:val="single"/>
            </w:tcBorders>
            <w:vAlign w:val="bottom"/>
          </w:tcPr>
          <w:p>
            <w:pPr>
              <w:pStyle w:val="Compact"/>
              <w:jc w:val="left"/>
            </w:pPr>
            <w:r>
              <w:t xml:space="preserve">用途(rule_purpose)</w:t>
            </w:r>
          </w:p>
        </w:tc>
        <w:tc>
          <w:tcPr>
            <w:tcBorders>
              <w:bottom w:val="single"/>
            </w:tcBorders>
            <w:vAlign w:val="bottom"/>
          </w:tcPr>
          <w:p>
            <w:pPr>
              <w:pStyle w:val="Compact"/>
              <w:jc w:val="left"/>
            </w:pPr>
            <w:r>
              <w:t xml:space="preserve">内容</w:t>
            </w:r>
          </w:p>
        </w:tc>
      </w:tr>
      <w:tr>
        <w:tc>
          <w:p>
            <w:pPr>
              <w:pStyle w:val="Compact"/>
              <w:jc w:val="left"/>
            </w:pPr>
            <w:r>
              <w:rPr>
                <w:rStyle w:val="VerbatimChar"/>
              </w:rPr>
              <w:t xml:space="preserve">candidate</w:t>
            </w:r>
          </w:p>
        </w:tc>
        <w:tc>
          <w:p>
            <w:pPr>
              <w:pStyle w:val="Compact"/>
              <w:jc w:val="left"/>
            </w:pPr>
            <w:r>
              <w:t xml:space="preserve">候補スクリーニング(自動候補化)用</w:t>
            </w:r>
          </w:p>
        </w:tc>
      </w:tr>
      <w:tr>
        <w:tc>
          <w:p>
            <w:pPr>
              <w:pStyle w:val="Compact"/>
              <w:jc w:val="left"/>
            </w:pPr>
            <w:r>
              <w:rPr>
                <w:rStyle w:val="VerbatimChar"/>
              </w:rPr>
              <w:t xml:space="preserve">entry_timing</w:t>
            </w:r>
          </w:p>
        </w:tc>
        <w:tc>
          <w:p>
            <w:pPr>
              <w:pStyle w:val="Compact"/>
              <w:jc w:val="left"/>
            </w:pPr>
            <w:r>
              <w:t xml:space="preserve">買入タイミング判定用</w:t>
            </w:r>
          </w:p>
        </w:tc>
      </w:tr>
      <w:tr>
        <w:tc>
          <w:p>
            <w:pPr>
              <w:pStyle w:val="Compact"/>
              <w:jc w:val="left"/>
            </w:pPr>
            <w:r>
              <w:rPr>
                <w:rStyle w:val="VerbatimChar"/>
              </w:rPr>
              <w:t xml:space="preserve">loss_cut</w:t>
            </w:r>
          </w:p>
        </w:tc>
        <w:tc>
          <w:p>
            <w:pPr>
              <w:pStyle w:val="Compact"/>
              <w:jc w:val="left"/>
            </w:pPr>
            <w:r>
              <w:t xml:space="preserve">損切り判定用</w:t>
            </w:r>
          </w:p>
        </w:tc>
      </w:tr>
      <w:tr>
        <w:tc>
          <w:p>
            <w:pPr>
              <w:pStyle w:val="Compact"/>
              <w:jc w:val="left"/>
            </w:pPr>
            <w:r>
              <w:rPr>
                <w:rStyle w:val="VerbatimChar"/>
              </w:rPr>
              <w:t xml:space="preserve">profit_taking</w:t>
            </w:r>
          </w:p>
        </w:tc>
        <w:tc>
          <w:p>
            <w:pPr>
              <w:pStyle w:val="Compact"/>
              <w:jc w:val="left"/>
            </w:pPr>
            <w:r>
              <w:t xml:space="preserve">利確判定用</w:t>
            </w:r>
          </w:p>
        </w:tc>
      </w:tr>
    </w:tbl>
    <w:p>
      <w:pPr>
        <w:pStyle w:val="BodyText"/>
      </w:pPr>
      <w:r>
        <w:t xml:space="preserve">各ルールは「分類(A/B/C)」「項目(param_key)」「演算子(以上/以下/等しい)」「値」「値の種別(固定値 or HV倍率)」を持つ。</w:t>
      </w:r>
      <w:r>
        <w:rPr>
          <w:b/>
        </w:rPr>
        <w:t xml:space="preserve">同じ分類内の複数条件は常にOR(いずれか1つで成立)</w:t>
      </w:r>
      <w:r>
        <w:t xml:space="preserve">。分類同士の組み合わせ方(該当時にどう扱うか)は用途ごとに異なり、単純なAND/ORの指定機能ではない(詳細は各章を参照)。</w:t>
      </w:r>
    </w:p>
    <w:p>
      <w:pPr>
        <w:pStyle w:val="Heading4"/>
      </w:pPr>
      <w:bookmarkStart w:id="34" w:name="どのグループの基準を使うかグループ解決"/>
      <w:r>
        <w:t xml:space="preserve">3.2 どのグループの基準を使うか(グループ解決)</w:t>
      </w:r>
      <w:bookmarkEnd w:id="34"/>
    </w:p>
    <w:p>
      <w:pPr>
        <w:numPr>
          <w:ilvl w:val="0"/>
          <w:numId w:val="1003"/>
        </w:numPr>
        <w:pStyle w:val="Compact"/>
      </w:pPr>
      <w:r>
        <w:t xml:space="preserve">銘柄が持つタグ(候補になった際の根拠グループ名)のうち、有効なグループに一致するものがあれば、そのグループの基準を使う(複数該当時は</w:t>
      </w:r>
      <w:r>
        <w:rPr>
          <w:rStyle w:val="VerbatimChar"/>
        </w:rPr>
        <w:t xml:space="preserve">group_id</w:t>
      </w:r>
      <w:r>
        <w:t xml:space="preserve">が小さい方を優先)。一致したグループの基準のみが使われ、そのグループにルールが無くてもデフォルトグループへはフォールバックしない。</w:t>
      </w:r>
    </w:p>
    <w:p>
      <w:pPr>
        <w:numPr>
          <w:ilvl w:val="0"/>
          <w:numId w:val="1003"/>
        </w:numPr>
        <w:pStyle w:val="Compact"/>
      </w:pPr>
      <w:r>
        <w:t xml:space="preserve">タグが一致するグループが無ければ、</w:t>
      </w:r>
      <w:r>
        <w:rPr>
          <w:rStyle w:val="VerbatimChar"/>
        </w:rPr>
        <w:t xml:space="preserve">is_default=true</w:t>
      </w:r>
      <w:r>
        <w:t xml:space="preserve">の削除不可グループ(デフォルト)にフォールバックする。</w:t>
      </w:r>
    </w:p>
    <w:p>
      <w:pPr>
        <w:numPr>
          <w:ilvl w:val="0"/>
          <w:numId w:val="1003"/>
        </w:numPr>
        <w:pStyle w:val="Compact"/>
      </w:pPr>
      <w:r>
        <w:t xml:space="preserve">有効なグループが1件も無ければ判定対象外(未設定)。</w:t>
      </w:r>
    </w:p>
    <w:p>
      <w:pPr>
        <w:pStyle w:val="Heading4"/>
      </w:pPr>
      <w:bookmarkStart w:id="35" w:name="現状のスクリーニンググループ一覧"/>
      <w:r>
        <w:t xml:space="preserve">3.3 現状のスクリーニンググループ一覧</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group_id</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有効</w:t>
            </w:r>
          </w:p>
        </w:tc>
        <w:tc>
          <w:tcPr>
            <w:tcBorders>
              <w:bottom w:val="single"/>
            </w:tcBorders>
            <w:vAlign w:val="bottom"/>
          </w:tcPr>
          <w:p>
            <w:pPr>
              <w:pStyle w:val="Compact"/>
              <w:jc w:val="left"/>
            </w:pPr>
            <w:r>
              <w:t xml:space="preserve">デフォルト</w:t>
            </w:r>
          </w:p>
        </w:tc>
        <w:tc>
          <w:tcPr>
            <w:tcBorders>
              <w:bottom w:val="single"/>
            </w:tcBorders>
            <w:vAlign w:val="bottom"/>
          </w:tcPr>
          <w:p>
            <w:pPr>
              <w:pStyle w:val="Compact"/>
              <w:jc w:val="left"/>
            </w:pPr>
            <w:r>
              <w:t xml:space="preserve">候補スクリーニング</w:t>
            </w:r>
          </w:p>
        </w:tc>
        <w:tc>
          <w:tcPr>
            <w:tcBorders>
              <w:bottom w:val="single"/>
            </w:tcBorders>
            <w:vAlign w:val="bottom"/>
          </w:tcPr>
          <w:p>
            <w:pPr>
              <w:pStyle w:val="Compact"/>
              <w:jc w:val="left"/>
            </w:pPr>
            <w:r>
              <w:t xml:space="preserve">買入シグナル数しきい値</w:t>
            </w:r>
          </w:p>
        </w:tc>
        <w:tc>
          <w:tcPr>
            <w:tcBorders>
              <w:bottom w:val="single"/>
            </w:tcBorders>
            <w:vAlign w:val="bottom"/>
          </w:tcPr>
          <w:p>
            <w:pPr>
              <w:pStyle w:val="Compact"/>
              <w:jc w:val="left"/>
            </w:pPr>
            <w:r>
              <w:t xml:space="preserve">保有期間上限</w:t>
            </w:r>
          </w:p>
        </w:tc>
      </w:tr>
      <w:tr>
        <w:tc>
          <w:p>
            <w:pPr>
              <w:pStyle w:val="Compact"/>
              <w:jc w:val="left"/>
            </w:pPr>
            <w:r>
              <w:t xml:space="preserve">6</w:t>
            </w:r>
          </w:p>
        </w:tc>
        <w:tc>
          <w:p>
            <w:pPr>
              <w:pStyle w:val="Compact"/>
              <w:jc w:val="left"/>
            </w:pPr>
            <w:r>
              <w:t xml:space="preserve">小型株</w:t>
            </w:r>
          </w:p>
        </w:tc>
        <w:tc>
          <w:p>
            <w:pPr>
              <w:pStyle w:val="Compact"/>
              <w:jc w:val="left"/>
            </w:pPr>
            <w:r>
              <w:t xml:space="preserve">○</w:t>
            </w:r>
          </w:p>
        </w:tc>
        <w:tc>
          <w:p>
            <w:pPr>
              <w:pStyle w:val="Compact"/>
              <w:jc w:val="left"/>
            </w:pPr>
            <w:r>
              <w:t xml:space="preserve">-</w:t>
            </w:r>
          </w:p>
        </w:tc>
        <w:tc>
          <w:p>
            <w:pPr>
              <w:pStyle w:val="Compact"/>
              <w:jc w:val="left"/>
            </w:pPr>
            <w:r>
              <w:t xml:space="preserve">有効</w:t>
            </w:r>
          </w:p>
        </w:tc>
        <w:tc>
          <w:p>
            <w:pPr>
              <w:pStyle w:val="Compact"/>
              <w:jc w:val="left"/>
            </w:pPr>
            <w:r>
              <w:t xml:space="preserve">2件</w:t>
            </w:r>
          </w:p>
        </w:tc>
        <w:tc>
          <w:p>
            <w:pPr>
              <w:pStyle w:val="Compact"/>
              <w:jc w:val="left"/>
            </w:pPr>
            <w:r>
              <w:t xml:space="preserve">90日</w:t>
            </w:r>
          </w:p>
        </w:tc>
      </w:tr>
      <w:tr>
        <w:tc>
          <w:p>
            <w:pPr>
              <w:pStyle w:val="Compact"/>
              <w:jc w:val="left"/>
            </w:pPr>
            <w:r>
              <w:t xml:space="preserve">7</w:t>
            </w:r>
          </w:p>
        </w:tc>
        <w:tc>
          <w:p>
            <w:pPr>
              <w:pStyle w:val="Compact"/>
              <w:jc w:val="left"/>
            </w:pPr>
            <w:r>
              <w:t xml:space="preserve">中型株</w:t>
            </w:r>
          </w:p>
        </w:tc>
        <w:tc>
          <w:p>
            <w:pPr>
              <w:pStyle w:val="Compact"/>
              <w:jc w:val="left"/>
            </w:pPr>
            <w:r>
              <w:t xml:space="preserve">○</w:t>
            </w:r>
          </w:p>
        </w:tc>
        <w:tc>
          <w:p>
            <w:pPr>
              <w:pStyle w:val="Compact"/>
              <w:jc w:val="left"/>
            </w:pPr>
            <w:r>
              <w:t xml:space="preserve">-</w:t>
            </w:r>
          </w:p>
        </w:tc>
        <w:tc>
          <w:p>
            <w:pPr>
              <w:pStyle w:val="Compact"/>
              <w:jc w:val="left"/>
            </w:pPr>
            <w:r>
              <w:t xml:space="preserve">有効</w:t>
            </w:r>
          </w:p>
        </w:tc>
        <w:tc>
          <w:p>
            <w:pPr>
              <w:pStyle w:val="Compact"/>
              <w:jc w:val="left"/>
            </w:pPr>
            <w:r>
              <w:t xml:space="preserve">2件</w:t>
            </w:r>
          </w:p>
        </w:tc>
        <w:tc>
          <w:p>
            <w:pPr>
              <w:pStyle w:val="Compact"/>
              <w:jc w:val="left"/>
            </w:pPr>
            <w:r>
              <w:t xml:space="preserve">180日</w:t>
            </w:r>
          </w:p>
        </w:tc>
      </w:tr>
      <w:tr>
        <w:tc>
          <w:p>
            <w:pPr>
              <w:pStyle w:val="Compact"/>
              <w:jc w:val="left"/>
            </w:pPr>
            <w:r>
              <w:t xml:space="preserve">8</w:t>
            </w:r>
          </w:p>
        </w:tc>
        <w:tc>
          <w:p>
            <w:pPr>
              <w:pStyle w:val="Compact"/>
              <w:jc w:val="left"/>
            </w:pPr>
            <w:r>
              <w:t xml:space="preserve">大型株</w:t>
            </w:r>
          </w:p>
        </w:tc>
        <w:tc>
          <w:p>
            <w:pPr>
              <w:pStyle w:val="Compact"/>
              <w:jc w:val="left"/>
            </w:pPr>
            <w:r>
              <w:t xml:space="preserve">○</w:t>
            </w:r>
          </w:p>
        </w:tc>
        <w:tc>
          <w:p>
            <w:pPr>
              <w:pStyle w:val="Compact"/>
              <w:jc w:val="left"/>
            </w:pPr>
            <w:r>
              <w:t xml:space="preserve">-</w:t>
            </w:r>
          </w:p>
        </w:tc>
        <w:tc>
          <w:p>
            <w:pPr>
              <w:pStyle w:val="Compact"/>
              <w:jc w:val="left"/>
            </w:pPr>
            <w:r>
              <w:t xml:space="preserve">有効</w:t>
            </w:r>
          </w:p>
        </w:tc>
        <w:tc>
          <w:p>
            <w:pPr>
              <w:pStyle w:val="Compact"/>
              <w:jc w:val="left"/>
            </w:pPr>
            <w:r>
              <w:t xml:space="preserve">2件</w:t>
            </w:r>
          </w:p>
        </w:tc>
        <w:tc>
          <w:p>
            <w:pPr>
              <w:pStyle w:val="Compact"/>
              <w:jc w:val="left"/>
            </w:pPr>
            <w:r>
              <w:t xml:space="preserve">270日</w:t>
            </w:r>
          </w:p>
        </w:tc>
      </w:tr>
      <w:tr>
        <w:tc>
          <w:p>
            <w:pPr>
              <w:pStyle w:val="Compact"/>
              <w:jc w:val="left"/>
            </w:pPr>
            <w:r>
              <w:t xml:space="preserve">12</w:t>
            </w:r>
          </w:p>
        </w:tc>
        <w:tc>
          <w:p>
            <w:pPr>
              <w:pStyle w:val="Compact"/>
              <w:jc w:val="left"/>
            </w:pPr>
            <w:r>
              <w:t xml:space="preserve">デフォルト</w:t>
            </w:r>
          </w:p>
        </w:tc>
        <w:tc>
          <w:p>
            <w:pPr>
              <w:pStyle w:val="Compact"/>
              <w:jc w:val="left"/>
            </w:pPr>
            <w:r>
              <w:t xml:space="preserve">○</w:t>
            </w:r>
          </w:p>
        </w:tc>
        <w:tc>
          <w:p>
            <w:pPr>
              <w:pStyle w:val="Compact"/>
              <w:jc w:val="left"/>
            </w:pPr>
            <w:r>
              <w:t xml:space="preserve">○</w:t>
            </w:r>
          </w:p>
        </w:tc>
        <w:tc>
          <w:p>
            <w:pPr>
              <w:pStyle w:val="Compact"/>
              <w:jc w:val="left"/>
            </w:pPr>
            <w:r>
              <w:rPr>
                <w:b/>
              </w:rPr>
              <w:t xml:space="preserve">無効</w:t>
            </w:r>
            <w:r>
              <w:t xml:space="preserve">(既定)</w:t>
            </w:r>
          </w:p>
        </w:tc>
        <w:tc>
          <w:p>
            <w:pPr>
              <w:pStyle w:val="Compact"/>
              <w:jc w:val="left"/>
            </w:pPr>
            <w:r>
              <w:t xml:space="preserve">2件</w:t>
            </w:r>
          </w:p>
        </w:tc>
        <w:tc>
          <w:p>
            <w:pPr>
              <w:pStyle w:val="Compact"/>
              <w:jc w:val="left"/>
            </w:pPr>
            <w:r>
              <w:t xml:space="preserve">180日</w:t>
            </w:r>
          </w:p>
        </w:tc>
      </w:tr>
    </w:tbl>
    <w:p>
      <w:pPr>
        <w:pStyle w:val="BodyText"/>
      </w:pPr>
      <w:r>
        <w:t xml:space="preserve">デフォルトグループは削除不可のフォールバック用グループで、候補スクリーニングは既定で無効(タグが一致しない銘柄の買入タイミング/損切り/利確判定にのみ使われる)。</w:t>
      </w:r>
    </w:p>
    <w:p>
      <w:r>
        <w:pict>
          <v:rect style="width:0;height:1.5pt" o:hralign="center" o:hrstd="t" o:hr="t"/>
        </w:pict>
      </w:r>
    </w:p>
    <w:p>
      <w:pPr>
        <w:pStyle w:val="Heading3"/>
      </w:pPr>
      <w:bookmarkStart w:id="36" w:name="候補スクリーニング自動候補化"/>
      <w:r>
        <w:t xml:space="preserve">4. 候補スクリーニング(自動候補化)</w:t>
      </w:r>
      <w:bookmarkEnd w:id="36"/>
    </w:p>
    <w:p>
      <w:pPr>
        <w:pStyle w:val="FirstParagraph"/>
      </w:pPr>
      <w:r>
        <w:t xml:space="preserve">未設定(候補・保有・除外いずれも未設定)の銘柄を、一定の基準を満たした場合に自動で「候補」ステータスへ反映する仕組み。</w:t>
      </w:r>
      <w:r>
        <w:rPr>
          <w:b/>
        </w:rPr>
        <w:t xml:space="preserve">2系統</w:t>
      </w:r>
      <w:r>
        <w:t xml:space="preserve">が独立して動く。</w:t>
      </w:r>
    </w:p>
    <w:p>
      <w:pPr>
        <w:pStyle w:val="Heading4"/>
      </w:pPr>
      <w:bookmarkStart w:id="37" w:name="系統a-スクリーニングルールabc分類による候補化"/>
      <w:r>
        <w:t xml:space="preserve">4.1 系統A: スクリーニングルール(A/B/C分類)による候補化</w:t>
      </w:r>
      <w:bookmarkEnd w:id="37"/>
    </w:p>
    <w:p>
      <w:pPr>
        <w:numPr>
          <w:ilvl w:val="0"/>
          <w:numId w:val="1004"/>
        </w:numPr>
        <w:pStyle w:val="Compact"/>
      </w:pPr>
      <w:r>
        <w:t xml:space="preserve">実装:</w:t>
      </w:r>
      <w:r>
        <w:t xml:space="preserve"> </w:t>
      </w:r>
      <w:r>
        <w:rPr>
          <w:rStyle w:val="VerbatimChar"/>
        </w:rPr>
        <w:t xml:space="preserve">screening_engine.py</w:t>
      </w:r>
      <w:r>
        <w:t xml:space="preserve"> </w:t>
      </w:r>
      <w:r>
        <w:t xml:space="preserve">(</w:t>
      </w:r>
      <w:r>
        <w:rPr>
          <w:rStyle w:val="VerbatimChar"/>
        </w:rPr>
        <w:t xml:space="preserve">evaluate_and_apply</w:t>
      </w:r>
      <w:r>
        <w:t xml:space="preserve">)</w:t>
      </w:r>
    </w:p>
    <w:p>
      <w:pPr>
        <w:numPr>
          <w:ilvl w:val="0"/>
          <w:numId w:val="1004"/>
        </w:numPr>
        <w:pStyle w:val="Compact"/>
      </w:pPr>
      <w:r>
        <w:t xml:space="preserve">ロジック: 各有効グループの</w:t>
      </w:r>
      <w:r>
        <w:rPr>
          <w:rStyle w:val="VerbatimChar"/>
        </w:rPr>
        <w:t xml:space="preserve">candidate</w:t>
      </w:r>
      <w:r>
        <w:t xml:space="preserve">ルールのうち、</w:t>
      </w:r>
      <w:r>
        <w:rPr>
          <w:b/>
        </w:rPr>
        <w:t xml:space="preserve">分類A・分類Bのいずれかに1つでも該当すると、そのグループの候補としては失格</w:t>
      </w:r>
      <w:r>
        <w:t xml:space="preserve">(A・Bは同じ強さのブロック条件、内部的にはOR)。分類Cは現在未使用(参考情報)。</w:t>
      </w:r>
    </w:p>
    <w:p>
      <w:pPr>
        <w:numPr>
          <w:ilvl w:val="0"/>
          <w:numId w:val="1004"/>
        </w:numPr>
        <w:pStyle w:val="Compact"/>
      </w:pPr>
      <w:r>
        <w:t xml:space="preserve">失格しなかった銘柄は「候補」となり、根拠グループ名がタグとして付与される(このタグが、後述の買入タイミング/損切り/利確判定でどのグループ基準を使うかの決め手になる)。</w:t>
      </w:r>
    </w:p>
    <w:p>
      <w:pPr>
        <w:numPr>
          <w:ilvl w:val="0"/>
          <w:numId w:val="1004"/>
        </w:numPr>
        <w:pStyle w:val="Compact"/>
      </w:pPr>
      <w:r>
        <w:t xml:space="preserve">既にステータスが設定されている銘柄(手動含む)は上書きしない。</w:t>
      </w:r>
    </w:p>
    <w:p>
      <w:pPr>
        <w:numPr>
          <w:ilvl w:val="0"/>
          <w:numId w:val="1004"/>
        </w:numPr>
        <w:pStyle w:val="Compact"/>
      </w:pPr>
      <w:r>
        <w:t xml:space="preserve">グループを無効化した場合、そのグループのみが根拠で候補になっていた銘柄はステータス・タグをリセットし再評価する。</w:t>
      </w:r>
    </w:p>
    <w:p>
      <w:pPr>
        <w:pStyle w:val="Heading5"/>
      </w:pPr>
      <w:bookmarkStart w:id="38" w:name="現状の参考値分類b範囲外で失格"/>
      <w:r>
        <w:t xml:space="preserve">現状の参考値(分類B、範囲外で失格)</w:t>
      </w:r>
      <w:bookmarkEnd w:id="38"/>
    </w:p>
    <w:p>
      <w:pPr>
        <w:pStyle w:val="FirstParagraph"/>
      </w:pPr>
      <w:r>
        <w:t xml:space="preserve">小型株・中型株・大型株の3グループが同一項目セットを使用し、時価総額の区分でセグメント分けしている(デフォルトグループはルール未設定=候補スクリーニング対象外)。</w:t>
      </w:r>
    </w:p>
    <w:tbl>
      <w:tblPr>
        <w:tblStyle w:val="Table"/>
        <w:tblW w:type="pct" w:w="0.0"/>
        <w:tblLook w:firstRow="1"/>
      </w:tblPr>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小型株</w:t>
            </w:r>
          </w:p>
        </w:tc>
        <w:tc>
          <w:tcPr>
            <w:tcBorders>
              <w:bottom w:val="single"/>
            </w:tcBorders>
            <w:vAlign w:val="bottom"/>
          </w:tcPr>
          <w:p>
            <w:pPr>
              <w:pStyle w:val="Compact"/>
              <w:jc w:val="left"/>
            </w:pPr>
            <w:r>
              <w:t xml:space="preserve">中型株</w:t>
            </w:r>
          </w:p>
        </w:tc>
        <w:tc>
          <w:tcPr>
            <w:tcBorders>
              <w:bottom w:val="single"/>
            </w:tcBorders>
            <w:vAlign w:val="bottom"/>
          </w:tcPr>
          <w:p>
            <w:pPr>
              <w:pStyle w:val="Compact"/>
              <w:jc w:val="left"/>
            </w:pPr>
            <w:r>
              <w:t xml:space="preserve">大型株</w:t>
            </w:r>
          </w:p>
        </w:tc>
      </w:tr>
      <w:tr>
        <w:tc>
          <w:p>
            <w:pPr>
              <w:pStyle w:val="Compact"/>
              <w:jc w:val="left"/>
            </w:pPr>
            <w:r>
              <w:t xml:space="preserve">ROE(%)</w:t>
            </w:r>
          </w:p>
        </w:tc>
        <w:tc>
          <w:p>
            <w:pPr>
              <w:pStyle w:val="Compact"/>
              <w:jc w:val="left"/>
            </w:pPr>
            <w:r>
              <w:t xml:space="preserve">10.0 〜 213.6</w:t>
            </w:r>
          </w:p>
        </w:tc>
        <w:tc>
          <w:p>
            <w:pPr>
              <w:pStyle w:val="Compact"/>
              <w:jc w:val="left"/>
            </w:pPr>
            <w:r>
              <w:t xml:space="preserve">8.0 〜 80.0</w:t>
            </w:r>
          </w:p>
        </w:tc>
        <w:tc>
          <w:p>
            <w:pPr>
              <w:pStyle w:val="Compact"/>
              <w:jc w:val="left"/>
            </w:pPr>
            <w:r>
              <w:t xml:space="preserve">5.0 〜 40.0</w:t>
            </w:r>
          </w:p>
        </w:tc>
      </w:tr>
      <w:tr>
        <w:tc>
          <w:p>
            <w:pPr>
              <w:pStyle w:val="Compact"/>
              <w:jc w:val="left"/>
            </w:pPr>
            <w:r>
              <w:t xml:space="preserve">自己資本比率(%)</w:t>
            </w:r>
          </w:p>
        </w:tc>
        <w:tc>
          <w:p>
            <w:pPr>
              <w:pStyle w:val="Compact"/>
              <w:jc w:val="left"/>
            </w:pPr>
            <w:r>
              <w:t xml:space="preserve">40.0 〜 97.85</w:t>
            </w:r>
          </w:p>
        </w:tc>
        <w:tc>
          <w:p>
            <w:pPr>
              <w:pStyle w:val="Compact"/>
              <w:jc w:val="left"/>
            </w:pPr>
            <w:r>
              <w:t xml:space="preserve">35.0 〜 95.0</w:t>
            </w:r>
          </w:p>
        </w:tc>
        <w:tc>
          <w:p>
            <w:pPr>
              <w:pStyle w:val="Compact"/>
              <w:jc w:val="left"/>
            </w:pPr>
            <w:r>
              <w:t xml:space="preserve">30.0 〜 90.0</w:t>
            </w:r>
          </w:p>
        </w:tc>
      </w:tr>
      <w:tr>
        <w:tc>
          <w:p>
            <w:pPr>
              <w:pStyle w:val="Compact"/>
              <w:jc w:val="left"/>
            </w:pPr>
            <w:r>
              <w:t xml:space="preserve">売上高前期比(%)</w:t>
            </w:r>
          </w:p>
        </w:tc>
        <w:tc>
          <w:p>
            <w:pPr>
              <w:pStyle w:val="Compact"/>
              <w:jc w:val="left"/>
            </w:pPr>
            <w:r>
              <w:t xml:space="preserve">20.0 〜 98.45</w:t>
            </w:r>
          </w:p>
        </w:tc>
        <w:tc>
          <w:p>
            <w:pPr>
              <w:pStyle w:val="Compact"/>
              <w:jc w:val="left"/>
            </w:pPr>
            <w:r>
              <w:t xml:space="preserve">8.0 〜 40.0</w:t>
            </w:r>
          </w:p>
        </w:tc>
        <w:tc>
          <w:p>
            <w:pPr>
              <w:pStyle w:val="Compact"/>
              <w:jc w:val="left"/>
            </w:pPr>
            <w:r>
              <w:t xml:space="preserve">0.0 〜 20.0</w:t>
            </w:r>
          </w:p>
        </w:tc>
      </w:tr>
      <w:tr>
        <w:tc>
          <w:p>
            <w:pPr>
              <w:pStyle w:val="Compact"/>
              <w:jc w:val="left"/>
            </w:pPr>
            <w:r>
              <w:t xml:space="preserve">売上高営業利益率(%)</w:t>
            </w:r>
          </w:p>
        </w:tc>
        <w:tc>
          <w:p>
            <w:pPr>
              <w:pStyle w:val="Compact"/>
              <w:jc w:val="left"/>
            </w:pPr>
            <w:r>
              <w:t xml:space="preserve">10.0 〜 20.19</w:t>
            </w:r>
          </w:p>
        </w:tc>
        <w:tc>
          <w:p>
            <w:pPr>
              <w:pStyle w:val="Compact"/>
              <w:jc w:val="left"/>
            </w:pPr>
            <w:r>
              <w:t xml:space="preserve">8.0 〜 18.0</w:t>
            </w:r>
          </w:p>
        </w:tc>
        <w:tc>
          <w:p>
            <w:pPr>
              <w:pStyle w:val="Compact"/>
              <w:jc w:val="left"/>
            </w:pPr>
            <w:r>
              <w:t xml:space="preserve">8.0 〜 25.0</w:t>
            </w:r>
          </w:p>
        </w:tc>
      </w:tr>
      <w:tr>
        <w:tc>
          <w:p>
            <w:pPr>
              <w:pStyle w:val="Compact"/>
              <w:jc w:val="left"/>
            </w:pPr>
            <w:r>
              <w:t xml:space="preserve">時価総額(百万円)</w:t>
            </w:r>
          </w:p>
        </w:tc>
        <w:tc>
          <w:p>
            <w:pPr>
              <w:pStyle w:val="Compact"/>
              <w:jc w:val="left"/>
            </w:pPr>
            <w:r>
              <w:t xml:space="preserve">60 〜 30,000</w:t>
            </w:r>
          </w:p>
        </w:tc>
        <w:tc>
          <w:p>
            <w:pPr>
              <w:pStyle w:val="Compact"/>
              <w:jc w:val="left"/>
            </w:pPr>
            <w:r>
              <w:t xml:space="preserve">100,000 〜 1,000,000</w:t>
            </w:r>
          </w:p>
        </w:tc>
        <w:tc>
          <w:p>
            <w:pPr>
              <w:pStyle w:val="Compact"/>
              <w:jc w:val="left"/>
            </w:pPr>
            <w:r>
              <w:t xml:space="preserve">1,000,000 〜 50,000,000</w:t>
            </w:r>
          </w:p>
        </w:tc>
      </w:tr>
    </w:tbl>
    <w:p>
      <w:pPr>
        <w:pStyle w:val="BodyText"/>
      </w:pPr>
      <w:r>
        <w:t xml:space="preserve">※表は「下限(lte条件の値)〜上限(gte条件の値)」の</w:t>
      </w:r>
      <w:r>
        <w:rPr>
          <w:b/>
        </w:rPr>
        <w:t xml:space="preserve">範囲内であれば失格しない</w:t>
      </w:r>
      <w:r>
        <w:t xml:space="preserve">ことを示す(範囲外＝分類Bのいずれかに該当＝失格)。中型株はTOPIX Mid400、大型株はTOPIX100・市場平均ROE10.3%を参考に設定。</w:t>
      </w:r>
    </w:p>
    <w:p>
      <w:pPr>
        <w:pStyle w:val="Heading4"/>
      </w:pPr>
      <w:bookmarkStart w:id="39" w:name="系統b-テクニカルスコアによる自動候補化"/>
      <w:r>
        <w:t xml:space="preserve">4.2 系統B: テクニカルスコアによる自動候補化</w:t>
      </w:r>
      <w:bookmarkEnd w:id="39"/>
    </w:p>
    <w:p>
      <w:pPr>
        <w:numPr>
          <w:ilvl w:val="0"/>
          <w:numId w:val="1005"/>
        </w:numPr>
        <w:pStyle w:val="Compact"/>
      </w:pPr>
      <w:r>
        <w:t xml:space="preserve">実装:</w:t>
      </w:r>
      <w:r>
        <w:t xml:space="preserve"> </w:t>
      </w:r>
      <w:r>
        <w:rPr>
          <w:rStyle w:val="VerbatimChar"/>
        </w:rPr>
        <w:t xml:space="preserve">technical_screener.py</w:t>
      </w:r>
      <w:r>
        <w:t xml:space="preserve"> </w:t>
      </w:r>
      <w:r>
        <w:t xml:space="preserve">(</w:t>
      </w:r>
      <w:r>
        <w:rPr>
          <w:rStyle w:val="VerbatimChar"/>
        </w:rPr>
        <w:t xml:space="preserve">apply_score_candidates</w:t>
      </w:r>
      <w:r>
        <w:t xml:space="preserve">)、スコア計算式は</w:t>
      </w:r>
      <w:r>
        <w:rPr>
          <w:rStyle w:val="VerbatimChar"/>
        </w:rPr>
        <w:t xml:space="preserve">technical_score_settings.py</w:t>
      </w:r>
    </w:p>
    <w:p>
      <w:pPr>
        <w:numPr>
          <w:ilvl w:val="0"/>
          <w:numId w:val="1005"/>
        </w:numPr>
        <w:pStyle w:val="Compact"/>
      </w:pPr>
      <w:r>
        <w:t xml:space="preserve">ロジック: 対象銘柄のテクニカルスコア(6要素合計、詳細は5.3節)が</w:t>
      </w:r>
      <w:r>
        <w:rPr>
          <w:b/>
        </w:rPr>
        <w:t xml:space="preserve">しきい値以上</w:t>
      </w:r>
      <w:r>
        <w:t xml:space="preserve">、かつステータス未設定の銘柄を「候補」として反映する。</w:t>
      </w:r>
    </w:p>
    <w:p>
      <w:pPr>
        <w:numPr>
          <w:ilvl w:val="0"/>
          <w:numId w:val="1005"/>
        </w:numPr>
        <w:pStyle w:val="Compact"/>
      </w:pPr>
      <w:r>
        <w:t xml:space="preserve">系統Aとは独立しており、こちらで候補になった銘柄にはタグが付かない(グループ判定のフォールバックはデフォルトグループになる)。</w:t>
      </w:r>
    </w:p>
    <w:p>
      <w:pPr>
        <w:numPr>
          <w:ilvl w:val="0"/>
          <w:numId w:val="1005"/>
        </w:numPr>
        <w:pStyle w:val="Compact"/>
      </w:pPr>
      <w:r>
        <w:t xml:space="preserve">しきい値変更時は、旧しきい値未満になった候補をリセットして再評価する。</w:t>
      </w:r>
    </w:p>
    <w:p>
      <w:pPr>
        <w:pStyle w:val="Heading5"/>
      </w:pPr>
      <w:bookmarkStart w:id="40" w:name="現状の参考値"/>
      <w:r>
        <w:t xml:space="preserve">現状の参考値</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設定項目</w:t>
            </w:r>
          </w:p>
        </w:tc>
        <w:tc>
          <w:tcPr>
            <w:tcBorders>
              <w:bottom w:val="single"/>
            </w:tcBorders>
            <w:vAlign w:val="bottom"/>
          </w:tcPr>
          <w:p>
            <w:pPr>
              <w:pStyle w:val="Compact"/>
              <w:jc w:val="left"/>
            </w:pPr>
            <w:r>
              <w:t xml:space="preserve">値</w:t>
            </w:r>
          </w:p>
        </w:tc>
      </w:tr>
      <w:tr>
        <w:tc>
          <w:p>
            <w:pPr>
              <w:pStyle w:val="Compact"/>
              <w:jc w:val="left"/>
            </w:pPr>
            <w:r>
              <w:t xml:space="preserve">自動候補化しきい値</w:t>
            </w:r>
          </w:p>
        </w:tc>
        <w:tc>
          <w:p>
            <w:pPr>
              <w:pStyle w:val="Compact"/>
              <w:jc w:val="left"/>
            </w:pPr>
            <w:r>
              <w:rPr>
                <w:b/>
              </w:rPr>
              <w:t xml:space="preserve">60点以上</w:t>
            </w:r>
          </w:p>
        </w:tc>
      </w:tr>
    </w:tbl>
    <w:p>
      <w:pPr>
        <w:pStyle w:val="BodyText"/>
      </w:pPr>
      <w:r>
        <w:t xml:space="preserve">また、実際のスコアに応じて表示用タグ(「高スコア(N点以上)」)が別途、全銘柄に同期される。階層:</w:t>
      </w:r>
      <w:r>
        <w:t xml:space="preserve"> </w:t>
      </w:r>
      <w:r>
        <w:rPr>
          <w:b/>
        </w:rPr>
        <w:t xml:space="preserve">100 / 80 / 60 / 40 / 20点以上</w:t>
      </w:r>
      <w:r>
        <w:t xml:space="preserve">。</w:t>
      </w:r>
    </w:p>
    <w:p>
      <w:r>
        <w:pict>
          <v:rect style="width:0;height:1.5pt" o:hralign="center" o:hrstd="t" o:hr="t"/>
        </w:pict>
      </w:r>
    </w:p>
    <w:p>
      <w:pPr>
        <w:pStyle w:val="Heading3"/>
      </w:pPr>
      <w:bookmarkStart w:id="41" w:name="買入タイミング判定"/>
      <w:r>
        <w:t xml:space="preserve">5. 買入タイミング判定</w:t>
      </w:r>
      <w:bookmarkEnd w:id="41"/>
    </w:p>
    <w:p>
      <w:pPr>
        <w:pStyle w:val="FirstParagraph"/>
      </w:pPr>
      <w:r>
        <w:t xml:space="preserve">候補(interested)・保有中(holding)・売却済(sold)の銘柄について、「今が買い時か」「買い増し・再エントリーすべきか」を判定する(除外・未設定は対象外)。</w:t>
      </w:r>
    </w:p>
    <w:p>
      <w:pPr>
        <w:numPr>
          <w:ilvl w:val="0"/>
          <w:numId w:val="1006"/>
        </w:numPr>
        <w:pStyle w:val="Compact"/>
      </w:pPr>
      <w:r>
        <w:t xml:space="preserve">実装:</w:t>
      </w:r>
      <w:r>
        <w:t xml:space="preserve"> </w:t>
      </w:r>
      <w:r>
        <w:rPr>
          <w:rStyle w:val="VerbatimChar"/>
        </w:rPr>
        <w:t xml:space="preserve">trade_judgment_engine.py</w:t>
      </w:r>
      <w:r>
        <w:t xml:space="preserve"> </w:t>
      </w:r>
      <w:r>
        <w:t xml:space="preserve">(</w:t>
      </w:r>
      <w:r>
        <w:rPr>
          <w:rStyle w:val="VerbatimChar"/>
        </w:rPr>
        <w:t xml:space="preserve">evaluate_entry</w:t>
      </w:r>
      <w:r>
        <w:t xml:space="preserve">)</w:t>
      </w:r>
    </w:p>
    <w:p>
      <w:pPr>
        <w:pStyle w:val="Heading4"/>
      </w:pPr>
      <w:bookmarkStart w:id="42" w:name="判定ロジック"/>
      <w:r>
        <w:t xml:space="preserve">5.1 判定ロジック</w:t>
      </w:r>
      <w:bookmarkEnd w:id="42"/>
    </w:p>
    <w:p>
      <w:pPr>
        <w:numPr>
          <w:ilvl w:val="0"/>
          <w:numId w:val="1007"/>
        </w:numPr>
        <w:pStyle w:val="Compact"/>
      </w:pPr>
      <w:r>
        <w:rPr>
          <w:b/>
        </w:rPr>
        <w:t xml:space="preserve">分類C(条件次第)</w:t>
      </w:r>
      <w:r>
        <w:t xml:space="preserve">: 各条件のうち満たした数を数える。</w:t>
      </w:r>
    </w:p>
    <w:p>
      <w:pPr>
        <w:numPr>
          <w:ilvl w:val="0"/>
          <w:numId w:val="1007"/>
        </w:numPr>
        <w:pStyle w:val="Compact"/>
      </w:pPr>
      <w:r>
        <w:rPr>
          <w:b/>
        </w:rPr>
        <w:t xml:space="preserve">有力候補判定</w:t>
      </w:r>
      <w:r>
        <w:t xml:space="preserve">: 該当数が「買入シグナル数しきい値」(グループ設定)以上、かつ後述の除外に該当しなければ「有力候補」。</w:t>
      </w:r>
    </w:p>
    <w:p>
      <w:pPr>
        <w:numPr>
          <w:ilvl w:val="0"/>
          <w:numId w:val="1007"/>
        </w:numPr>
        <w:pStyle w:val="Compact"/>
      </w:pPr>
      <w:r>
        <w:rPr>
          <w:b/>
        </w:rPr>
        <w:t xml:space="preserve">分類A(除外条件)</w:t>
      </w:r>
      <w:r>
        <w:t xml:space="preserve">: 1つでも該当すると、シグナル数がしきい値以上でも強制的に除外する(単日急騰・過熱・上抜け直後などの誤検知防止)。</w:t>
      </w:r>
    </w:p>
    <w:p>
      <w:pPr>
        <w:numPr>
          <w:ilvl w:val="0"/>
          <w:numId w:val="1007"/>
        </w:numPr>
        <w:pStyle w:val="Compact"/>
      </w:pPr>
      <w:r>
        <w:rPr>
          <w:b/>
        </w:rPr>
        <w:t xml:space="preserve">損切りリスク先読みチェック</w:t>
      </w:r>
      <w:r>
        <w:t xml:space="preserve">: 同じグループの</w:t>
      </w:r>
      <w:r>
        <w:rPr>
          <w:rStyle w:val="VerbatimChar"/>
        </w:rPr>
        <w:t xml:space="preserve">loss_cut</w:t>
      </w:r>
      <w:r>
        <w:t xml:space="preserve">分類A/Bを、購入前提のnull値(購入価格・購入時スコア無し)のまま評価する。購入価格・スコアに依存する条件(下落率・スコア変化)は自動的に不成立となり、</w:t>
      </w:r>
      <w:r>
        <w:rPr>
          <w:b/>
        </w:rPr>
        <w:t xml:space="preserve">銘柄自体の状態を示す条件のみ</w:t>
      </w:r>
      <w:r>
        <w:t xml:space="preserve">(上場廃止リスク・監理銘柄・営業利益/EPS成長率の悪化)が働く。</w:t>
      </w:r>
    </w:p>
    <w:p>
      <w:pPr>
        <w:numPr>
          <w:ilvl w:val="1"/>
          <w:numId w:val="1008"/>
        </w:numPr>
        <w:pStyle w:val="Compact"/>
      </w:pPr>
      <w:r>
        <w:t xml:space="preserve">損切り分類A相当に該当 → 買入タイミングの分類Aと同じ強さで</w:t>
      </w:r>
      <w:r>
        <w:rPr>
          <w:b/>
        </w:rPr>
        <w:t xml:space="preserve">候補から除外</w:t>
      </w:r>
    </w:p>
    <w:p>
      <w:pPr>
        <w:numPr>
          <w:ilvl w:val="1"/>
          <w:numId w:val="1008"/>
        </w:numPr>
        <w:pStyle w:val="Compact"/>
      </w:pPr>
      <w:r>
        <w:t xml:space="preserve">損切り分類B相当に該当 → 除外はせず</w:t>
      </w:r>
      <w:r>
        <w:rPr>
          <w:b/>
        </w:rPr>
        <w:t xml:space="preserve">警告表示のみ</w:t>
      </w:r>
    </w:p>
    <w:p>
      <w:pPr>
        <w:pStyle w:val="Heading4"/>
      </w:pPr>
      <w:bookmarkStart w:id="43" w:name="現状の参考値分類c分類a小型株中型株大型株デフォルト共通"/>
      <w:r>
        <w:t xml:space="preserve">5.2 現状の参考値(分類C・分類A、小型株/中型株/大型株/デフォルト共通)</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分類</w:t>
            </w:r>
          </w:p>
        </w:tc>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条件</w:t>
            </w:r>
          </w:p>
        </w:tc>
        <w:tc>
          <w:tcPr>
            <w:tcBorders>
              <w:bottom w:val="single"/>
            </w:tcBorders>
            <w:vAlign w:val="bottom"/>
          </w:tcPr>
          <w:p>
            <w:pPr>
              <w:pStyle w:val="Compact"/>
              <w:jc w:val="left"/>
            </w:pPr>
            <w:r>
              <w:t xml:space="preserve">備考</w:t>
            </w:r>
          </w:p>
        </w:tc>
      </w:tr>
      <w:tr>
        <w:tc>
          <w:p>
            <w:pPr>
              <w:pStyle w:val="Compact"/>
              <w:jc w:val="left"/>
            </w:pPr>
            <w:r>
              <w:t xml:space="preserve">C</w:t>
            </w:r>
          </w:p>
        </w:tc>
        <w:tc>
          <w:p>
            <w:pPr>
              <w:pStyle w:val="Compact"/>
              <w:jc w:val="left"/>
            </w:pPr>
            <w:r>
              <w:t xml:space="preserve">MA25上抜け(is_above_ma25)</w:t>
            </w:r>
          </w:p>
        </w:tc>
        <w:tc>
          <w:p>
            <w:pPr>
              <w:pStyle w:val="Compact"/>
              <w:jc w:val="left"/>
            </w:pPr>
            <w:r>
              <w:t xml:space="preserve">true</w:t>
            </w:r>
          </w:p>
        </w:tc>
        <w:tc>
          <w:p>
            <w:pPr>
              <w:pStyle w:val="Compact"/>
              <w:jc w:val="left"/>
            </w:pPr>
            <w:r>
              <w:t xml:space="preserve">現在値がMA25を上回っている</w:t>
            </w:r>
          </w:p>
        </w:tc>
      </w:tr>
      <w:tr>
        <w:tc>
          <w:p>
            <w:pPr>
              <w:pStyle w:val="Compact"/>
              <w:jc w:val="left"/>
            </w:pPr>
            <w:r>
              <w:t xml:space="preserve">C</w:t>
            </w:r>
          </w:p>
        </w:tc>
        <w:tc>
          <w:p>
            <w:pPr>
              <w:pStyle w:val="Compact"/>
              <w:jc w:val="left"/>
            </w:pPr>
            <w:r>
              <w:t xml:space="preserve">出来高倍率</w:t>
            </w:r>
          </w:p>
        </w:tc>
        <w:tc>
          <w:p>
            <w:pPr>
              <w:pStyle w:val="Compact"/>
              <w:jc w:val="left"/>
            </w:pPr>
            <w:r>
              <w:t xml:space="preserve">小型株:3.0倍以上 / 中型株:2.5倍以上 / 大型株・デフォルト:2.0倍以上</w:t>
            </w:r>
          </w:p>
        </w:tc>
        <w:tc>
          <w:p>
            <w:pPr>
              <w:pStyle w:val="Compact"/>
              <w:jc w:val="left"/>
            </w:pPr>
            <w:r>
              <w:t xml:space="preserve">20日平均比</w:t>
            </w:r>
          </w:p>
        </w:tc>
      </w:tr>
      <w:tr>
        <w:tc>
          <w:p>
            <w:pPr>
              <w:pStyle w:val="Compact"/>
              <w:jc w:val="left"/>
            </w:pPr>
            <w:r>
              <w:t xml:space="preserve">C</w:t>
            </w:r>
          </w:p>
        </w:tc>
        <w:tc>
          <w:p>
            <w:pPr>
              <w:pStyle w:val="Compact"/>
              <w:jc w:val="left"/>
            </w:pPr>
            <w:r>
              <w:t xml:space="preserve">決算サプライズ(市場予想乖離率)</w:t>
            </w:r>
          </w:p>
        </w:tc>
        <w:tc>
          <w:p>
            <w:pPr>
              <w:pStyle w:val="Compact"/>
              <w:jc w:val="left"/>
            </w:pPr>
            <w:r>
              <w:t xml:space="preserve">0%以上</w:t>
            </w:r>
          </w:p>
        </w:tc>
        <w:tc>
          <w:p>
            <w:pPr>
              <w:pStyle w:val="Compact"/>
              <w:jc w:val="left"/>
            </w:pPr>
            <w:r>
              <w:t xml:space="preserve">市場予想を上回った決算</w:t>
            </w:r>
          </w:p>
        </w:tc>
      </w:tr>
      <w:tr>
        <w:tc>
          <w:p>
            <w:pPr>
              <w:pStyle w:val="Compact"/>
              <w:jc w:val="left"/>
            </w:pPr>
            <w:r>
              <w:t xml:space="preserve">A</w:t>
            </w:r>
          </w:p>
        </w:tc>
        <w:tc>
          <w:p>
            <w:pPr>
              <w:pStyle w:val="Compact"/>
              <w:jc w:val="left"/>
            </w:pPr>
            <w:r>
              <w:t xml:space="preserve">スクリーニングスコア</w:t>
            </w:r>
          </w:p>
        </w:tc>
        <w:tc>
          <w:p>
            <w:pPr>
              <w:pStyle w:val="Compact"/>
              <w:jc w:val="left"/>
            </w:pPr>
            <w:r>
              <w:t xml:space="preserve">20pt以下で除外</w:t>
            </w:r>
          </w:p>
        </w:tc>
        <w:tc>
          <w:p>
            <w:pPr>
              <w:pStyle w:val="Compact"/>
              <w:jc w:val="left"/>
            </w:pPr>
            <w:r>
              <w:t xml:space="preserve">テクニカルスコア不足の足切り</w:t>
            </w:r>
          </w:p>
        </w:tc>
      </w:tr>
      <w:tr>
        <w:tc>
          <w:p>
            <w:pPr>
              <w:pStyle w:val="Compact"/>
              <w:jc w:val="left"/>
            </w:pPr>
            <w:r>
              <w:t xml:space="preserve">A</w:t>
            </w:r>
          </w:p>
        </w:tc>
        <w:tc>
          <w:p>
            <w:pPr>
              <w:pStyle w:val="Compact"/>
              <w:jc w:val="left"/>
            </w:pPr>
            <w:r>
              <w:t xml:space="preserve">RSI</w:t>
            </w:r>
          </w:p>
        </w:tc>
        <w:tc>
          <w:p>
            <w:pPr>
              <w:pStyle w:val="Compact"/>
              <w:jc w:val="left"/>
            </w:pPr>
            <w:r>
              <w:t xml:space="preserve">70以上で除外</w:t>
            </w:r>
          </w:p>
        </w:tc>
        <w:tc>
          <w:p>
            <w:pPr>
              <w:pStyle w:val="Compact"/>
              <w:jc w:val="left"/>
            </w:pPr>
            <w:r>
              <w:t xml:space="preserve">過熱圏</w:t>
            </w:r>
          </w:p>
        </w:tc>
      </w:tr>
      <w:tr>
        <w:tc>
          <w:p>
            <w:pPr>
              <w:pStyle w:val="Compact"/>
              <w:jc w:val="left"/>
            </w:pPr>
            <w:r>
              <w:t xml:space="preserve">A</w:t>
            </w:r>
          </w:p>
        </w:tc>
        <w:tc>
          <w:p>
            <w:pPr>
              <w:pStyle w:val="Compact"/>
              <w:jc w:val="left"/>
            </w:pPr>
            <w:r>
              <w:t xml:space="preserve">MA25乖離率</w:t>
            </w:r>
          </w:p>
        </w:tc>
        <w:tc>
          <w:p>
            <w:pPr>
              <w:pStyle w:val="Compact"/>
              <w:jc w:val="left"/>
            </w:pPr>
            <w:r>
              <w:t xml:space="preserve">+10%以上で除外</w:t>
            </w:r>
          </w:p>
        </w:tc>
        <w:tc>
          <w:p>
            <w:pPr>
              <w:pStyle w:val="Compact"/>
              <w:jc w:val="left"/>
            </w:pPr>
            <w:r>
              <w:t xml:space="preserve">追いかけすぎ検知</w:t>
            </w:r>
          </w:p>
        </w:tc>
      </w:tr>
      <w:tr>
        <w:tc>
          <w:p>
            <w:pPr>
              <w:pStyle w:val="Compact"/>
              <w:jc w:val="left"/>
            </w:pPr>
            <w:r>
              <w:t xml:space="preserve">A</w:t>
            </w:r>
          </w:p>
        </w:tc>
        <w:tc>
          <w:p>
            <w:pPr>
              <w:pStyle w:val="Compact"/>
              <w:jc w:val="left"/>
            </w:pPr>
            <w:r>
              <w:t xml:space="preserve">前日比騰落率</w:t>
            </w:r>
          </w:p>
        </w:tc>
        <w:tc>
          <w:p>
            <w:pPr>
              <w:pStyle w:val="Compact"/>
              <w:jc w:val="left"/>
            </w:pPr>
            <w:r>
              <w:t xml:space="preserve">+8%以上で除外</w:t>
            </w:r>
          </w:p>
        </w:tc>
        <w:tc>
          <w:p>
            <w:pPr>
              <w:pStyle w:val="Compact"/>
              <w:jc w:val="left"/>
            </w:pPr>
            <w:r>
              <w:t xml:space="preserve">単日急騰の誤検知防止</w:t>
            </w:r>
          </w:p>
        </w:tc>
      </w:tr>
      <w:tr>
        <w:tc>
          <w:p>
            <w:pPr>
              <w:pStyle w:val="Compact"/>
              <w:jc w:val="left"/>
            </w:pPr>
            <w:r>
              <w:t xml:space="preserve">A</w:t>
            </w:r>
          </w:p>
        </w:tc>
        <w:tc>
          <w:p>
            <w:pPr>
              <w:pStyle w:val="Compact"/>
              <w:jc w:val="left"/>
            </w:pPr>
            <w:r>
              <w:t xml:space="preserve">MA25上抜け継続日数</w:t>
            </w:r>
          </w:p>
        </w:tc>
        <w:tc>
          <w:p>
            <w:pPr>
              <w:pStyle w:val="Compact"/>
              <w:jc w:val="left"/>
            </w:pPr>
            <w:r>
              <w:t xml:space="preserve">2日以下で除外</w:t>
            </w:r>
          </w:p>
        </w:tc>
        <w:tc>
          <w:p>
            <w:pPr>
              <w:pStyle w:val="Compact"/>
              <w:jc w:val="left"/>
            </w:pPr>
            <w:r>
              <w:t xml:space="preserve">上抜け直後(だまし)の除外</w:t>
            </w:r>
          </w:p>
        </w:tc>
      </w:tr>
    </w:tbl>
    <w:p>
      <w:pPr>
        <w:pStyle w:val="BodyText"/>
      </w:pPr>
      <w:r>
        <w:rPr>
          <w:b/>
        </w:rPr>
        <w:t xml:space="preserve">買入シグナル数しきい値</w:t>
      </w:r>
      <w:r>
        <w:t xml:space="preserve">: 全グループ共通で</w:t>
      </w:r>
      <w:r>
        <w:rPr>
          <w:b/>
        </w:rPr>
        <w:t xml:space="preserve">2件</w:t>
      </w:r>
      <w:r>
        <w:t xml:space="preserve">(3件中、MA25上抜け・出来高急増・決算サプライズのうち2つ以上)。</w:t>
      </w:r>
    </w:p>
    <w:p>
      <w:pPr>
        <w:pStyle w:val="Heading4"/>
      </w:pPr>
      <w:bookmarkStart w:id="44" w:name="テクニカルスコアscreening_scoreの算出式"/>
      <w:r>
        <w:t xml:space="preserve">5.3 テクニカルスコア(screening_scoreの算出式)</w:t>
      </w:r>
      <w:bookmarkEnd w:id="44"/>
    </w:p>
    <w:p>
      <w:pPr>
        <w:pStyle w:val="FirstParagraph"/>
      </w:pPr>
      <w:r>
        <w:t xml:space="preserve">買入タイミング判定の</w:t>
      </w:r>
      <w:r>
        <w:rPr>
          <w:rStyle w:val="VerbatimChar"/>
        </w:rPr>
        <w:t xml:space="preserve">スクリーニングスコア</w:t>
      </w:r>
      <w:r>
        <w:t xml:space="preserve">条件、および候補スクリーニングの系統Bで使うスコアは、以下6要素の加点(一部減点)合計で計算する(</w:t>
      </w:r>
      <w:r>
        <w:rPr>
          <w:rStyle w:val="VerbatimChar"/>
        </w:rPr>
        <w:t xml:space="preserve">technical_screener.py</w:t>
      </w:r>
      <w:r>
        <w:t xml:space="preserve">)。各要素の配点・期間・閾値はすべて設定画面(テクニカルスコア設定)で編集可能。</w:t>
      </w:r>
    </w:p>
    <w:tbl>
      <w:tblPr>
        <w:tblStyle w:val="Table"/>
        <w:tblW w:type="pct" w:w="5000.0"/>
        <w:tblLook w:firstRow="1"/>
      </w:tblPr>
      <w:tblGrid>
        <w:gridCol w:w="126"/>
        <w:gridCol w:w="1221"/>
        <w:gridCol w:w="716"/>
        <w:gridCol w:w="2569"/>
        <w:gridCol w:w="328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要素</w:t>
            </w:r>
          </w:p>
        </w:tc>
        <w:tc>
          <w:tcPr>
            <w:tcBorders>
              <w:bottom w:val="single"/>
            </w:tcBorders>
            <w:vAlign w:val="bottom"/>
          </w:tcPr>
          <w:p>
            <w:pPr>
              <w:pStyle w:val="Compact"/>
              <w:jc w:val="left"/>
            </w:pPr>
            <w:r>
              <w:t xml:space="preserve">配点</w:t>
            </w:r>
          </w:p>
        </w:tc>
        <w:tc>
          <w:tcPr>
            <w:tcBorders>
              <w:bottom w:val="single"/>
            </w:tcBorders>
            <w:vAlign w:val="bottom"/>
          </w:tcPr>
          <w:p>
            <w:pPr>
              <w:pStyle w:val="Compact"/>
              <w:jc w:val="left"/>
            </w:pPr>
            <w:r>
              <w:t xml:space="preserve">条件</w:t>
            </w:r>
          </w:p>
        </w:tc>
        <w:tc>
          <w:tcPr>
            <w:tcBorders>
              <w:bottom w:val="single"/>
            </w:tcBorders>
            <w:vAlign w:val="bottom"/>
          </w:tcPr>
          <w:p>
            <w:pPr>
              <w:pStyle w:val="Compact"/>
              <w:jc w:val="left"/>
            </w:pPr>
            <w:r>
              <w:t xml:space="preserve">現状の参考値</w:t>
            </w:r>
          </w:p>
        </w:tc>
      </w:tr>
      <w:tr>
        <w:tc>
          <w:p>
            <w:pPr>
              <w:pStyle w:val="Compact"/>
              <w:jc w:val="left"/>
            </w:pPr>
            <w:r>
              <w:t xml:space="preserve">1</w:t>
            </w:r>
          </w:p>
        </w:tc>
        <w:tc>
          <w:p>
            <w:pPr>
              <w:pStyle w:val="Compact"/>
              <w:jc w:val="left"/>
            </w:pPr>
            <w:r>
              <w:t xml:space="preserve">ステージ2判定(ワインスタイン)</w:t>
            </w:r>
          </w:p>
        </w:tc>
        <w:tc>
          <w:p>
            <w:pPr>
              <w:pStyle w:val="Compact"/>
              <w:jc w:val="left"/>
            </w:pPr>
            <w:r>
              <w:t xml:space="preserve">30点</w:t>
            </w:r>
          </w:p>
        </w:tc>
        <w:tc>
          <w:p>
            <w:pPr>
              <w:pStyle w:val="Compact"/>
              <w:jc w:val="left"/>
            </w:pPr>
            <w:r>
              <w:t xml:space="preserve">終値 &gt; SMA短期 &gt; SMA長期 かつ SMA長期が上昇トレンド</w:t>
            </w:r>
          </w:p>
        </w:tc>
        <w:tc>
          <w:p>
            <w:pPr>
              <w:pStyle w:val="Compact"/>
              <w:jc w:val="left"/>
            </w:pPr>
            <w:r>
              <w:t xml:space="preserve">短期SMA=50日 / 長期SMA=200日 / トレンド確認=直近20日比較</w:t>
            </w:r>
          </w:p>
        </w:tc>
      </w:tr>
      <w:tr>
        <w:tc>
          <w:p>
            <w:pPr>
              <w:pStyle w:val="Compact"/>
              <w:jc w:val="left"/>
            </w:pPr>
            <w:r>
              <w:t xml:space="preserve">2</w:t>
            </w:r>
          </w:p>
        </w:tc>
        <w:tc>
          <w:p>
            <w:pPr>
              <w:pStyle w:val="Compact"/>
              <w:jc w:val="left"/>
            </w:pPr>
            <w:r>
              <w:t xml:space="preserve">相対強度(RS)</w:t>
            </w:r>
          </w:p>
        </w:tc>
        <w:tc>
          <w:p>
            <w:pPr>
              <w:pStyle w:val="Compact"/>
              <w:jc w:val="left"/>
            </w:pPr>
            <w:r>
              <w:t xml:space="preserve">25点</w:t>
            </w:r>
          </w:p>
        </w:tc>
        <w:tc>
          <w:p>
            <w:pPr>
              <w:pStyle w:val="Compact"/>
              <w:jc w:val="left"/>
            </w:pPr>
            <w:r>
              <w:t xml:space="preserve">RS = (1+個別株リターン) ÷ (1+ベンチマークリターン) が閾値以上</w:t>
            </w:r>
          </w:p>
        </w:tc>
        <w:tc>
          <w:p>
            <w:pPr>
              <w:pStyle w:val="Compact"/>
              <w:jc w:val="left"/>
            </w:pPr>
            <w:r>
              <w:t xml:space="preserve">比較期間=126日(約6ヶ月) / 閾値=1.3倍 / ベンチマーク=^N225(日経225)</w:t>
            </w:r>
          </w:p>
        </w:tc>
      </w:tr>
      <w:tr>
        <w:tc>
          <w:p>
            <w:pPr>
              <w:pStyle w:val="Compact"/>
              <w:jc w:val="left"/>
            </w:pPr>
            <w:r>
              <w:t xml:space="preserve">3</w:t>
            </w:r>
          </w:p>
        </w:tc>
        <w:tc>
          <w:p>
            <w:pPr>
              <w:pStyle w:val="Compact"/>
              <w:jc w:val="left"/>
            </w:pPr>
            <w:r>
              <w:t xml:space="preserve">出来高急増</w:t>
            </w:r>
          </w:p>
        </w:tc>
        <w:tc>
          <w:p>
            <w:pPr>
              <w:pStyle w:val="Compact"/>
              <w:jc w:val="left"/>
            </w:pPr>
            <w:r>
              <w:t xml:space="preserve">20点</w:t>
            </w:r>
          </w:p>
        </w:tc>
        <w:tc>
          <w:p>
            <w:pPr>
              <w:pStyle w:val="Compact"/>
              <w:jc w:val="left"/>
            </w:pPr>
            <w:r>
              <w:t xml:space="preserve">直近出来高が平均の一定倍以上</w:t>
            </w:r>
          </w:p>
        </w:tc>
        <w:tc>
          <w:p>
            <w:pPr>
              <w:pStyle w:val="Compact"/>
              <w:jc w:val="left"/>
            </w:pPr>
            <w:r>
              <w:t xml:space="preserve">平均算出期間=20日 / 閾値=1.5倍</w:t>
            </w:r>
          </w:p>
        </w:tc>
      </w:tr>
      <w:tr>
        <w:tc>
          <w:p>
            <w:pPr>
              <w:pStyle w:val="Compact"/>
              <w:jc w:val="left"/>
            </w:pPr>
            <w:r>
              <w:t xml:space="preserve">4</w:t>
            </w:r>
          </w:p>
        </w:tc>
        <w:tc>
          <w:p>
            <w:pPr>
              <w:pStyle w:val="Compact"/>
              <w:jc w:val="left"/>
            </w:pPr>
            <w:r>
              <w:t xml:space="preserve">RSI適温ゾーン</w:t>
            </w:r>
          </w:p>
        </w:tc>
        <w:tc>
          <w:p>
            <w:pPr>
              <w:pStyle w:val="Compact"/>
              <w:jc w:val="left"/>
            </w:pPr>
            <w:r>
              <w:t xml:space="preserve">15点(過熱時-10点)</w:t>
            </w:r>
          </w:p>
        </w:tc>
        <w:tc>
          <w:p>
            <w:pPr>
              <w:pStyle w:val="Compact"/>
              <w:jc w:val="left"/>
            </w:pPr>
            <w:r>
              <w:t xml:space="preserve">RSIが快適圏なら加点、過熱圏なら減点</w:t>
            </w:r>
          </w:p>
        </w:tc>
        <w:tc>
          <w:p>
            <w:pPr>
              <w:pStyle w:val="Compact"/>
              <w:jc w:val="left"/>
            </w:pPr>
            <w:r>
              <w:t xml:space="preserve">算出期間=14日 / 快適圏=45〜65 / 過熱判定=70以上</w:t>
            </w:r>
          </w:p>
        </w:tc>
      </w:tr>
      <w:tr>
        <w:tc>
          <w:p>
            <w:pPr>
              <w:pStyle w:val="Compact"/>
              <w:jc w:val="left"/>
            </w:pPr>
            <w:r>
              <w:t xml:space="preserve">5</w:t>
            </w:r>
          </w:p>
        </w:tc>
        <w:tc>
          <w:p>
            <w:pPr>
              <w:pStyle w:val="Compact"/>
              <w:jc w:val="left"/>
            </w:pPr>
            <w:r>
              <w:t xml:space="preserve">VCP・52週高値圏</w:t>
            </w:r>
          </w:p>
        </w:tc>
        <w:tc>
          <w:p>
            <w:pPr>
              <w:pStyle w:val="Compact"/>
              <w:jc w:val="left"/>
            </w:pPr>
            <w:r>
              <w:t xml:space="preserve">10点</w:t>
            </w:r>
          </w:p>
        </w:tc>
        <w:tc>
          <w:p>
            <w:pPr>
              <w:pStyle w:val="Compact"/>
              <w:jc w:val="left"/>
            </w:pPr>
            <w:r>
              <w:t xml:space="preserve">52週高値の一定割合以上、またはボラティリティ(ATR/終値)が収縮</w:t>
            </w:r>
          </w:p>
        </w:tc>
        <w:tc>
          <w:p>
            <w:pPr>
              <w:pStyle w:val="Compact"/>
              <w:jc w:val="left"/>
            </w:pPr>
            <w:r>
              <w:t xml:space="preserve">52週高値閾値=95% / ボラティリティ比較期間=10日 / ATR期間=14日 / 遡及日数=252日</w:t>
            </w:r>
          </w:p>
        </w:tc>
      </w:tr>
      <w:tr>
        <w:tc>
          <w:p>
            <w:pPr>
              <w:pStyle w:val="Compact"/>
              <w:jc w:val="left"/>
            </w:pPr>
            <w:r>
              <w:t xml:space="preserve">6</w:t>
            </w:r>
          </w:p>
        </w:tc>
        <w:tc>
          <w:p>
            <w:pPr>
              <w:pStyle w:val="Compact"/>
              <w:jc w:val="left"/>
            </w:pPr>
            <w:r>
              <w:t xml:space="preserve">MACD上昇モメンタム</w:t>
            </w:r>
          </w:p>
        </w:tc>
        <w:tc>
          <w:p>
            <w:pPr>
              <w:pStyle w:val="Compact"/>
              <w:jc w:val="left"/>
            </w:pPr>
            <w:r>
              <w:t xml:space="preserve">15点</w:t>
            </w:r>
          </w:p>
        </w:tc>
        <w:tc>
          <w:p>
            <w:pPr>
              <w:pStyle w:val="Compact"/>
              <w:jc w:val="left"/>
            </w:pPr>
            <w:r>
              <w:t xml:space="preserve">MACD線がシグナル線を上回る</w:t>
            </w:r>
          </w:p>
        </w:tc>
        <w:tc>
          <w:p>
            <w:pPr>
              <w:pStyle w:val="Compact"/>
              <w:jc w:val="left"/>
            </w:pPr>
            <w:r>
              <w:t xml:space="preserve">短期EMA=12日 / 長期EMA=26日 / シグナル線=9日</w:t>
            </w:r>
          </w:p>
        </w:tc>
      </w:tr>
    </w:tbl>
    <w:p>
      <w:pPr>
        <w:pStyle w:val="BodyText"/>
      </w:pPr>
      <w:r>
        <w:t xml:space="preserve">現状の設定では合計最大</w:t>
      </w:r>
      <w:r>
        <w:rPr>
          <w:b/>
        </w:rPr>
        <w:t xml:space="preserve">115点</w:t>
      </w:r>
      <w:r>
        <w:t xml:space="preserve">(30+25+20+15+10+15)。株価履歴取得期間は2年(</w:t>
      </w:r>
      <w:r>
        <w:rPr>
          <w:rStyle w:val="VerbatimChar"/>
        </w:rPr>
        <w:t xml:space="preserve">2y</w:t>
      </w:r>
      <w:r>
        <w:t xml:space="preserve">)。</w:t>
      </w:r>
    </w:p>
    <w:p>
      <w:r>
        <w:pict>
          <v:rect style="width:0;height:1.5pt" o:hralign="center" o:hrstd="t" o:hr="t"/>
        </w:pict>
      </w:r>
    </w:p>
    <w:p>
      <w:pPr>
        <w:pStyle w:val="Heading3"/>
      </w:pPr>
      <w:bookmarkStart w:id="45" w:name="損切り判定"/>
      <w:r>
        <w:t xml:space="preserve">6. 損切り判定</w:t>
      </w:r>
      <w:bookmarkEnd w:id="45"/>
    </w:p>
    <w:p>
      <w:pPr>
        <w:pStyle w:val="FirstParagraph"/>
      </w:pPr>
      <w:r>
        <w:t xml:space="preserve">保有中(holding)銘柄について、損切りすべきかを判定する。</w:t>
      </w:r>
    </w:p>
    <w:p>
      <w:pPr>
        <w:numPr>
          <w:ilvl w:val="0"/>
          <w:numId w:val="1009"/>
        </w:numPr>
        <w:pStyle w:val="Compact"/>
      </w:pPr>
      <w:r>
        <w:t xml:space="preserve">実装:</w:t>
      </w:r>
      <w:r>
        <w:t xml:space="preserve"> </w:t>
      </w:r>
      <w:r>
        <w:rPr>
          <w:rStyle w:val="VerbatimChar"/>
        </w:rPr>
        <w:t xml:space="preserve">trade_judgment_engine.py</w:t>
      </w:r>
      <w:r>
        <w:t xml:space="preserve"> </w:t>
      </w:r>
      <w:r>
        <w:t xml:space="preserve">(</w:t>
      </w:r>
      <w:r>
        <w:rPr>
          <w:rStyle w:val="VerbatimChar"/>
        </w:rPr>
        <w:t xml:space="preserve">evaluate_loss_cut</w:t>
      </w:r>
      <w:r>
        <w:t xml:space="preserve">)</w:t>
      </w:r>
    </w:p>
    <w:p>
      <w:pPr>
        <w:pStyle w:val="Heading4"/>
      </w:pPr>
      <w:bookmarkStart w:id="46" w:name="判定ロジック-1"/>
      <w:r>
        <w:t xml:space="preserve">6.1 判定ロジック</w:t>
      </w:r>
      <w:bookmarkEnd w:id="46"/>
    </w:p>
    <w:p>
      <w:pPr>
        <w:numPr>
          <w:ilvl w:val="0"/>
          <w:numId w:val="1010"/>
        </w:numPr>
        <w:pStyle w:val="Compact"/>
      </w:pPr>
      <w:r>
        <w:rPr>
          <w:b/>
        </w:rPr>
        <w:t xml:space="preserve">分類A</w:t>
      </w:r>
      <w:r>
        <w:t xml:space="preserve">: 1つでも該当すれば優先度</w:t>
      </w:r>
      <w:r>
        <w:rPr>
          <w:b/>
        </w:rPr>
        <w:t xml:space="preserve">A(即時売却)</w:t>
      </w:r>
      <w:r>
        <w:t xml:space="preserve">。</w:t>
      </w:r>
    </w:p>
    <w:p>
      <w:pPr>
        <w:numPr>
          <w:ilvl w:val="0"/>
          <w:numId w:val="1010"/>
        </w:numPr>
        <w:pStyle w:val="Compact"/>
      </w:pPr>
      <w:r>
        <w:rPr>
          <w:b/>
        </w:rPr>
        <w:t xml:space="preserve">分類B</w:t>
      </w:r>
      <w:r>
        <w:t xml:space="preserve">: 分類Aに該当せず、1つでも該当すれば優先度</w:t>
      </w:r>
      <w:r>
        <w:rPr>
          <w:b/>
        </w:rPr>
        <w:t xml:space="preserve">B(回避・撤退検討)</w:t>
      </w:r>
      <w:r>
        <w:t xml:space="preserve">。</w:t>
      </w:r>
    </w:p>
    <w:p>
      <w:pPr>
        <w:numPr>
          <w:ilvl w:val="0"/>
          <w:numId w:val="1010"/>
        </w:numPr>
        <w:pStyle w:val="Compact"/>
      </w:pPr>
      <w:r>
        <w:t xml:space="preserve">いずれにも該当しなければ判定なし(継続保有)。</w:t>
      </w:r>
    </w:p>
    <w:p>
      <w:pPr>
        <w:pStyle w:val="FirstParagraph"/>
      </w:pPr>
      <w:r>
        <w:t xml:space="preserve">複数回の買い増しに対応するため、判定に使う「購入価格」「保有数」は</w:t>
      </w:r>
      <w:r>
        <w:rPr>
          <w:rStyle w:val="VerbatimChar"/>
        </w:rPr>
        <w:t xml:space="preserve">trade_history</w:t>
      </w:r>
      <w:r>
        <w:t xml:space="preserve">全体を口座種別問わず集計した加重平均・合計数量を使う(直近1回の購入記録だけを見るわけではない)。</w:t>
      </w:r>
    </w:p>
    <w:p>
      <w:pPr>
        <w:pStyle w:val="Heading4"/>
      </w:pPr>
      <w:bookmarkStart w:id="47" w:name="現状の参考値小型株中型株大型株デフォルト共通score_diffのみグループ別"/>
      <w:r>
        <w:t xml:space="preserve">6.2 現状の参考値(小型株/中型株/大型株/デフォルト共通、score_diffのみグループ別)</w:t>
      </w:r>
      <w:bookmarkEnd w:id="47"/>
    </w:p>
    <w:tbl>
      <w:tblPr>
        <w:tblStyle w:val="Table"/>
        <w:tblW w:type="pct" w:w="5000.0"/>
        <w:tblLook w:firstRow="1"/>
      </w:tblPr>
      <w:tblGrid>
        <w:gridCol w:w="164"/>
        <w:gridCol w:w="1559"/>
        <w:gridCol w:w="2708"/>
        <w:gridCol w:w="3488"/>
      </w:tblGrid>
      <w:tr>
        <w:trPr>
          <w:cnfStyle w:firstRow="1"/>
        </w:trPr>
        <w:tc>
          <w:tcPr>
            <w:tcBorders>
              <w:bottom w:val="single"/>
            </w:tcBorders>
            <w:vAlign w:val="bottom"/>
          </w:tcPr>
          <w:p>
            <w:pPr>
              <w:pStyle w:val="Compact"/>
              <w:jc w:val="left"/>
            </w:pPr>
            <w:r>
              <w:t xml:space="preserve">分類</w:t>
            </w:r>
          </w:p>
        </w:tc>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条件</w:t>
            </w:r>
          </w:p>
        </w:tc>
        <w:tc>
          <w:tcPr>
            <w:tcBorders>
              <w:bottom w:val="single"/>
            </w:tcBorders>
            <w:vAlign w:val="bottom"/>
          </w:tcPr>
          <w:p>
            <w:pPr>
              <w:pStyle w:val="Compact"/>
              <w:jc w:val="left"/>
            </w:pPr>
            <w:r>
              <w:t xml:space="preserve">備考</w:t>
            </w:r>
          </w:p>
        </w:tc>
      </w:tr>
      <w:tr>
        <w:tc>
          <w:p>
            <w:pPr>
              <w:pStyle w:val="Compact"/>
              <w:jc w:val="left"/>
            </w:pPr>
            <w:r>
              <w:t xml:space="preserve">A</w:t>
            </w:r>
          </w:p>
        </w:tc>
        <w:tc>
          <w:p>
            <w:pPr>
              <w:pStyle w:val="Compact"/>
              <w:jc w:val="left"/>
            </w:pPr>
            <w:r>
              <w:t xml:space="preserve">上場廃止リスク(is_delisting_risk)</w:t>
            </w:r>
          </w:p>
        </w:tc>
        <w:tc>
          <w:p>
            <w:pPr>
              <w:pStyle w:val="Compact"/>
              <w:jc w:val="left"/>
            </w:pPr>
            <w:r>
              <w:t xml:space="preserve">true</w:t>
            </w:r>
          </w:p>
        </w:tc>
        <w:tc>
          <w:p/>
        </w:tc>
      </w:tr>
      <w:tr>
        <w:tc>
          <w:p>
            <w:pPr>
              <w:pStyle w:val="Compact"/>
              <w:jc w:val="left"/>
            </w:pPr>
            <w:r>
              <w:t xml:space="preserve">A</w:t>
            </w:r>
          </w:p>
        </w:tc>
        <w:tc>
          <w:p>
            <w:pPr>
              <w:pStyle w:val="Compact"/>
              <w:jc w:val="left"/>
            </w:pPr>
            <w:r>
              <w:t xml:space="preserve">監理銘柄フラグ(is_under_supervision)</w:t>
            </w:r>
          </w:p>
        </w:tc>
        <w:tc>
          <w:p>
            <w:pPr>
              <w:pStyle w:val="Compact"/>
              <w:jc w:val="left"/>
            </w:pPr>
            <w:r>
              <w:t xml:space="preserve">true</w:t>
            </w:r>
          </w:p>
        </w:tc>
        <w:tc>
          <w:p/>
        </w:tc>
      </w:tr>
      <w:tr>
        <w:tc>
          <w:p>
            <w:pPr>
              <w:pStyle w:val="Compact"/>
              <w:jc w:val="left"/>
            </w:pPr>
            <w:r>
              <w:t xml:space="preserve">A</w:t>
            </w:r>
          </w:p>
        </w:tc>
        <w:tc>
          <w:p>
            <w:pPr>
              <w:pStyle w:val="Compact"/>
              <w:jc w:val="left"/>
            </w:pPr>
            <w:r>
              <w:t xml:space="preserve">購入価格からの下落率(drawdown_percent)</w:t>
            </w:r>
          </w:p>
        </w:tc>
        <w:tc>
          <w:p>
            <w:pPr>
              <w:pStyle w:val="Compact"/>
              <w:jc w:val="left"/>
            </w:pPr>
            <w:r>
              <w:rPr>
                <w:b/>
              </w:rPr>
              <w:t xml:space="preserve">-0.5×HV</w:t>
            </w:r>
            <w:r>
              <w:t xml:space="preserve">以下</w:t>
            </w:r>
          </w:p>
        </w:tc>
        <w:tc>
          <w:p>
            <w:pPr>
              <w:pStyle w:val="Compact"/>
              <w:jc w:val="left"/>
            </w:pPr>
            <w:r>
              <w:t xml:space="preserve">HV倍率モード。銘柄自身のヒストリカルボラティリティに応じて動的に閾値が変わる(後述6.3)</w:t>
            </w:r>
          </w:p>
        </w:tc>
      </w:tr>
      <w:tr>
        <w:tc>
          <w:p>
            <w:pPr>
              <w:pStyle w:val="Compact"/>
              <w:jc w:val="left"/>
            </w:pPr>
            <w:r>
              <w:t xml:space="preserve">B</w:t>
            </w:r>
          </w:p>
        </w:tc>
        <w:tc>
          <w:p>
            <w:pPr>
              <w:pStyle w:val="Compact"/>
              <w:jc w:val="left"/>
            </w:pPr>
            <w:r>
              <w:t xml:space="preserve">営業利益前期比</w:t>
            </w:r>
          </w:p>
        </w:tc>
        <w:tc>
          <w:p>
            <w:pPr>
              <w:pStyle w:val="Compact"/>
              <w:jc w:val="left"/>
            </w:pPr>
            <w:r>
              <w:t xml:space="preserve">0%以下</w:t>
            </w:r>
          </w:p>
        </w:tc>
        <w:tc>
          <w:p/>
        </w:tc>
      </w:tr>
      <w:tr>
        <w:tc>
          <w:p>
            <w:pPr>
              <w:pStyle w:val="Compact"/>
              <w:jc w:val="left"/>
            </w:pPr>
            <w:r>
              <w:t xml:space="preserve">B</w:t>
            </w:r>
          </w:p>
        </w:tc>
        <w:tc>
          <w:p>
            <w:pPr>
              <w:pStyle w:val="Compact"/>
              <w:jc w:val="left"/>
            </w:pPr>
            <w:r>
              <w:t xml:space="preserve">EPS成長率</w:t>
            </w:r>
          </w:p>
        </w:tc>
        <w:tc>
          <w:p>
            <w:pPr>
              <w:pStyle w:val="Compact"/>
              <w:jc w:val="left"/>
            </w:pPr>
            <w:r>
              <w:t xml:space="preserve">0%以下</w:t>
            </w:r>
          </w:p>
        </w:tc>
        <w:tc>
          <w:p/>
        </w:tc>
      </w:tr>
      <w:tr>
        <w:tc>
          <w:p>
            <w:pPr>
              <w:pStyle w:val="Compact"/>
              <w:jc w:val="left"/>
            </w:pPr>
            <w:r>
              <w:t xml:space="preserve">B</w:t>
            </w:r>
          </w:p>
        </w:tc>
        <w:tc>
          <w:p>
            <w:pPr>
              <w:pStyle w:val="Compact"/>
              <w:jc w:val="left"/>
            </w:pPr>
            <w:r>
              <w:t xml:space="preserve">購入時からのスコア変化(score_diff)</w:t>
            </w:r>
          </w:p>
        </w:tc>
        <w:tc>
          <w:p>
            <w:pPr>
              <w:pStyle w:val="Compact"/>
              <w:jc w:val="left"/>
            </w:pPr>
            <w:r>
              <w:t xml:space="preserve">小型株:-25pt以下 / 中型株・デフォルト:-20pt以下 / 大型株:-15pt以下</w:t>
            </w:r>
          </w:p>
        </w:tc>
        <w:tc>
          <w:p>
            <w:pPr>
              <w:pStyle w:val="Compact"/>
              <w:jc w:val="left"/>
            </w:pPr>
            <w:r>
              <w:t xml:space="preserve">テクニカルスコアの悪化</w:t>
            </w:r>
          </w:p>
        </w:tc>
      </w:tr>
    </w:tbl>
    <w:p>
      <w:pPr>
        <w:pStyle w:val="Heading4"/>
      </w:pPr>
      <w:bookmarkStart w:id="48" w:name="hv倍率モードについて"/>
      <w:r>
        <w:t xml:space="preserve">6.3 HV倍率モードについて</w:t>
      </w:r>
      <w:bookmarkEnd w:id="48"/>
    </w:p>
    <w:p>
      <w:pPr>
        <w:pStyle w:val="FirstParagraph"/>
      </w:pPr>
      <w:r>
        <w:rPr>
          <w:rStyle w:val="VerbatimChar"/>
        </w:rPr>
        <w:t xml:space="preserve">value_mode = hv_multiplier</w:t>
      </w:r>
      <w:r>
        <w:t xml:space="preserve">のルールは、設定値をそのまま閾値とせず、</w:t>
      </w:r>
      <w:r>
        <w:rPr>
          <w:b/>
        </w:rPr>
        <w:t xml:space="preserve">銘柄自身のHV(ヒストリカルボラティリティ)に対する倍率</w:t>
      </w:r>
      <w:r>
        <w:t xml:space="preserve">として扱う。</w:t>
      </w:r>
    </w:p>
    <w:p>
      <w:pPr>
        <w:pStyle w:val="SourceCode"/>
      </w:pPr>
      <w:r>
        <w:rPr>
          <w:rStyle w:val="VerbatimChar"/>
        </w:rPr>
        <w:t xml:space="preserve">実際の閾値 = 設定値 × その銘柄のHV</w:t>
      </w:r>
    </w:p>
    <w:p>
      <w:pPr>
        <w:pStyle w:val="FirstParagraph"/>
      </w:pPr>
      <w:r>
        <w:t xml:space="preserve">HVは60日分の日次リターンの標準偏差を年率換算(√250倍)した値(%)。値動きの荒い銘柄ほど下落率の許容幅が自動的に広がり、値動きの穏やかな銘柄ほど早めに損切りされる。現状は全グループ共通で「-0.5×HV」(例: HV=40%の銘柄なら-20%で損切り、HV=80%の銘柄なら-40%で損切り)。</w:t>
      </w:r>
    </w:p>
    <w:p>
      <w:pPr>
        <w:pStyle w:val="Heading4"/>
      </w:pPr>
      <w:bookmarkStart w:id="49" w:name="派生値の計算式"/>
      <w:r>
        <w:t xml:space="preserve">6.4 派生値の計算式</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計算式</w:t>
            </w:r>
          </w:p>
        </w:tc>
      </w:tr>
      <w:tr>
        <w:tc>
          <w:p>
            <w:pPr>
              <w:pStyle w:val="Compact"/>
              <w:jc w:val="left"/>
            </w:pPr>
            <w:r>
              <w:t xml:space="preserve">drawdown_percent(下落率)</w:t>
            </w:r>
          </w:p>
        </w:tc>
        <w:tc>
          <w:p>
            <w:pPr>
              <w:pStyle w:val="Compact"/>
              <w:jc w:val="left"/>
            </w:pPr>
            <w:r>
              <w:t xml:space="preserve">(現在値 - 購入価格) ÷ 購入価格 × 100</w:t>
            </w:r>
          </w:p>
        </w:tc>
      </w:tr>
      <w:tr>
        <w:tc>
          <w:p>
            <w:pPr>
              <w:pStyle w:val="Compact"/>
              <w:jc w:val="left"/>
            </w:pPr>
            <w:r>
              <w:t xml:space="preserve">score_diff(スコア変化)</w:t>
            </w:r>
          </w:p>
        </w:tc>
        <w:tc>
          <w:p>
            <w:pPr>
              <w:pStyle w:val="Compact"/>
              <w:jc w:val="left"/>
            </w:pPr>
            <w:r>
              <w:t xml:space="preserve">現在のテクニカルスコア - 購入時のテクニカルスコア(購入時点でスナップショット、以後固定)</w:t>
            </w:r>
          </w:p>
        </w:tc>
      </w:tr>
    </w:tbl>
    <w:p>
      <w:r>
        <w:pict>
          <v:rect style="width:0;height:1.5pt" o:hralign="center" o:hrstd="t" o:hr="t"/>
        </w:pict>
      </w:r>
    </w:p>
    <w:p>
      <w:pPr>
        <w:pStyle w:val="Heading3"/>
      </w:pPr>
      <w:bookmarkStart w:id="50" w:name="利確判定"/>
      <w:r>
        <w:t xml:space="preserve">7. 利確判定</w:t>
      </w:r>
      <w:bookmarkEnd w:id="50"/>
    </w:p>
    <w:p>
      <w:pPr>
        <w:pStyle w:val="FirstParagraph"/>
      </w:pPr>
      <w:r>
        <w:t xml:space="preserve">保有中(holding)銘柄について、利確すべきかを判定する。</w:t>
      </w:r>
      <w:r>
        <w:rPr>
          <w:b/>
        </w:rPr>
        <w:t xml:space="preserve">3つの判定軸</w:t>
      </w:r>
      <w:r>
        <w:t xml:space="preserve">があり、いずれかが成立すれば売却検討となる。</w:t>
      </w:r>
    </w:p>
    <w:p>
      <w:pPr>
        <w:numPr>
          <w:ilvl w:val="0"/>
          <w:numId w:val="1011"/>
        </w:numPr>
        <w:pStyle w:val="Compact"/>
      </w:pPr>
      <w:r>
        <w:t xml:space="preserve">実装:</w:t>
      </w:r>
      <w:r>
        <w:t xml:space="preserve"> </w:t>
      </w:r>
      <w:r>
        <w:rPr>
          <w:rStyle w:val="VerbatimChar"/>
        </w:rPr>
        <w:t xml:space="preserve">trade_judgment_engine.py</w:t>
      </w:r>
      <w:r>
        <w:t xml:space="preserve"> </w:t>
      </w:r>
      <w:r>
        <w:t xml:space="preserve">(</w:t>
      </w:r>
      <w:r>
        <w:rPr>
          <w:rStyle w:val="VerbatimChar"/>
        </w:rPr>
        <w:t xml:space="preserve">evaluate_profit_taking</w:t>
      </w:r>
      <w:r>
        <w:t xml:space="preserve"> </w:t>
      </w:r>
      <w:r>
        <w:t xml:space="preserve">/</w:t>
      </w:r>
      <w:r>
        <w:t xml:space="preserve"> </w:t>
      </w:r>
      <w:r>
        <w:rPr>
          <w:rStyle w:val="VerbatimChar"/>
        </w:rPr>
        <w:t xml:space="preserve">evaluate_holding_period_exit</w:t>
      </w:r>
      <w:r>
        <w:t xml:space="preserve">)</w:t>
      </w:r>
    </w:p>
    <w:p>
      <w:pPr>
        <w:pStyle w:val="Heading4"/>
      </w:pPr>
      <w:bookmarkStart w:id="51" w:name="X2228abbbb48b851edef2005d9d3f5dd3a6d4150"/>
      <w:r>
        <w:t xml:space="preserve">7.1 判定軸1・2: 分類A(ターゲット到達・過熱・トレンド反転・トレイリングストップ)+ 純損益ゲート</w:t>
      </w:r>
      <w:bookmarkEnd w:id="51"/>
    </w:p>
    <w:p>
      <w:pPr>
        <w:numPr>
          <w:ilvl w:val="0"/>
          <w:numId w:val="1012"/>
        </w:numPr>
        <w:pStyle w:val="Compact"/>
      </w:pPr>
      <w:r>
        <w:rPr>
          <w:b/>
        </w:rPr>
        <w:t xml:space="preserve">分類A</w:t>
      </w:r>
      <w:r>
        <w:t xml:space="preserve">: いずれか1つでも該当すれば売却検討(複数条件はOR)。ターゲットプライス達成度・PER過熱・トレイリングストップ発動に加え、</w:t>
      </w:r>
      <w:r>
        <w:rPr>
          <w:b/>
        </w:rPr>
        <w:t xml:space="preserve">MA25クロスアンダー(is_below_ma25、現在値がMA25を下回った)</w:t>
      </w:r>
      <w:r>
        <w:t xml:space="preserve">によるトレンド反転シグナルも条件として設定できる(全グループに設定済み、詳細は7.3節)。</w:t>
      </w:r>
    </w:p>
    <w:p>
      <w:pPr>
        <w:numPr>
          <w:ilvl w:val="0"/>
          <w:numId w:val="1012"/>
        </w:numPr>
        <w:pStyle w:val="Compact"/>
      </w:pPr>
      <w:r>
        <w:rPr>
          <w:b/>
        </w:rPr>
        <w:t xml:space="preserve">純損益ゲート</w:t>
      </w:r>
      <w:r>
        <w:t xml:space="preserve">: 分類Aに該当しても、手数料・税引後の想定純損益が黒字でなければ利確シグナルとして扱わない(</w:t>
      </w:r>
      <w:r>
        <w:rPr>
          <w:rStyle w:val="VerbatimChar"/>
        </w:rPr>
        <w:t xml:space="preserve">net_profit &lt;= 0</w:t>
      </w:r>
      <w:r>
        <w:t xml:space="preserve">なら</w:t>
      </w:r>
      <w:r>
        <w:rPr>
          <w:rStyle w:val="VerbatimChar"/>
        </w:rPr>
        <w:t xml:space="preserve">should_take_profit = False</w:t>
      </w:r>
      <w:r>
        <w:t xml:space="preserve">に強制)。額面上ターゲットに達していても、手数料・税金を差し引くと損失になる場合の誤検知を防ぐ。</w:t>
      </w:r>
    </w:p>
    <w:p>
      <w:pPr>
        <w:pStyle w:val="Heading4"/>
      </w:pPr>
      <w:bookmarkStart w:id="52" w:name="判定軸3-保有期間満了第3の判定軸独立"/>
      <w:r>
        <w:t xml:space="preserve">7.2 判定軸3: 保有期間満了(第3の判定軸、独立)</w:t>
      </w:r>
      <w:bookmarkEnd w:id="52"/>
    </w:p>
    <w:p>
      <w:pPr>
        <w:pStyle w:val="FirstParagraph"/>
      </w:pPr>
      <w:r>
        <w:t xml:space="preserve">損切り・利確とは別の第3の判定軸として、「保有期間の上限(グループ設定)を超えたら、損益に関わらず機械的に決済する」という規律ルール。純損益ゲートの対象外(含み損の状態で期間満了しても、損益に関わらず決済対象として表示する)。保有日数は</w:t>
      </w:r>
      <w:r>
        <w:rPr>
          <w:b/>
        </w:rPr>
        <w:t xml:space="preserve">最初に建てた買付日</w:t>
      </w:r>
      <w:r>
        <w:t xml:space="preserve">(複数回買い増しした場合は最も古い購入日)から起算し、JST(Asia/Tokyo)の日付で計算する。</w:t>
      </w:r>
    </w:p>
    <w:p>
      <w:pPr>
        <w:pStyle w:val="Heading4"/>
      </w:pPr>
      <w:bookmarkStart w:id="53" w:name="現状の参考値分類aグループ別"/>
      <w:r>
        <w:t xml:space="preserve">7.3 現状の参考値(分類A、グループ別)</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分類</w:t>
            </w:r>
          </w:p>
        </w:tc>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小型株</w:t>
            </w:r>
          </w:p>
        </w:tc>
        <w:tc>
          <w:tcPr>
            <w:tcBorders>
              <w:bottom w:val="single"/>
            </w:tcBorders>
            <w:vAlign w:val="bottom"/>
          </w:tcPr>
          <w:p>
            <w:pPr>
              <w:pStyle w:val="Compact"/>
              <w:jc w:val="left"/>
            </w:pPr>
            <w:r>
              <w:t xml:space="preserve">中型株</w:t>
            </w:r>
          </w:p>
        </w:tc>
        <w:tc>
          <w:tcPr>
            <w:tcBorders>
              <w:bottom w:val="single"/>
            </w:tcBorders>
            <w:vAlign w:val="bottom"/>
          </w:tcPr>
          <w:p>
            <w:pPr>
              <w:pStyle w:val="Compact"/>
              <w:jc w:val="left"/>
            </w:pPr>
            <w:r>
              <w:t xml:space="preserve">大型株</w:t>
            </w:r>
          </w:p>
        </w:tc>
        <w:tc>
          <w:tcPr>
            <w:tcBorders>
              <w:bottom w:val="single"/>
            </w:tcBorders>
            <w:vAlign w:val="bottom"/>
          </w:tcPr>
          <w:p>
            <w:pPr>
              <w:pStyle w:val="Compact"/>
              <w:jc w:val="left"/>
            </w:pPr>
            <w:r>
              <w:t xml:space="preserve">デフォルト</w:t>
            </w:r>
          </w:p>
        </w:tc>
      </w:tr>
      <w:tr>
        <w:tc>
          <w:p>
            <w:pPr>
              <w:pStyle w:val="Compact"/>
              <w:jc w:val="left"/>
            </w:pPr>
            <w:r>
              <w:t xml:space="preserve">A</w:t>
            </w:r>
          </w:p>
        </w:tc>
        <w:tc>
          <w:p>
            <w:pPr>
              <w:pStyle w:val="Compact"/>
              <w:jc w:val="left"/>
            </w:pPr>
            <w:r>
              <w:t xml:space="preserve">ターゲットプライス達成度</w:t>
            </w:r>
          </w:p>
        </w:tc>
        <w:tc>
          <w:p>
            <w:pPr>
              <w:pStyle w:val="Compact"/>
              <w:jc w:val="left"/>
            </w:pPr>
            <w:r>
              <w:t xml:space="preserve">100%以上</w:t>
            </w:r>
          </w:p>
        </w:tc>
        <w:tc>
          <w:p>
            <w:pPr>
              <w:pStyle w:val="Compact"/>
              <w:jc w:val="left"/>
            </w:pPr>
            <w:r>
              <w:t xml:space="preserve">100%以上</w:t>
            </w:r>
          </w:p>
        </w:tc>
        <w:tc>
          <w:p>
            <w:pPr>
              <w:pStyle w:val="Compact"/>
              <w:jc w:val="left"/>
            </w:pPr>
            <w:r>
              <w:t xml:space="preserve">100%以上</w:t>
            </w:r>
          </w:p>
        </w:tc>
        <w:tc>
          <w:p>
            <w:pPr>
              <w:pStyle w:val="Compact"/>
              <w:jc w:val="left"/>
            </w:pPr>
            <w:r>
              <w:t xml:space="preserve">100%以上</w:t>
            </w:r>
          </w:p>
        </w:tc>
      </w:tr>
      <w:tr>
        <w:tc>
          <w:p>
            <w:pPr>
              <w:pStyle w:val="Compact"/>
              <w:jc w:val="left"/>
            </w:pPr>
            <w:r>
              <w:t xml:space="preserve">A</w:t>
            </w:r>
          </w:p>
        </w:tc>
        <w:tc>
          <w:p>
            <w:pPr>
              <w:pStyle w:val="Compact"/>
              <w:jc w:val="left"/>
            </w:pPr>
            <w:r>
              <w:t xml:space="preserve">PER(予想、過熱)</w:t>
            </w:r>
          </w:p>
        </w:tc>
        <w:tc>
          <w:p>
            <w:pPr>
              <w:pStyle w:val="Compact"/>
              <w:jc w:val="left"/>
            </w:pPr>
            <w:r>
              <w:t xml:space="preserve">65倍以上</w:t>
            </w:r>
          </w:p>
        </w:tc>
        <w:tc>
          <w:p>
            <w:pPr>
              <w:pStyle w:val="Compact"/>
              <w:jc w:val="left"/>
            </w:pPr>
            <w:r>
              <w:t xml:space="preserve">45倍以上</w:t>
            </w:r>
          </w:p>
        </w:tc>
        <w:tc>
          <w:p>
            <w:pPr>
              <w:pStyle w:val="Compact"/>
              <w:jc w:val="left"/>
            </w:pPr>
            <w:r>
              <w:t xml:space="preserve">30倍以上</w:t>
            </w:r>
          </w:p>
        </w:tc>
        <w:tc>
          <w:p>
            <w:pPr>
              <w:pStyle w:val="Compact"/>
              <w:jc w:val="left"/>
            </w:pPr>
            <w:r>
              <w:t xml:space="preserve">60倍以上</w:t>
            </w:r>
          </w:p>
        </w:tc>
      </w:tr>
      <w:tr>
        <w:tc>
          <w:p>
            <w:pPr>
              <w:pStyle w:val="Compact"/>
              <w:jc w:val="left"/>
            </w:pPr>
            <w:r>
              <w:t xml:space="preserve">A</w:t>
            </w:r>
          </w:p>
        </w:tc>
        <w:tc>
          <w:p>
            <w:pPr>
              <w:pStyle w:val="Compact"/>
              <w:jc w:val="left"/>
            </w:pPr>
            <w:r>
              <w:t xml:space="preserve">トレイリングストップ発動</w:t>
            </w:r>
          </w:p>
        </w:tc>
        <w:tc>
          <w:p>
            <w:pPr>
              <w:pStyle w:val="Compact"/>
              <w:jc w:val="left"/>
            </w:pPr>
            <w:r>
              <w:t xml:space="preserve">true</w:t>
            </w:r>
          </w:p>
        </w:tc>
        <w:tc>
          <w:p>
            <w:pPr>
              <w:pStyle w:val="Compact"/>
              <w:jc w:val="left"/>
            </w:pPr>
            <w:r>
              <w:t xml:space="preserve">true</w:t>
            </w:r>
          </w:p>
        </w:tc>
        <w:tc>
          <w:p>
            <w:pPr>
              <w:pStyle w:val="Compact"/>
              <w:jc w:val="left"/>
            </w:pPr>
            <w:r>
              <w:t xml:space="preserve">true</w:t>
            </w:r>
          </w:p>
        </w:tc>
        <w:tc>
          <w:p>
            <w:pPr>
              <w:pStyle w:val="Compact"/>
              <w:jc w:val="left"/>
            </w:pPr>
            <w:r>
              <w:t xml:space="preserve">true</w:t>
            </w:r>
          </w:p>
        </w:tc>
      </w:tr>
      <w:tr>
        <w:tc>
          <w:p>
            <w:pPr>
              <w:pStyle w:val="Compact"/>
              <w:jc w:val="left"/>
            </w:pPr>
            <w:r>
              <w:t xml:space="preserve">A</w:t>
            </w:r>
          </w:p>
        </w:tc>
        <w:tc>
          <w:p>
            <w:pPr>
              <w:pStyle w:val="Compact"/>
              <w:jc w:val="left"/>
            </w:pPr>
            <w:r>
              <w:t xml:space="preserve">MA25割れ(is_below_ma25)</w:t>
            </w:r>
          </w:p>
        </w:tc>
        <w:tc>
          <w:p>
            <w:pPr>
              <w:pStyle w:val="Compact"/>
              <w:jc w:val="left"/>
            </w:pPr>
            <w:r>
              <w:t xml:space="preserve">true</w:t>
            </w:r>
          </w:p>
        </w:tc>
        <w:tc>
          <w:p>
            <w:pPr>
              <w:pStyle w:val="Compact"/>
              <w:jc w:val="left"/>
            </w:pPr>
            <w:r>
              <w:t xml:space="preserve">true</w:t>
            </w:r>
          </w:p>
        </w:tc>
        <w:tc>
          <w:p>
            <w:pPr>
              <w:pStyle w:val="Compact"/>
              <w:jc w:val="left"/>
            </w:pPr>
            <w:r>
              <w:t xml:space="preserve">true</w:t>
            </w:r>
          </w:p>
        </w:tc>
        <w:tc>
          <w:p>
            <w:pPr>
              <w:pStyle w:val="Compact"/>
              <w:jc w:val="left"/>
            </w:pPr>
            <w:r>
              <w:t xml:space="preserve">true</w:t>
            </w:r>
          </w:p>
        </w:tc>
      </w:tr>
      <w:tr>
        <w:tc>
          <w:p>
            <w:pPr>
              <w:pStyle w:val="Compact"/>
              <w:jc w:val="left"/>
            </w:pPr>
            <w:r>
              <w:t xml:space="preserve">-</w:t>
            </w:r>
          </w:p>
        </w:tc>
        <w:tc>
          <w:p>
            <w:pPr>
              <w:pStyle w:val="Compact"/>
              <w:jc w:val="left"/>
            </w:pPr>
            <w:r>
              <w:t xml:space="preserve">保有期間上限</w:t>
            </w:r>
          </w:p>
        </w:tc>
        <w:tc>
          <w:p>
            <w:pPr>
              <w:pStyle w:val="Compact"/>
              <w:jc w:val="left"/>
            </w:pPr>
            <w:r>
              <w:rPr>
                <w:b/>
              </w:rPr>
              <w:t xml:space="preserve">90日</w:t>
            </w:r>
          </w:p>
        </w:tc>
        <w:tc>
          <w:p>
            <w:pPr>
              <w:pStyle w:val="Compact"/>
              <w:jc w:val="left"/>
            </w:pPr>
            <w:r>
              <w:rPr>
                <w:b/>
              </w:rPr>
              <w:t xml:space="preserve">180日</w:t>
            </w:r>
          </w:p>
        </w:tc>
        <w:tc>
          <w:p>
            <w:pPr>
              <w:pStyle w:val="Compact"/>
              <w:jc w:val="left"/>
            </w:pPr>
            <w:r>
              <w:rPr>
                <w:b/>
              </w:rPr>
              <w:t xml:space="preserve">270日</w:t>
            </w:r>
          </w:p>
        </w:tc>
        <w:tc>
          <w:p>
            <w:pPr>
              <w:pStyle w:val="Compact"/>
              <w:jc w:val="left"/>
            </w:pPr>
            <w:r>
              <w:rPr>
                <w:b/>
              </w:rPr>
              <w:t xml:space="preserve">180日</w:t>
            </w:r>
          </w:p>
        </w:tc>
      </w:tr>
      <w:tr>
        <w:tc>
          <w:p>
            <w:pPr>
              <w:pStyle w:val="Compact"/>
              <w:jc w:val="left"/>
            </w:pPr>
            <w:r>
              <w:t xml:space="preserve">-</w:t>
            </w:r>
          </w:p>
        </w:tc>
        <w:tc>
          <w:p>
            <w:pPr>
              <w:pStyle w:val="Compact"/>
              <w:jc w:val="left"/>
            </w:pPr>
            <w:r>
              <w:t xml:space="preserve">トレイリングストップ許容下落率</w:t>
            </w:r>
          </w:p>
        </w:tc>
        <w:tc>
          <w:p>
            <w:pPr>
              <w:pStyle w:val="Compact"/>
              <w:jc w:val="left"/>
            </w:pPr>
            <w:r>
              <w:rPr>
                <w:b/>
              </w:rPr>
              <w:t xml:space="preserve">15%</w:t>
            </w:r>
          </w:p>
        </w:tc>
        <w:tc>
          <w:p>
            <w:pPr>
              <w:pStyle w:val="Compact"/>
              <w:jc w:val="left"/>
            </w:pPr>
            <w:r>
              <w:rPr>
                <w:b/>
              </w:rPr>
              <w:t xml:space="preserve">12%</w:t>
            </w:r>
          </w:p>
        </w:tc>
        <w:tc>
          <w:p>
            <w:pPr>
              <w:pStyle w:val="Compact"/>
              <w:jc w:val="left"/>
            </w:pPr>
            <w:r>
              <w:rPr>
                <w:b/>
              </w:rPr>
              <w:t xml:space="preserve">8%</w:t>
            </w:r>
          </w:p>
        </w:tc>
        <w:tc>
          <w:p>
            <w:pPr>
              <w:pStyle w:val="Compact"/>
              <w:jc w:val="left"/>
            </w:pPr>
            <w:r>
              <w:t xml:space="preserve">(全体設定にフォールバック、既定10%)</w:t>
            </w:r>
          </w:p>
        </w:tc>
      </w:tr>
    </w:tbl>
    <w:p>
      <w:pPr>
        <w:pStyle w:val="BodyText"/>
      </w:pPr>
      <w:r>
        <w:t xml:space="preserve">PERの過熱閾値はセグメントが小さいほど緩め(小型株は高PERが許容されやすい)に設定。保有期間上限は、モメンタムの持続しやすさに応じてセグメント別に設定(小型株は反転が早いため短め、大型株は機関投資家の資金流入で持続しやすいため長め、詳細根拠は判定基準設定画面のRuleEditor参照)。</w:t>
      </w:r>
    </w:p>
    <w:p>
      <w:pPr>
        <w:pStyle w:val="BodyText"/>
      </w:pPr>
      <w:r>
        <w:t xml:space="preserve">MA25クロスアンダーは、目標株価という主観的な基準に頼らず「トレンドが崩れたら機械的に手仕舞う」という技術的な反転シグナルであり、確率論的なモメンタム戦略の考え方(1.5節参照)に沿った条件として全グループに設定している。</w:t>
      </w:r>
    </w:p>
    <w:p>
      <w:pPr>
        <w:pStyle w:val="Heading4"/>
      </w:pPr>
      <w:bookmarkStart w:id="54" w:name="トレイリングストップ"/>
      <w:r>
        <w:t xml:space="preserve">7.4 トレイリングストップ</w:t>
      </w:r>
      <w:bookmarkEnd w:id="54"/>
    </w:p>
    <w:p>
      <w:pPr>
        <w:pStyle w:val="FirstParagraph"/>
      </w:pPr>
      <w:r>
        <w:t xml:space="preserve">保有中の最高値から一定割合下落したら発動。</w:t>
      </w:r>
    </w:p>
    <w:p>
      <w:pPr>
        <w:pStyle w:val="SourceCode"/>
      </w:pPr>
      <w:r>
        <w:rPr>
          <w:rStyle w:val="VerbatimChar"/>
        </w:rPr>
        <w:t xml:space="preserve">逆指値ライン = 保有期間中の最高値 × (1 - 許容下落率)</w:t>
      </w:r>
      <w:r>
        <w:br/>
      </w:r>
      <w:r>
        <w:rPr>
          <w:rStyle w:val="VerbatimChar"/>
        </w:rPr>
        <w:t xml:space="preserve">発動条件: 現在値 &lt;= 逆指値ライン</w:t>
      </w:r>
    </w:p>
    <w:p>
      <w:pPr>
        <w:pStyle w:val="FirstParagraph"/>
      </w:pPr>
      <w:r>
        <w:t xml:space="preserve">許容下落率はグループごとに設定でき(</w:t>
      </w:r>
      <w:r>
        <w:rPr>
          <w:rStyle w:val="VerbatimChar"/>
        </w:rPr>
        <w:t xml:space="preserve">screening_groups.trailing_stop_allowance_percent</w:t>
      </w:r>
      <w:r>
        <w:t xml:space="preserve">)、未設定のグループは全体設定(</w:t>
      </w:r>
      <w:r>
        <w:rPr>
          <w:rStyle w:val="VerbatimChar"/>
        </w:rPr>
        <w:t xml:space="preserve">trailing_stop_allowance_percent</w:t>
      </w:r>
      <w:r>
        <w:t xml:space="preserve">、既定10%)にフォールバックする。値動きの荒い小型株はストップに引っかかりやすいため広めに、値動きが安定した大型株は狭めに設定するのが望ましいという考え方に基づき、現状は小型株15% / 中型株12% / 大型株8% / デフォルトは全体設定(10%)としている。</w:t>
      </w:r>
    </w:p>
    <w:p>
      <w:pPr>
        <w:pStyle w:val="Heading4"/>
      </w:pPr>
      <w:bookmarkStart w:id="55" w:name="ターゲットプライス目標株価の算出ロジック"/>
      <w:r>
        <w:t xml:space="preserve">7.5 ターゲットプライス(目標株価)の算出ロジック</w:t>
      </w:r>
      <w:bookmarkEnd w:id="55"/>
    </w:p>
    <w:p>
      <w:pPr>
        <w:pStyle w:val="FirstParagraph"/>
      </w:pPr>
      <w:r>
        <w:t xml:space="preserve">利確判定の達成度は、以下の優先順で採用したターゲットプライスを使う。</w:t>
      </w:r>
    </w:p>
    <w:p>
      <w:pPr>
        <w:numPr>
          <w:ilvl w:val="0"/>
          <w:numId w:val="1013"/>
        </w:numPr>
        <w:pStyle w:val="Compact"/>
      </w:pPr>
      <w:r>
        <w:t xml:space="preserve">手動設定値(</w:t>
      </w:r>
      <w:r>
        <w:rPr>
          <w:rStyle w:val="VerbatimChar"/>
        </w:rPr>
        <w:t xml:space="preserve">target_price_manual</w:t>
      </w:r>
      <w:r>
        <w:t xml:space="preserve">)</w:t>
      </w:r>
    </w:p>
    <w:p>
      <w:pPr>
        <w:numPr>
          <w:ilvl w:val="0"/>
          <w:numId w:val="1013"/>
        </w:numPr>
        <w:pStyle w:val="Compact"/>
      </w:pPr>
      <w:r>
        <w:rPr>
          <w:b/>
        </w:rPr>
        <w:t xml:space="preserve">購入時点のスナップショット</w:t>
      </w:r>
      <w:r>
        <w:t xml:space="preserve">(</w:t>
      </w:r>
      <w:r>
        <w:rPr>
          <w:rStyle w:val="VerbatimChar"/>
        </w:rPr>
        <w:t xml:space="preserve">target_price_at_purchase</w:t>
      </w:r>
      <w:r>
        <w:t xml:space="preserve">、購入時に算出し以後固定。現在値変動の影響を受けない)</w:t>
      </w:r>
    </w:p>
    <w:p>
      <w:pPr>
        <w:numPr>
          <w:ilvl w:val="0"/>
          <w:numId w:val="1013"/>
        </w:numPr>
        <w:pStyle w:val="Compact"/>
      </w:pPr>
      <w:r>
        <w:t xml:space="preserve">現在値ベースの自動算出値(</w:t>
      </w:r>
      <w:r>
        <w:rPr>
          <w:rStyle w:val="VerbatimChar"/>
        </w:rPr>
        <w:t xml:space="preserve">target_price_auto</w:t>
      </w:r>
      <w:r>
        <w:t xml:space="preserve">、保有・候補銘柄の指標更新の都度再計算)</w:t>
      </w:r>
    </w:p>
    <w:p>
      <w:pPr>
        <w:pStyle w:val="FirstParagraph"/>
      </w:pPr>
      <w:r>
        <w:t xml:space="preserve">自動算出には3つのロジックがあり、グループごとに優先ロジックを設定できる(データ不足時は他ロジックへフォールバック、既定順は アナリストコンセンサス→EPS成長率ベース→PBR正常化ベース)。</w:t>
      </w:r>
    </w:p>
    <w:tbl>
      <w:tblPr>
        <w:tblStyle w:val="Table"/>
        <w:tblW w:type="pct" w:w="0.0"/>
        <w:tblLook w:firstRow="1"/>
      </w:tblPr>
      <w:tblGrid/>
      <w:tr>
        <w:trPr>
          <w:cnfStyle w:firstRow="1"/>
        </w:trPr>
        <w:tc>
          <w:tcPr>
            <w:tcBorders>
              <w:bottom w:val="single"/>
            </w:tcBorders>
            <w:vAlign w:val="bottom"/>
          </w:tcPr>
          <w:p>
            <w:pPr>
              <w:pStyle w:val="Compact"/>
              <w:jc w:val="left"/>
            </w:pPr>
            <w:r>
              <w:t xml:space="preserve">ロジック</w:t>
            </w:r>
          </w:p>
        </w:tc>
        <w:tc>
          <w:tcPr>
            <w:tcBorders>
              <w:bottom w:val="single"/>
            </w:tcBorders>
            <w:vAlign w:val="bottom"/>
          </w:tcPr>
          <w:p>
            <w:pPr>
              <w:pStyle w:val="Compact"/>
              <w:jc w:val="left"/>
            </w:pPr>
            <w:r>
              <w:t xml:space="preserve">計算式</w:t>
            </w:r>
          </w:p>
        </w:tc>
      </w:tr>
      <w:tr>
        <w:tc>
          <w:p>
            <w:pPr>
              <w:pStyle w:val="Compact"/>
              <w:jc w:val="left"/>
            </w:pPr>
            <w:r>
              <w:t xml:space="preserve">analyst_consensus(アナリストコンセンサス)</w:t>
            </w:r>
          </w:p>
        </w:tc>
        <w:tc>
          <w:p>
            <w:pPr>
              <w:pStyle w:val="Compact"/>
              <w:jc w:val="left"/>
            </w:pPr>
            <w:r>
              <w:t xml:space="preserve">アナリスト目標株価平均をそのまま採用</w:t>
            </w:r>
          </w:p>
        </w:tc>
      </w:tr>
      <w:tr>
        <w:tc>
          <w:p>
            <w:pPr>
              <w:pStyle w:val="Compact"/>
              <w:jc w:val="left"/>
            </w:pPr>
            <w:r>
              <w:t xml:space="preserve">eps_growth(EPS成長率ベース)</w:t>
            </w:r>
          </w:p>
        </w:tc>
        <w:tc>
          <w:p>
            <w:pPr>
              <w:pStyle w:val="Compact"/>
              <w:jc w:val="left"/>
            </w:pPr>
            <w:r>
              <w:t xml:space="preserve">現在株価(購入時点スナップショットの場合は購入価格) × (1 + 予想EPS成長率)</w:t>
            </w:r>
          </w:p>
        </w:tc>
      </w:tr>
      <w:tr>
        <w:tc>
          <w:p>
            <w:pPr>
              <w:pStyle w:val="Compact"/>
              <w:jc w:val="left"/>
            </w:pPr>
            <w:r>
              <w:t xml:space="preserve">pbr_normalization(PBR正常化ベース)</w:t>
            </w:r>
          </w:p>
        </w:tc>
        <w:tc>
          <w:p>
            <w:pPr>
              <w:pStyle w:val="Compact"/>
              <w:jc w:val="left"/>
            </w:pPr>
            <w:r>
              <w:t xml:space="preserve">BPS × ターゲットPBR(既定1.0倍)</w:t>
            </w:r>
          </w:p>
        </w:tc>
      </w:tr>
    </w:tbl>
    <w:p>
      <w:pPr>
        <w:pStyle w:val="BodyText"/>
      </w:pPr>
      <w:r>
        <w:t xml:space="preserve">現状の参考値(グループ別優先ロジック):</w:t>
      </w:r>
    </w:p>
    <w:tbl>
      <w:tblPr>
        <w:tblStyle w:val="Table"/>
        <w:tblW w:type="pct" w:w="0.0"/>
        <w:tblLook w:firstRow="1"/>
      </w:tblPr>
      <w:tblGrid/>
      <w:tr>
        <w:trPr>
          <w:cnfStyle w:firstRow="1"/>
        </w:trPr>
        <w:tc>
          <w:tcPr>
            <w:tcBorders>
              <w:bottom w:val="single"/>
            </w:tcBorders>
            <w:vAlign w:val="bottom"/>
          </w:tcPr>
          <w:p>
            <w:pPr>
              <w:pStyle w:val="Compact"/>
              <w:jc w:val="left"/>
            </w:pPr>
            <w:r>
              <w:t xml:space="preserve">グループ</w:t>
            </w:r>
          </w:p>
        </w:tc>
        <w:tc>
          <w:tcPr>
            <w:tcBorders>
              <w:bottom w:val="single"/>
            </w:tcBorders>
            <w:vAlign w:val="bottom"/>
          </w:tcPr>
          <w:p>
            <w:pPr>
              <w:pStyle w:val="Compact"/>
              <w:jc w:val="left"/>
            </w:pPr>
            <w:r>
              <w:t xml:space="preserve">優先ロジック</w:t>
            </w:r>
          </w:p>
        </w:tc>
      </w:tr>
      <w:tr>
        <w:tc>
          <w:p>
            <w:pPr>
              <w:pStyle w:val="Compact"/>
              <w:jc w:val="left"/>
            </w:pPr>
            <w:r>
              <w:t xml:space="preserve">小型株</w:t>
            </w:r>
          </w:p>
        </w:tc>
        <w:tc>
          <w:p>
            <w:pPr>
              <w:pStyle w:val="Compact"/>
              <w:jc w:val="left"/>
            </w:pPr>
            <w:r>
              <w:t xml:space="preserve">eps_growth</w:t>
            </w:r>
          </w:p>
        </w:tc>
      </w:tr>
      <w:tr>
        <w:tc>
          <w:p>
            <w:pPr>
              <w:pStyle w:val="Compact"/>
              <w:jc w:val="left"/>
            </w:pPr>
            <w:r>
              <w:t xml:space="preserve">中型株</w:t>
            </w:r>
          </w:p>
        </w:tc>
        <w:tc>
          <w:p>
            <w:pPr>
              <w:pStyle w:val="Compact"/>
              <w:jc w:val="left"/>
            </w:pPr>
            <w:r>
              <w:t xml:space="preserve">analyst_consensus</w:t>
            </w:r>
          </w:p>
        </w:tc>
      </w:tr>
      <w:tr>
        <w:tc>
          <w:p>
            <w:pPr>
              <w:pStyle w:val="Compact"/>
              <w:jc w:val="left"/>
            </w:pPr>
            <w:r>
              <w:t xml:space="preserve">大型株</w:t>
            </w:r>
          </w:p>
        </w:tc>
        <w:tc>
          <w:p>
            <w:pPr>
              <w:pStyle w:val="Compact"/>
              <w:jc w:val="left"/>
            </w:pPr>
            <w:r>
              <w:t xml:space="preserve">analyst_consensus</w:t>
            </w:r>
          </w:p>
        </w:tc>
      </w:tr>
      <w:tr>
        <w:tc>
          <w:p>
            <w:pPr>
              <w:pStyle w:val="Compact"/>
              <w:jc w:val="left"/>
            </w:pPr>
            <w:r>
              <w:t xml:space="preserve">デフォルト</w:t>
            </w:r>
          </w:p>
        </w:tc>
        <w:tc>
          <w:p>
            <w:pPr>
              <w:pStyle w:val="Compact"/>
              <w:jc w:val="left"/>
            </w:pPr>
            <w:r>
              <w:t xml:space="preserve">(指定なし、既定順)</w:t>
            </w:r>
          </w:p>
        </w:tc>
      </w:tr>
    </w:tbl>
    <w:p>
      <w:pPr>
        <w:pStyle w:val="BodyText"/>
      </w:pPr>
      <w:r>
        <w:t xml:space="preserve">ターゲットプライスが購入価格を上回っていない場合、達成度算出は無効(None)として扱う(下落局面で目標も一緒に下がり、達成率が実態と無関係に押し上げられるのを防ぐため)。</w:t>
      </w:r>
    </w:p>
    <w:p>
      <w:pPr>
        <w:pStyle w:val="Heading4"/>
      </w:pPr>
      <w:bookmarkStart w:id="56" w:name="手数料税引後の想定純損益純損益ゲートの計算"/>
      <w:r>
        <w:t xml:space="preserve">7.6 手数料・税引後の想定純損益(純損益ゲートの計算)</w:t>
      </w:r>
      <w:bookmarkEnd w:id="56"/>
    </w:p>
    <w:p>
      <w:pPr>
        <w:pStyle w:val="SourceCode"/>
      </w:pPr>
      <w:r>
        <w:rPr>
          <w:rStyle w:val="VerbatimChar"/>
        </w:rPr>
        <w:t xml:space="preserve">純損益 = (売却額 - 売却手数料) - (購入額 + 購入手数料) - 譲渡益課税</w:t>
      </w:r>
      <w:r>
        <w:br/>
      </w:r>
      <w:r>
        <w:rPr>
          <w:rStyle w:val="VerbatimChar"/>
        </w:rPr>
        <w:t xml:space="preserve">譲渡益課税 = max(0, 上記の黒字額) × 税率</w:t>
      </w:r>
    </w:p>
    <w:p>
      <w:pPr>
        <w:pStyle w:val="FirstParagraph"/>
      </w:pPr>
      <w:r>
        <w:t xml:space="preserve">複数回の買い増しに対応するため、</w:t>
      </w:r>
      <w:r>
        <w:rPr>
          <w:b/>
        </w:rPr>
        <w:t xml:space="preserve">口座種別(特定・一般口座 / NISA口座)ごとに残存数量・加重平均取得単価を分けて計算し、合算する</w:t>
      </w:r>
      <w:r>
        <w:t xml:space="preserve">。NISA口座は譲渡益非課税・手数料無料として扱う。</w:t>
      </w:r>
    </w:p>
    <w:p>
      <w:pPr>
        <w:pStyle w:val="Heading5"/>
      </w:pPr>
      <w:bookmarkStart w:id="57" w:name="現状の参考値-1"/>
      <w:r>
        <w:t xml:space="preserve">現状の参考値</w:t>
      </w:r>
      <w:bookmarkEnd w:id="57"/>
    </w:p>
    <w:p>
      <w:pPr>
        <w:pStyle w:val="FirstParagraph"/>
      </w:pPr>
      <w:r>
        <w:rPr>
          <w:b/>
        </w:rPr>
        <w:t xml:space="preserve">譲渡益課税の税率: 20.315%</w:t>
      </w:r>
      <w:r>
        <w:t xml:space="preserve">(特定口座(源泉徴収あり)/一般口座、NISAは非課税)</w:t>
      </w:r>
    </w:p>
    <w:p>
      <w:pPr>
        <w:pStyle w:val="BodyText"/>
      </w:pPr>
      <w:r>
        <w:rPr>
          <w:b/>
        </w:rPr>
        <w:t xml:space="preserve">売買手数料(片道、約定代金の金額帯別、SBI証券の現物取引「スタンダードプラン」を参考に設定)</w:t>
      </w:r>
    </w:p>
    <w:tbl>
      <w:tblPr>
        <w:tblStyle w:val="Table"/>
        <w:tblW w:type="pct" w:w="0.0"/>
        <w:tblLook w:firstRow="1"/>
      </w:tblPr>
      <w:tblGrid/>
      <w:tr>
        <w:trPr>
          <w:cnfStyle w:firstRow="1"/>
        </w:trPr>
        <w:tc>
          <w:tcPr>
            <w:tcBorders>
              <w:bottom w:val="single"/>
            </w:tcBorders>
            <w:vAlign w:val="bottom"/>
          </w:tcPr>
          <w:p>
            <w:pPr>
              <w:pStyle w:val="Compact"/>
              <w:jc w:val="left"/>
            </w:pPr>
            <w:r>
              <w:t xml:space="preserve">約定代金</w:t>
            </w:r>
          </w:p>
        </w:tc>
        <w:tc>
          <w:tcPr>
            <w:tcBorders>
              <w:bottom w:val="single"/>
            </w:tcBorders>
            <w:vAlign w:val="bottom"/>
          </w:tcPr>
          <w:p>
            <w:pPr>
              <w:pStyle w:val="Compact"/>
              <w:jc w:val="left"/>
            </w:pPr>
            <w:r>
              <w:t xml:space="preserve">手数料</w:t>
            </w:r>
          </w:p>
        </w:tc>
      </w:tr>
      <w:tr>
        <w:tc>
          <w:p>
            <w:pPr>
              <w:pStyle w:val="Compact"/>
              <w:jc w:val="left"/>
            </w:pPr>
            <w:r>
              <w:t xml:space="preserve">〜5万円</w:t>
            </w:r>
          </w:p>
        </w:tc>
        <w:tc>
          <w:p>
            <w:pPr>
              <w:pStyle w:val="Compact"/>
              <w:jc w:val="left"/>
            </w:pPr>
            <w:r>
              <w:t xml:space="preserve">55円</w:t>
            </w:r>
          </w:p>
        </w:tc>
      </w:tr>
      <w:tr>
        <w:tc>
          <w:p>
            <w:pPr>
              <w:pStyle w:val="Compact"/>
              <w:jc w:val="left"/>
            </w:pPr>
            <w:r>
              <w:t xml:space="preserve">〜10万円</w:t>
            </w:r>
          </w:p>
        </w:tc>
        <w:tc>
          <w:p>
            <w:pPr>
              <w:pStyle w:val="Compact"/>
              <w:jc w:val="left"/>
            </w:pPr>
            <w:r>
              <w:t xml:space="preserve">99円</w:t>
            </w:r>
          </w:p>
        </w:tc>
      </w:tr>
      <w:tr>
        <w:tc>
          <w:p>
            <w:pPr>
              <w:pStyle w:val="Compact"/>
              <w:jc w:val="left"/>
            </w:pPr>
            <w:r>
              <w:t xml:space="preserve">〜20万円</w:t>
            </w:r>
          </w:p>
        </w:tc>
        <w:tc>
          <w:p>
            <w:pPr>
              <w:pStyle w:val="Compact"/>
              <w:jc w:val="left"/>
            </w:pPr>
            <w:r>
              <w:t xml:space="preserve">115円</w:t>
            </w:r>
          </w:p>
        </w:tc>
      </w:tr>
      <w:tr>
        <w:tc>
          <w:p>
            <w:pPr>
              <w:pStyle w:val="Compact"/>
              <w:jc w:val="left"/>
            </w:pPr>
            <w:r>
              <w:t xml:space="preserve">〜50万円</w:t>
            </w:r>
          </w:p>
        </w:tc>
        <w:tc>
          <w:p>
            <w:pPr>
              <w:pStyle w:val="Compact"/>
              <w:jc w:val="left"/>
            </w:pPr>
            <w:r>
              <w:t xml:space="preserve">275円</w:t>
            </w:r>
          </w:p>
        </w:tc>
      </w:tr>
      <w:tr>
        <w:tc>
          <w:p>
            <w:pPr>
              <w:pStyle w:val="Compact"/>
              <w:jc w:val="left"/>
            </w:pPr>
            <w:r>
              <w:t xml:space="preserve">〜100万円</w:t>
            </w:r>
          </w:p>
        </w:tc>
        <w:tc>
          <w:p>
            <w:pPr>
              <w:pStyle w:val="Compact"/>
              <w:jc w:val="left"/>
            </w:pPr>
            <w:r>
              <w:t xml:space="preserve">535円</w:t>
            </w:r>
          </w:p>
        </w:tc>
      </w:tr>
      <w:tr>
        <w:tc>
          <w:p>
            <w:pPr>
              <w:pStyle w:val="Compact"/>
              <w:jc w:val="left"/>
            </w:pPr>
            <w:r>
              <w:t xml:space="preserve">〜150万円</w:t>
            </w:r>
          </w:p>
        </w:tc>
        <w:tc>
          <w:p>
            <w:pPr>
              <w:pStyle w:val="Compact"/>
              <w:jc w:val="left"/>
            </w:pPr>
            <w:r>
              <w:t xml:space="preserve">640円</w:t>
            </w:r>
          </w:p>
        </w:tc>
      </w:tr>
      <w:tr>
        <w:tc>
          <w:p>
            <w:pPr>
              <w:pStyle w:val="Compact"/>
              <w:jc w:val="left"/>
            </w:pPr>
            <w:r>
              <w:t xml:space="preserve">〜3,000万円</w:t>
            </w:r>
          </w:p>
        </w:tc>
        <w:tc>
          <w:p>
            <w:pPr>
              <w:pStyle w:val="Compact"/>
              <w:jc w:val="left"/>
            </w:pPr>
            <w:r>
              <w:t xml:space="preserve">1,013円</w:t>
            </w:r>
          </w:p>
        </w:tc>
      </w:tr>
      <w:tr>
        <w:tc>
          <w:p>
            <w:pPr>
              <w:pStyle w:val="Compact"/>
              <w:jc w:val="left"/>
            </w:pPr>
            <w:r>
              <w:t xml:space="preserve">それ以上</w:t>
            </w:r>
          </w:p>
        </w:tc>
        <w:tc>
          <w:p>
            <w:pPr>
              <w:pStyle w:val="Compact"/>
              <w:jc w:val="left"/>
            </w:pPr>
            <w:r>
              <w:t xml:space="preserve">1,070円</w:t>
            </w:r>
          </w:p>
        </w:tc>
      </w:tr>
    </w:tbl>
    <w:p>
      <w:pPr>
        <w:pStyle w:val="BodyText"/>
      </w:pPr>
      <w:r>
        <w:t xml:space="preserve">※証券会社・プランによって異なるため、実際に利用している手数料表と照合が必要(SBI証券の「ゼロ革命」等、条件を満たすと無料になる制度もある)。</w:t>
      </w:r>
    </w:p>
    <w:p>
      <w:pPr>
        <w:pStyle w:val="Heading4"/>
      </w:pPr>
      <w:bookmarkStart w:id="58" w:name="損切り利確共通の派生値"/>
      <w:r>
        <w:t xml:space="preserve">7.7 損切り・利確共通の派生値</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項目</w:t>
            </w:r>
          </w:p>
        </w:tc>
        <w:tc>
          <w:tcPr>
            <w:tcBorders>
              <w:bottom w:val="single"/>
            </w:tcBorders>
            <w:vAlign w:val="bottom"/>
          </w:tcPr>
          <w:p>
            <w:pPr>
              <w:pStyle w:val="Compact"/>
              <w:jc w:val="left"/>
            </w:pPr>
            <w:r>
              <w:t xml:space="preserve">計算式</w:t>
            </w:r>
          </w:p>
        </w:tc>
      </w:tr>
      <w:tr>
        <w:tc>
          <w:p>
            <w:pPr>
              <w:pStyle w:val="Compact"/>
              <w:jc w:val="left"/>
            </w:pPr>
            <w:r>
              <w:t xml:space="preserve">ma25_deviation_percent(MA25乖離率)</w:t>
            </w:r>
          </w:p>
        </w:tc>
        <w:tc>
          <w:p>
            <w:pPr>
              <w:pStyle w:val="Compact"/>
              <w:jc w:val="left"/>
            </w:pPr>
            <w:r>
              <w:t xml:space="preserve">(現在値 - MA25) ÷ MA25 × 100</w:t>
            </w:r>
          </w:p>
        </w:tc>
      </w:tr>
      <w:tr>
        <w:tc>
          <w:p>
            <w:pPr>
              <w:pStyle w:val="Compact"/>
              <w:jc w:val="left"/>
            </w:pPr>
            <w:r>
              <w:t xml:space="preserve">daily_change_percent(前日比騰落率)</w:t>
            </w:r>
          </w:p>
        </w:tc>
        <w:tc>
          <w:p>
            <w:pPr>
              <w:pStyle w:val="Compact"/>
              <w:jc w:val="left"/>
            </w:pPr>
            <w:r>
              <w:t xml:space="preserve">(現在値 - 前日終値) ÷ 前日終値 × 100</w:t>
            </w:r>
          </w:p>
        </w:tc>
      </w:tr>
      <w:tr>
        <w:tc>
          <w:p>
            <w:pPr>
              <w:pStyle w:val="Compact"/>
              <w:jc w:val="left"/>
            </w:pPr>
            <w:r>
              <w:t xml:space="preserve">achievement_percent(達成度)</w:t>
            </w:r>
          </w:p>
        </w:tc>
        <w:tc>
          <w:p>
            <w:pPr>
              <w:pStyle w:val="Compact"/>
              <w:jc w:val="left"/>
            </w:pPr>
            <w:r>
              <w:t xml:space="preserve">現在値 ÷ 有効なターゲットプライス × 100</w:t>
            </w:r>
          </w:p>
        </w:tc>
      </w:tr>
      <w:tr>
        <w:tc>
          <w:p>
            <w:pPr>
              <w:pStyle w:val="Compact"/>
              <w:jc w:val="left"/>
            </w:pPr>
            <w:r>
              <w:t xml:space="preserve">is_below_ma25(MA25割れ)</w:t>
            </w:r>
          </w:p>
        </w:tc>
        <w:tc>
          <w:p>
            <w:pPr>
              <w:pStyle w:val="Compact"/>
              <w:jc w:val="left"/>
            </w:pPr>
            <w:r>
              <w:t xml:space="preserve">現在値 &lt; MA25</w:t>
            </w:r>
          </w:p>
        </w:tc>
      </w:tr>
    </w:tbl>
    <w:p>
      <w:r>
        <w:pict>
          <v:rect style="width:0;height:1.5pt" o:hralign="center" o:hrstd="t" o:hr="t"/>
        </w:pict>
      </w:r>
    </w:p>
    <w:p>
      <w:pPr>
        <w:pStyle w:val="Heading3"/>
      </w:pPr>
      <w:bookmarkStart w:id="59" w:name="統合判定優先順位"/>
      <w:r>
        <w:t xml:space="preserve">8. 統合判定(優先順位)</w:t>
      </w:r>
      <w:bookmarkEnd w:id="59"/>
    </w:p>
    <w:p>
      <w:pPr>
        <w:pStyle w:val="FirstParagraph"/>
      </w:pPr>
      <w:r>
        <w:t xml:space="preserve">銘柄管理・損切り利確判定画面などでは、上記の判定を1つの統合バッジとして表示する(</w:t>
      </w:r>
      <w:r>
        <w:rPr>
          <w:rStyle w:val="VerbatimChar"/>
        </w:rPr>
        <w:t xml:space="preserve">frontend/src/lib/tradeSignals.ts</w:t>
      </w:r>
      <w:r>
        <w:t xml:space="preserve">)。優先順位は以下の通り(上にあるほど優先)。</w:t>
      </w:r>
    </w:p>
    <w:p>
      <w:pPr>
        <w:numPr>
          <w:ilvl w:val="0"/>
          <w:numId w:val="1014"/>
        </w:numPr>
        <w:pStyle w:val="Compact"/>
      </w:pPr>
      <w:r>
        <w:t xml:space="preserve">損切り優先度A →</w:t>
      </w:r>
      <w:r>
        <w:t xml:space="preserve"> </w:t>
      </w:r>
      <w:r>
        <w:rPr>
          <w:b/>
        </w:rPr>
        <w:t xml:space="preserve">即時売却</w:t>
      </w:r>
      <w:r>
        <w:t xml:space="preserve">(赤)</w:t>
      </w:r>
    </w:p>
    <w:p>
      <w:pPr>
        <w:numPr>
          <w:ilvl w:val="0"/>
          <w:numId w:val="1014"/>
        </w:numPr>
        <w:pStyle w:val="Compact"/>
      </w:pPr>
      <w:r>
        <w:t xml:space="preserve">損切り優先度B →</w:t>
      </w:r>
      <w:r>
        <w:t xml:space="preserve"> </w:t>
      </w:r>
      <w:r>
        <w:rPr>
          <w:b/>
        </w:rPr>
        <w:t xml:space="preserve">回避・撤退検討</w:t>
      </w:r>
      <w:r>
        <w:t xml:space="preserve">(オレンジ)</w:t>
      </w:r>
    </w:p>
    <w:p>
      <w:pPr>
        <w:numPr>
          <w:ilvl w:val="0"/>
          <w:numId w:val="1014"/>
        </w:numPr>
        <w:pStyle w:val="Compact"/>
      </w:pPr>
      <w:r>
        <w:t xml:space="preserve">保有期間満了 →</w:t>
      </w:r>
      <w:r>
        <w:t xml:space="preserve"> </w:t>
      </w:r>
      <w:r>
        <w:rPr>
          <w:b/>
        </w:rPr>
        <w:t xml:space="preserve">保有期間満了</w:t>
      </w:r>
      <w:r>
        <w:t xml:space="preserve">(オレンジ、純損益に関わらず表示。損切り優先度が付いている場合はそちらが優先表示されるが、詳細画面には両方表示される)</w:t>
      </w:r>
    </w:p>
    <w:p>
      <w:pPr>
        <w:numPr>
          <w:ilvl w:val="0"/>
          <w:numId w:val="1014"/>
        </w:numPr>
        <w:pStyle w:val="Compact"/>
      </w:pPr>
      <w:r>
        <w:t xml:space="preserve">利確シグナル(純損益ゲート通過) →</w:t>
      </w:r>
      <w:r>
        <w:t xml:space="preserve"> </w:t>
      </w:r>
      <w:r>
        <w:rPr>
          <w:b/>
        </w:rPr>
        <w:t xml:space="preserve">利確</w:t>
      </w:r>
      <w:r>
        <w:t xml:space="preserve">(緑)</w:t>
      </w:r>
    </w:p>
    <w:p>
      <w:pPr>
        <w:numPr>
          <w:ilvl w:val="0"/>
          <w:numId w:val="1014"/>
        </w:numPr>
        <w:pStyle w:val="Compact"/>
      </w:pPr>
      <w:r>
        <w:t xml:space="preserve">買入タイミング有力候補 →</w:t>
      </w:r>
      <w:r>
        <w:t xml:space="preserve"> </w:t>
      </w:r>
      <w:r>
        <w:rPr>
          <w:b/>
        </w:rPr>
        <w:t xml:space="preserve">買い候補</w:t>
      </w:r>
      <w:r>
        <w:t xml:space="preserve">(緑)</w:t>
      </w:r>
    </w:p>
    <w:p>
      <w:pPr>
        <w:numPr>
          <w:ilvl w:val="0"/>
          <w:numId w:val="1014"/>
        </w:numPr>
        <w:pStyle w:val="Compact"/>
      </w:pPr>
      <w:r>
        <w:t xml:space="preserve">上記いずれにも該当しない → 継続保有(バッジなし)</w:t>
      </w:r>
    </w:p>
    <w:p>
      <w:r>
        <w:pict>
          <v:rect style="width:0;height:1.5pt" o:hralign="center" o:hrstd="t" o:hr="t"/>
        </w:pict>
      </w:r>
    </w:p>
    <w:p>
      <w:pPr>
        <w:pStyle w:val="Heading3"/>
      </w:pPr>
      <w:bookmarkStart w:id="60" w:name="参考-判定に使用する主な項目一覧"/>
      <w:r>
        <w:t xml:space="preserve">9. 参考: 判定に使用する主な項目一覧</w:t>
      </w:r>
      <w:bookmarkEnd w:id="60"/>
    </w:p>
    <w:tbl>
      <w:tblPr>
        <w:tblStyle w:val="Table"/>
        <w:tblW w:type="pct" w:w="0.0"/>
        <w:tblLook w:firstRow="1"/>
      </w:tblPr>
      <w:tblGrid/>
      <w:tr>
        <w:trPr>
          <w:cnfStyle w:firstRow="1"/>
        </w:trPr>
        <w:tc>
          <w:tcPr>
            <w:tcBorders>
              <w:bottom w:val="single"/>
            </w:tcBorders>
            <w:vAlign w:val="bottom"/>
          </w:tcPr>
          <w:p>
            <w:pPr>
              <w:pStyle w:val="Compact"/>
              <w:jc w:val="left"/>
            </w:pPr>
            <w:r>
              <w:t xml:space="preserve">param_key</w:t>
            </w:r>
          </w:p>
        </w:tc>
        <w:tc>
          <w:tcPr>
            <w:tcBorders>
              <w:bottom w:val="single"/>
            </w:tcBorders>
            <w:vAlign w:val="bottom"/>
          </w:tcPr>
          <w:p>
            <w:pPr>
              <w:pStyle w:val="Compact"/>
              <w:jc w:val="left"/>
            </w:pPr>
            <w:r>
              <w:t xml:space="preserve">意味</w:t>
            </w:r>
          </w:p>
        </w:tc>
        <w:tc>
          <w:tcPr>
            <w:tcBorders>
              <w:bottom w:val="single"/>
            </w:tcBorders>
            <w:vAlign w:val="bottom"/>
          </w:tcPr>
          <w:p>
            <w:pPr>
              <w:pStyle w:val="Compact"/>
              <w:jc w:val="left"/>
            </w:pPr>
            <w:r>
              <w:t xml:space="preserve">単位</w:t>
            </w:r>
          </w:p>
        </w:tc>
        <w:tc>
          <w:tcPr>
            <w:tcBorders>
              <w:bottom w:val="single"/>
            </w:tcBorders>
            <w:vAlign w:val="bottom"/>
          </w:tcPr>
          <w:p>
            <w:pPr>
              <w:pStyle w:val="Compact"/>
              <w:jc w:val="left"/>
            </w:pPr>
            <w:r>
              <w:t xml:space="preserve">主な使用箇所</w:t>
            </w:r>
          </w:p>
        </w:tc>
      </w:tr>
      <w:tr>
        <w:tc>
          <w:p>
            <w:pPr>
              <w:pStyle w:val="Compact"/>
              <w:jc w:val="left"/>
            </w:pPr>
            <w:r>
              <w:t xml:space="preserve">roe</w:t>
            </w:r>
          </w:p>
        </w:tc>
        <w:tc>
          <w:p>
            <w:pPr>
              <w:pStyle w:val="Compact"/>
              <w:jc w:val="left"/>
            </w:pPr>
            <w:r>
              <w:t xml:space="preserve">ROE(自己資本利益率)</w:t>
            </w:r>
          </w:p>
        </w:tc>
        <w:tc>
          <w:p>
            <w:pPr>
              <w:pStyle w:val="Compact"/>
              <w:jc w:val="left"/>
            </w:pPr>
            <w:r>
              <w:t xml:space="preserve">%</w:t>
            </w:r>
          </w:p>
        </w:tc>
        <w:tc>
          <w:p>
            <w:pPr>
              <w:pStyle w:val="Compact"/>
              <w:jc w:val="left"/>
            </w:pPr>
            <w:r>
              <w:t xml:space="preserve">候補</w:t>
            </w:r>
          </w:p>
        </w:tc>
      </w:tr>
      <w:tr>
        <w:tc>
          <w:p>
            <w:pPr>
              <w:pStyle w:val="Compact"/>
              <w:jc w:val="left"/>
            </w:pPr>
            <w:r>
              <w:t xml:space="preserve">equity_ratio</w:t>
            </w:r>
          </w:p>
        </w:tc>
        <w:tc>
          <w:p>
            <w:pPr>
              <w:pStyle w:val="Compact"/>
              <w:jc w:val="left"/>
            </w:pPr>
            <w:r>
              <w:t xml:space="preserve">自己資本比率</w:t>
            </w:r>
          </w:p>
        </w:tc>
        <w:tc>
          <w:p>
            <w:pPr>
              <w:pStyle w:val="Compact"/>
              <w:jc w:val="left"/>
            </w:pPr>
            <w:r>
              <w:t xml:space="preserve">%</w:t>
            </w:r>
          </w:p>
        </w:tc>
        <w:tc>
          <w:p>
            <w:pPr>
              <w:pStyle w:val="Compact"/>
              <w:jc w:val="left"/>
            </w:pPr>
            <w:r>
              <w:t xml:space="preserve">候補</w:t>
            </w:r>
          </w:p>
        </w:tc>
      </w:tr>
      <w:tr>
        <w:tc>
          <w:p>
            <w:pPr>
              <w:pStyle w:val="Compact"/>
              <w:jc w:val="left"/>
            </w:pPr>
            <w:r>
              <w:t xml:space="preserve">revenue_yoy</w:t>
            </w:r>
          </w:p>
        </w:tc>
        <w:tc>
          <w:p>
            <w:pPr>
              <w:pStyle w:val="Compact"/>
              <w:jc w:val="left"/>
            </w:pPr>
            <w:r>
              <w:t xml:space="preserve">売上高前期比</w:t>
            </w:r>
          </w:p>
        </w:tc>
        <w:tc>
          <w:p>
            <w:pPr>
              <w:pStyle w:val="Compact"/>
              <w:jc w:val="left"/>
            </w:pPr>
            <w:r>
              <w:t xml:space="preserve">%</w:t>
            </w:r>
          </w:p>
        </w:tc>
        <w:tc>
          <w:p>
            <w:pPr>
              <w:pStyle w:val="Compact"/>
              <w:jc w:val="left"/>
            </w:pPr>
            <w:r>
              <w:t xml:space="preserve">候補</w:t>
            </w:r>
          </w:p>
        </w:tc>
      </w:tr>
      <w:tr>
        <w:tc>
          <w:p>
            <w:pPr>
              <w:pStyle w:val="Compact"/>
              <w:jc w:val="left"/>
            </w:pPr>
            <w:r>
              <w:t xml:space="preserve">operating_margin</w:t>
            </w:r>
          </w:p>
        </w:tc>
        <w:tc>
          <w:p>
            <w:pPr>
              <w:pStyle w:val="Compact"/>
              <w:jc w:val="left"/>
            </w:pPr>
            <w:r>
              <w:t xml:space="preserve">売上高営業利益率</w:t>
            </w:r>
          </w:p>
        </w:tc>
        <w:tc>
          <w:p>
            <w:pPr>
              <w:pStyle w:val="Compact"/>
              <w:jc w:val="left"/>
            </w:pPr>
            <w:r>
              <w:t xml:space="preserve">%</w:t>
            </w:r>
          </w:p>
        </w:tc>
        <w:tc>
          <w:p>
            <w:pPr>
              <w:pStyle w:val="Compact"/>
              <w:jc w:val="left"/>
            </w:pPr>
            <w:r>
              <w:t xml:space="preserve">候補</w:t>
            </w:r>
          </w:p>
        </w:tc>
      </w:tr>
      <w:tr>
        <w:tc>
          <w:p>
            <w:pPr>
              <w:pStyle w:val="Compact"/>
              <w:jc w:val="left"/>
            </w:pPr>
            <w:r>
              <w:t xml:space="preserve">market_cap</w:t>
            </w:r>
          </w:p>
        </w:tc>
        <w:tc>
          <w:p>
            <w:pPr>
              <w:pStyle w:val="Compact"/>
              <w:jc w:val="left"/>
            </w:pPr>
            <w:r>
              <w:t xml:space="preserve">時価総額</w:t>
            </w:r>
          </w:p>
        </w:tc>
        <w:tc>
          <w:p>
            <w:pPr>
              <w:pStyle w:val="Compact"/>
              <w:jc w:val="left"/>
            </w:pPr>
            <w:r>
              <w:t xml:space="preserve">百万円</w:t>
            </w:r>
          </w:p>
        </w:tc>
        <w:tc>
          <w:p>
            <w:pPr>
              <w:pStyle w:val="Compact"/>
              <w:jc w:val="left"/>
            </w:pPr>
            <w:r>
              <w:t xml:space="preserve">候補</w:t>
            </w:r>
          </w:p>
        </w:tc>
      </w:tr>
      <w:tr>
        <w:tc>
          <w:p>
            <w:pPr>
              <w:pStyle w:val="Compact"/>
              <w:jc w:val="left"/>
            </w:pPr>
            <w:r>
              <w:t xml:space="preserve">is_above_ma25</w:t>
            </w:r>
          </w:p>
        </w:tc>
        <w:tc>
          <w:p>
            <w:pPr>
              <w:pStyle w:val="Compact"/>
              <w:jc w:val="left"/>
            </w:pPr>
            <w:r>
              <w:t xml:space="preserve">MA25上抜け(派生値)</w:t>
            </w:r>
          </w:p>
        </w:tc>
        <w:tc>
          <w:p>
            <w:pPr>
              <w:pStyle w:val="Compact"/>
              <w:jc w:val="left"/>
            </w:pPr>
            <w:r>
              <w:t xml:space="preserve">bool</w:t>
            </w:r>
          </w:p>
        </w:tc>
        <w:tc>
          <w:p>
            <w:pPr>
              <w:pStyle w:val="Compact"/>
              <w:jc w:val="left"/>
            </w:pPr>
            <w:r>
              <w:t xml:space="preserve">買入タイミング</w:t>
            </w:r>
          </w:p>
        </w:tc>
      </w:tr>
      <w:tr>
        <w:tc>
          <w:p>
            <w:pPr>
              <w:pStyle w:val="Compact"/>
              <w:jc w:val="left"/>
            </w:pPr>
            <w:r>
              <w:t xml:space="preserve">volume_ratio</w:t>
            </w:r>
          </w:p>
        </w:tc>
        <w:tc>
          <w:p>
            <w:pPr>
              <w:pStyle w:val="Compact"/>
              <w:jc w:val="left"/>
            </w:pPr>
            <w:r>
              <w:t xml:space="preserve">出来高倍率(20日平均比)</w:t>
            </w:r>
          </w:p>
        </w:tc>
        <w:tc>
          <w:p>
            <w:pPr>
              <w:pStyle w:val="Compact"/>
              <w:jc w:val="left"/>
            </w:pPr>
            <w:r>
              <w:t xml:space="preserve">倍</w:t>
            </w:r>
          </w:p>
        </w:tc>
        <w:tc>
          <w:p>
            <w:pPr>
              <w:pStyle w:val="Compact"/>
              <w:jc w:val="left"/>
            </w:pPr>
            <w:r>
              <w:t xml:space="preserve">買入タイミング</w:t>
            </w:r>
          </w:p>
        </w:tc>
      </w:tr>
      <w:tr>
        <w:tc>
          <w:p>
            <w:pPr>
              <w:pStyle w:val="Compact"/>
              <w:jc w:val="left"/>
            </w:pPr>
            <w:r>
              <w:t xml:space="preserve">earnings_surprise_percent</w:t>
            </w:r>
          </w:p>
        </w:tc>
        <w:tc>
          <w:p>
            <w:pPr>
              <w:pStyle w:val="Compact"/>
              <w:jc w:val="left"/>
            </w:pPr>
            <w:r>
              <w:t xml:space="preserve">決算サプライズ(市場予想乖離率)</w:t>
            </w:r>
          </w:p>
        </w:tc>
        <w:tc>
          <w:p>
            <w:pPr>
              <w:pStyle w:val="Compact"/>
              <w:jc w:val="left"/>
            </w:pPr>
            <w:r>
              <w:t xml:space="preserve">%</w:t>
            </w:r>
          </w:p>
        </w:tc>
        <w:tc>
          <w:p>
            <w:pPr>
              <w:pStyle w:val="Compact"/>
              <w:jc w:val="left"/>
            </w:pPr>
            <w:r>
              <w:t xml:space="preserve">買入タイミング</w:t>
            </w:r>
          </w:p>
        </w:tc>
      </w:tr>
      <w:tr>
        <w:tc>
          <w:p>
            <w:pPr>
              <w:pStyle w:val="Compact"/>
              <w:jc w:val="left"/>
            </w:pPr>
            <w:r>
              <w:t xml:space="preserve">screening_score</w:t>
            </w:r>
          </w:p>
        </w:tc>
        <w:tc>
          <w:p>
            <w:pPr>
              <w:pStyle w:val="Compact"/>
              <w:jc w:val="left"/>
            </w:pPr>
            <w:r>
              <w:t xml:space="preserve">テクニカルスコア合計</w:t>
            </w:r>
          </w:p>
        </w:tc>
        <w:tc>
          <w:p>
            <w:pPr>
              <w:pStyle w:val="Compact"/>
              <w:jc w:val="left"/>
            </w:pPr>
            <w:r>
              <w:t xml:space="preserve">pt</w:t>
            </w:r>
          </w:p>
        </w:tc>
        <w:tc>
          <w:p>
            <w:pPr>
              <w:pStyle w:val="Compact"/>
              <w:jc w:val="left"/>
            </w:pPr>
            <w:r>
              <w:t xml:space="preserve">買入タイミング、候補(系統B)</w:t>
            </w:r>
          </w:p>
        </w:tc>
      </w:tr>
      <w:tr>
        <w:tc>
          <w:p>
            <w:pPr>
              <w:pStyle w:val="Compact"/>
              <w:jc w:val="left"/>
            </w:pPr>
            <w:r>
              <w:t xml:space="preserve">rsi</w:t>
            </w:r>
          </w:p>
        </w:tc>
        <w:tc>
          <w:p>
            <w:pPr>
              <w:pStyle w:val="Compact"/>
              <w:jc w:val="left"/>
            </w:pPr>
            <w:r>
              <w:t xml:space="preserve">RSI</w:t>
            </w:r>
          </w:p>
        </w:tc>
        <w:tc>
          <w:p>
            <w:pPr>
              <w:pStyle w:val="Compact"/>
              <w:jc w:val="left"/>
            </w:pPr>
            <w:r>
              <w:t xml:space="preserve">-</w:t>
            </w:r>
          </w:p>
        </w:tc>
        <w:tc>
          <w:p>
            <w:pPr>
              <w:pStyle w:val="Compact"/>
              <w:jc w:val="left"/>
            </w:pPr>
            <w:r>
              <w:t xml:space="preserve">買入タイミング</w:t>
            </w:r>
          </w:p>
        </w:tc>
      </w:tr>
      <w:tr>
        <w:tc>
          <w:p>
            <w:pPr>
              <w:pStyle w:val="Compact"/>
              <w:jc w:val="left"/>
            </w:pPr>
            <w:r>
              <w:t xml:space="preserve">ma25_deviation_percent</w:t>
            </w:r>
          </w:p>
        </w:tc>
        <w:tc>
          <w:p>
            <w:pPr>
              <w:pStyle w:val="Compact"/>
              <w:jc w:val="left"/>
            </w:pPr>
            <w:r>
              <w:t xml:space="preserve">MA25乖離率(派生値)</w:t>
            </w:r>
          </w:p>
        </w:tc>
        <w:tc>
          <w:p>
            <w:pPr>
              <w:pStyle w:val="Compact"/>
              <w:jc w:val="left"/>
            </w:pPr>
            <w:r>
              <w:t xml:space="preserve">%</w:t>
            </w:r>
          </w:p>
        </w:tc>
        <w:tc>
          <w:p>
            <w:pPr>
              <w:pStyle w:val="Compact"/>
              <w:jc w:val="left"/>
            </w:pPr>
            <w:r>
              <w:t xml:space="preserve">買入タイミング</w:t>
            </w:r>
          </w:p>
        </w:tc>
      </w:tr>
      <w:tr>
        <w:tc>
          <w:p>
            <w:pPr>
              <w:pStyle w:val="Compact"/>
              <w:jc w:val="left"/>
            </w:pPr>
            <w:r>
              <w:t xml:space="preserve">daily_change_percent</w:t>
            </w:r>
          </w:p>
        </w:tc>
        <w:tc>
          <w:p>
            <w:pPr>
              <w:pStyle w:val="Compact"/>
              <w:jc w:val="left"/>
            </w:pPr>
            <w:r>
              <w:t xml:space="preserve">前日比騰落率(派生値)</w:t>
            </w:r>
          </w:p>
        </w:tc>
        <w:tc>
          <w:p>
            <w:pPr>
              <w:pStyle w:val="Compact"/>
              <w:jc w:val="left"/>
            </w:pPr>
            <w:r>
              <w:t xml:space="preserve">%</w:t>
            </w:r>
          </w:p>
        </w:tc>
        <w:tc>
          <w:p>
            <w:pPr>
              <w:pStyle w:val="Compact"/>
              <w:jc w:val="left"/>
            </w:pPr>
            <w:r>
              <w:t xml:space="preserve">買入タイミング</w:t>
            </w:r>
          </w:p>
        </w:tc>
      </w:tr>
      <w:tr>
        <w:tc>
          <w:p>
            <w:pPr>
              <w:pStyle w:val="Compact"/>
              <w:jc w:val="left"/>
            </w:pPr>
            <w:r>
              <w:t xml:space="preserve">ma25_above_streak_days</w:t>
            </w:r>
          </w:p>
        </w:tc>
        <w:tc>
          <w:p>
            <w:pPr>
              <w:pStyle w:val="Compact"/>
              <w:jc w:val="left"/>
            </w:pPr>
            <w:r>
              <w:t xml:space="preserve">MA25上抜け継続日数</w:t>
            </w:r>
          </w:p>
        </w:tc>
        <w:tc>
          <w:p>
            <w:pPr>
              <w:pStyle w:val="Compact"/>
              <w:jc w:val="left"/>
            </w:pPr>
            <w:r>
              <w:t xml:space="preserve">日</w:t>
            </w:r>
          </w:p>
        </w:tc>
        <w:tc>
          <w:p>
            <w:pPr>
              <w:pStyle w:val="Compact"/>
              <w:jc w:val="left"/>
            </w:pPr>
            <w:r>
              <w:t xml:space="preserve">買入タイミング</w:t>
            </w:r>
          </w:p>
        </w:tc>
      </w:tr>
      <w:tr>
        <w:tc>
          <w:p>
            <w:pPr>
              <w:pStyle w:val="Compact"/>
              <w:jc w:val="left"/>
            </w:pPr>
            <w:r>
              <w:t xml:space="preserve">is_delisting_risk</w:t>
            </w:r>
          </w:p>
        </w:tc>
        <w:tc>
          <w:p>
            <w:pPr>
              <w:pStyle w:val="Compact"/>
              <w:jc w:val="left"/>
            </w:pPr>
            <w:r>
              <w:t xml:space="preserve">上場廃止リスクフラグ</w:t>
            </w:r>
          </w:p>
        </w:tc>
        <w:tc>
          <w:p>
            <w:pPr>
              <w:pStyle w:val="Compact"/>
              <w:jc w:val="left"/>
            </w:pPr>
            <w:r>
              <w:t xml:space="preserve">bool</w:t>
            </w:r>
          </w:p>
        </w:tc>
        <w:tc>
          <w:p>
            <w:pPr>
              <w:pStyle w:val="Compact"/>
              <w:jc w:val="left"/>
            </w:pPr>
            <w:r>
              <w:t xml:space="preserve">買入タイミング(先読み)、損切り</w:t>
            </w:r>
          </w:p>
        </w:tc>
      </w:tr>
      <w:tr>
        <w:tc>
          <w:p>
            <w:pPr>
              <w:pStyle w:val="Compact"/>
              <w:jc w:val="left"/>
            </w:pPr>
            <w:r>
              <w:t xml:space="preserve">is_under_supervision</w:t>
            </w:r>
          </w:p>
        </w:tc>
        <w:tc>
          <w:p>
            <w:pPr>
              <w:pStyle w:val="Compact"/>
              <w:jc w:val="left"/>
            </w:pPr>
            <w:r>
              <w:t xml:space="preserve">監理銘柄フラグ</w:t>
            </w:r>
          </w:p>
        </w:tc>
        <w:tc>
          <w:p>
            <w:pPr>
              <w:pStyle w:val="Compact"/>
              <w:jc w:val="left"/>
            </w:pPr>
            <w:r>
              <w:t xml:space="preserve">bool</w:t>
            </w:r>
          </w:p>
        </w:tc>
        <w:tc>
          <w:p>
            <w:pPr>
              <w:pStyle w:val="Compact"/>
              <w:jc w:val="left"/>
            </w:pPr>
            <w:r>
              <w:t xml:space="preserve">買入タイミング(先読み)、損切り</w:t>
            </w:r>
          </w:p>
        </w:tc>
      </w:tr>
      <w:tr>
        <w:tc>
          <w:p>
            <w:pPr>
              <w:pStyle w:val="Compact"/>
              <w:jc w:val="left"/>
            </w:pPr>
            <w:r>
              <w:t xml:space="preserve">drawdown_percent</w:t>
            </w:r>
          </w:p>
        </w:tc>
        <w:tc>
          <w:p>
            <w:pPr>
              <w:pStyle w:val="Compact"/>
              <w:jc w:val="left"/>
            </w:pPr>
            <w:r>
              <w:t xml:space="preserve">購入価格からの下落率(派生値)</w:t>
            </w:r>
          </w:p>
        </w:tc>
        <w:tc>
          <w:p>
            <w:pPr>
              <w:pStyle w:val="Compact"/>
              <w:jc w:val="left"/>
            </w:pPr>
            <w:r>
              <w:t xml:space="preserve">%</w:t>
            </w:r>
          </w:p>
        </w:tc>
        <w:tc>
          <w:p>
            <w:pPr>
              <w:pStyle w:val="Compact"/>
              <w:jc w:val="left"/>
            </w:pPr>
            <w:r>
              <w:t xml:space="preserve">損切り</w:t>
            </w:r>
          </w:p>
        </w:tc>
      </w:tr>
      <w:tr>
        <w:tc>
          <w:p>
            <w:pPr>
              <w:pStyle w:val="Compact"/>
              <w:jc w:val="left"/>
            </w:pPr>
            <w:r>
              <w:t xml:space="preserve">operating_profit_yoy</w:t>
            </w:r>
          </w:p>
        </w:tc>
        <w:tc>
          <w:p>
            <w:pPr>
              <w:pStyle w:val="Compact"/>
              <w:jc w:val="left"/>
            </w:pPr>
            <w:r>
              <w:t xml:space="preserve">営業利益前期比</w:t>
            </w:r>
          </w:p>
        </w:tc>
        <w:tc>
          <w:p>
            <w:pPr>
              <w:pStyle w:val="Compact"/>
              <w:jc w:val="left"/>
            </w:pPr>
            <w:r>
              <w:t xml:space="preserve">%</w:t>
            </w:r>
          </w:p>
        </w:tc>
        <w:tc>
          <w:p>
            <w:pPr>
              <w:pStyle w:val="Compact"/>
              <w:jc w:val="left"/>
            </w:pPr>
            <w:r>
              <w:t xml:space="preserve">買入タイミング(先読み)、損切り</w:t>
            </w:r>
          </w:p>
        </w:tc>
      </w:tr>
      <w:tr>
        <w:tc>
          <w:p>
            <w:pPr>
              <w:pStyle w:val="Compact"/>
              <w:jc w:val="left"/>
            </w:pPr>
            <w:r>
              <w:t xml:space="preserve">eps_growth</w:t>
            </w:r>
          </w:p>
        </w:tc>
        <w:tc>
          <w:p>
            <w:pPr>
              <w:pStyle w:val="Compact"/>
              <w:jc w:val="left"/>
            </w:pPr>
            <w:r>
              <w:t xml:space="preserve">EPS成長率</w:t>
            </w:r>
          </w:p>
        </w:tc>
        <w:tc>
          <w:p>
            <w:pPr>
              <w:pStyle w:val="Compact"/>
              <w:jc w:val="left"/>
            </w:pPr>
            <w:r>
              <w:t xml:space="preserve">%</w:t>
            </w:r>
          </w:p>
        </w:tc>
        <w:tc>
          <w:p>
            <w:pPr>
              <w:pStyle w:val="Compact"/>
              <w:jc w:val="left"/>
            </w:pPr>
            <w:r>
              <w:t xml:space="preserve">買入タイミング(先読み)、損切り</w:t>
            </w:r>
          </w:p>
        </w:tc>
      </w:tr>
      <w:tr>
        <w:tc>
          <w:p>
            <w:pPr>
              <w:pStyle w:val="Compact"/>
              <w:jc w:val="left"/>
            </w:pPr>
            <w:r>
              <w:t xml:space="preserve">score_diff</w:t>
            </w:r>
          </w:p>
        </w:tc>
        <w:tc>
          <w:p>
            <w:pPr>
              <w:pStyle w:val="Compact"/>
              <w:jc w:val="left"/>
            </w:pPr>
            <w:r>
              <w:t xml:space="preserve">購入時からのスコア変化(派生値)</w:t>
            </w:r>
          </w:p>
        </w:tc>
        <w:tc>
          <w:p>
            <w:pPr>
              <w:pStyle w:val="Compact"/>
              <w:jc w:val="left"/>
            </w:pPr>
            <w:r>
              <w:t xml:space="preserve">pt</w:t>
            </w:r>
          </w:p>
        </w:tc>
        <w:tc>
          <w:p>
            <w:pPr>
              <w:pStyle w:val="Compact"/>
              <w:jc w:val="left"/>
            </w:pPr>
            <w:r>
              <w:t xml:space="preserve">損切り</w:t>
            </w:r>
          </w:p>
        </w:tc>
      </w:tr>
      <w:tr>
        <w:tc>
          <w:p>
            <w:pPr>
              <w:pStyle w:val="Compact"/>
              <w:jc w:val="left"/>
            </w:pPr>
            <w:r>
              <w:t xml:space="preserve">hv</w:t>
            </w:r>
          </w:p>
        </w:tc>
        <w:tc>
          <w:p>
            <w:pPr>
              <w:pStyle w:val="Compact"/>
              <w:jc w:val="left"/>
            </w:pPr>
            <w:r>
              <w:t xml:space="preserve">ヒストリカルボラティリティ(HV)</w:t>
            </w:r>
          </w:p>
        </w:tc>
        <w:tc>
          <w:p>
            <w:pPr>
              <w:pStyle w:val="Compact"/>
              <w:jc w:val="left"/>
            </w:pPr>
            <w:r>
              <w:t xml:space="preserve">%</w:t>
            </w:r>
          </w:p>
        </w:tc>
        <w:tc>
          <w:p>
            <w:pPr>
              <w:pStyle w:val="Compact"/>
              <w:jc w:val="left"/>
            </w:pPr>
            <w:r>
              <w:t xml:space="preserve">損切り(HV倍率モードの基準)</w:t>
            </w:r>
          </w:p>
        </w:tc>
      </w:tr>
      <w:tr>
        <w:tc>
          <w:p>
            <w:pPr>
              <w:pStyle w:val="Compact"/>
              <w:jc w:val="left"/>
            </w:pPr>
            <w:r>
              <w:t xml:space="preserve">achievement_percent</w:t>
            </w:r>
          </w:p>
        </w:tc>
        <w:tc>
          <w:p>
            <w:pPr>
              <w:pStyle w:val="Compact"/>
              <w:jc w:val="left"/>
            </w:pPr>
            <w:r>
              <w:t xml:space="preserve">ターゲットプライス達成度(派生値)</w:t>
            </w:r>
          </w:p>
        </w:tc>
        <w:tc>
          <w:p>
            <w:pPr>
              <w:pStyle w:val="Compact"/>
              <w:jc w:val="left"/>
            </w:pPr>
            <w:r>
              <w:t xml:space="preserve">%</w:t>
            </w:r>
          </w:p>
        </w:tc>
        <w:tc>
          <w:p>
            <w:pPr>
              <w:pStyle w:val="Compact"/>
              <w:jc w:val="left"/>
            </w:pPr>
            <w:r>
              <w:t xml:space="preserve">利確</w:t>
            </w:r>
          </w:p>
        </w:tc>
      </w:tr>
      <w:tr>
        <w:tc>
          <w:p>
            <w:pPr>
              <w:pStyle w:val="Compact"/>
              <w:jc w:val="left"/>
            </w:pPr>
            <w:r>
              <w:t xml:space="preserve">forward_per</w:t>
            </w:r>
          </w:p>
        </w:tc>
        <w:tc>
          <w:p>
            <w:pPr>
              <w:pStyle w:val="Compact"/>
              <w:jc w:val="left"/>
            </w:pPr>
            <w:r>
              <w:t xml:space="preserve">PER(予想)</w:t>
            </w:r>
          </w:p>
        </w:tc>
        <w:tc>
          <w:p>
            <w:pPr>
              <w:pStyle w:val="Compact"/>
              <w:jc w:val="left"/>
            </w:pPr>
            <w:r>
              <w:t xml:space="preserve">倍</w:t>
            </w:r>
          </w:p>
        </w:tc>
        <w:tc>
          <w:p>
            <w:pPr>
              <w:pStyle w:val="Compact"/>
              <w:jc w:val="left"/>
            </w:pPr>
            <w:r>
              <w:t xml:space="preserve">利確</w:t>
            </w:r>
          </w:p>
        </w:tc>
      </w:tr>
      <w:tr>
        <w:tc>
          <w:p>
            <w:pPr>
              <w:pStyle w:val="Compact"/>
              <w:jc w:val="left"/>
            </w:pPr>
            <w:r>
              <w:t xml:space="preserve">is_trailing_stop_triggered</w:t>
            </w:r>
          </w:p>
        </w:tc>
        <w:tc>
          <w:p>
            <w:pPr>
              <w:pStyle w:val="Compact"/>
              <w:jc w:val="left"/>
            </w:pPr>
            <w:r>
              <w:t xml:space="preserve">トレイリングストップ発動(派生値)</w:t>
            </w:r>
          </w:p>
        </w:tc>
        <w:tc>
          <w:p>
            <w:pPr>
              <w:pStyle w:val="Compact"/>
              <w:jc w:val="left"/>
            </w:pPr>
            <w:r>
              <w:t xml:space="preserve">bool</w:t>
            </w:r>
          </w:p>
        </w:tc>
        <w:tc>
          <w:p>
            <w:pPr>
              <w:pStyle w:val="Compact"/>
              <w:jc w:val="left"/>
            </w:pPr>
            <w:r>
              <w:t xml:space="preserve">利確</w:t>
            </w:r>
          </w:p>
        </w:tc>
      </w:tr>
      <w:tr>
        <w:tc>
          <w:p>
            <w:pPr>
              <w:pStyle w:val="Compact"/>
              <w:jc w:val="left"/>
            </w:pPr>
            <w:r>
              <w:t xml:space="preserve">is_below_ma25</w:t>
            </w:r>
          </w:p>
        </w:tc>
        <w:tc>
          <w:p>
            <w:pPr>
              <w:pStyle w:val="Compact"/>
              <w:jc w:val="left"/>
            </w:pPr>
            <w:r>
              <w:t xml:space="preserve">MA25割れ(派生値)</w:t>
            </w:r>
          </w:p>
        </w:tc>
        <w:tc>
          <w:p>
            <w:pPr>
              <w:pStyle w:val="Compact"/>
              <w:jc w:val="left"/>
            </w:pPr>
            <w:r>
              <w:t xml:space="preserve">bool</w:t>
            </w:r>
          </w:p>
        </w:tc>
        <w:tc>
          <w:p>
            <w:pPr>
              <w:pStyle w:val="Compact"/>
              <w:jc w:val="left"/>
            </w:pPr>
            <w:r>
              <w:t xml:space="preserve">利確</w:t>
            </w:r>
          </w:p>
        </w:tc>
      </w:tr>
    </w:tbl>
    <w:p>
      <w:r>
        <w:pict>
          <v:rect style="width:0;height:1.5pt" o:hralign="center" o:hrstd="t" o:hr="t"/>
        </w:pict>
      </w:r>
    </w:p>
    <w:p>
      <w:pPr>
        <w:pStyle w:val="Heading3"/>
      </w:pPr>
      <w:bookmarkStart w:id="61" w:name="参照ソースコード"/>
      <w:r>
        <w:t xml:space="preserve">10. 参照ソースコード</w:t>
      </w:r>
      <w:bookmarkEnd w:id="61"/>
    </w:p>
    <w:p>
      <w:pPr>
        <w:numPr>
          <w:ilvl w:val="0"/>
          <w:numId w:val="1015"/>
        </w:numPr>
        <w:pStyle w:val="Compact"/>
      </w:pPr>
      <w:r>
        <w:rPr>
          <w:rStyle w:val="VerbatimChar"/>
        </w:rPr>
        <w:t xml:space="preserve">batch/scripts/nikkei225.py</w:t>
      </w:r>
      <w:r>
        <w:t xml:space="preserve"> </w:t>
      </w:r>
      <w:r>
        <w:t xml:space="preserve">— 日経225構成銘柄の取得</w:t>
      </w:r>
    </w:p>
    <w:p>
      <w:pPr>
        <w:numPr>
          <w:ilvl w:val="0"/>
          <w:numId w:val="1015"/>
        </w:numPr>
        <w:pStyle w:val="Compact"/>
      </w:pPr>
      <w:r>
        <w:rPr>
          <w:rStyle w:val="VerbatimChar"/>
        </w:rPr>
        <w:t xml:space="preserve">batch/scripts/target_symbols.py</w:t>
      </w:r>
      <w:r>
        <w:t xml:space="preserve"> </w:t>
      </w:r>
      <w:r>
        <w:t xml:space="preserve">— 対象銘柄群の解決</w:t>
      </w:r>
    </w:p>
    <w:p>
      <w:pPr>
        <w:numPr>
          <w:ilvl w:val="0"/>
          <w:numId w:val="1015"/>
        </w:numPr>
        <w:pStyle w:val="Compact"/>
      </w:pPr>
      <w:r>
        <w:rPr>
          <w:rStyle w:val="VerbatimChar"/>
        </w:rPr>
        <w:t xml:space="preserve">batch/scripts/screening_engine.py</w:t>
      </w:r>
      <w:r>
        <w:t xml:space="preserve"> </w:t>
      </w:r>
      <w:r>
        <w:t xml:space="preserve">— 候補スクリーニング(系統A)</w:t>
      </w:r>
    </w:p>
    <w:p>
      <w:pPr>
        <w:numPr>
          <w:ilvl w:val="0"/>
          <w:numId w:val="1015"/>
        </w:numPr>
        <w:pStyle w:val="Compact"/>
      </w:pPr>
      <w:r>
        <w:rPr>
          <w:rStyle w:val="VerbatimChar"/>
        </w:rPr>
        <w:t xml:space="preserve">batch/scripts/technical_screener.py</w:t>
      </w:r>
      <w:r>
        <w:t xml:space="preserve"> </w:t>
      </w:r>
      <w:r>
        <w:t xml:space="preserve">— テクニカルスコア計算・候補スクリーニング(系統B)</w:t>
      </w:r>
    </w:p>
    <w:p>
      <w:pPr>
        <w:numPr>
          <w:ilvl w:val="0"/>
          <w:numId w:val="1015"/>
        </w:numPr>
        <w:pStyle w:val="Compact"/>
      </w:pPr>
      <w:r>
        <w:rPr>
          <w:rStyle w:val="VerbatimChar"/>
        </w:rPr>
        <w:t xml:space="preserve">batch/scripts/technical_score_settings.py</w:t>
      </w:r>
      <w:r>
        <w:t xml:space="preserve"> </w:t>
      </w:r>
      <w:r>
        <w:t xml:space="preserve">— テクニカルスコア計算式の設定値管理</w:t>
      </w:r>
    </w:p>
    <w:p>
      <w:pPr>
        <w:numPr>
          <w:ilvl w:val="0"/>
          <w:numId w:val="1015"/>
        </w:numPr>
        <w:pStyle w:val="Compact"/>
      </w:pPr>
      <w:r>
        <w:rPr>
          <w:rStyle w:val="VerbatimChar"/>
        </w:rPr>
        <w:t xml:space="preserve">batch/scripts/trade_judgment_engine.py</w:t>
      </w:r>
      <w:r>
        <w:t xml:space="preserve"> </w:t>
      </w:r>
      <w:r>
        <w:t xml:space="preserve">— 買入タイミング・損切り・利確判定</w:t>
      </w:r>
    </w:p>
    <w:p>
      <w:pPr>
        <w:numPr>
          <w:ilvl w:val="0"/>
          <w:numId w:val="1015"/>
        </w:numPr>
        <w:pStyle w:val="Compact"/>
      </w:pPr>
      <w:r>
        <w:rPr>
          <w:rStyle w:val="VerbatimChar"/>
        </w:rPr>
        <w:t xml:space="preserve">batch/scripts/target_price.py</w:t>
      </w:r>
      <w:r>
        <w:t xml:space="preserve"> </w:t>
      </w:r>
      <w:r>
        <w:t xml:space="preserve">— ターゲットプライス算出</w:t>
      </w:r>
    </w:p>
    <w:p>
      <w:pPr>
        <w:numPr>
          <w:ilvl w:val="0"/>
          <w:numId w:val="1015"/>
        </w:numPr>
        <w:pStyle w:val="Compact"/>
      </w:pPr>
      <w:r>
        <w:rPr>
          <w:rStyle w:val="VerbatimChar"/>
        </w:rPr>
        <w:t xml:space="preserve">batch/scripts/trading_costs.py</w:t>
      </w:r>
      <w:r>
        <w:t xml:space="preserve"> </w:t>
      </w:r>
      <w:r>
        <w:t xml:space="preserve">— 手数料・税引後純損益の計算</w:t>
      </w:r>
    </w:p>
    <w:p>
      <w:pPr>
        <w:numPr>
          <w:ilvl w:val="0"/>
          <w:numId w:val="1015"/>
        </w:numPr>
        <w:pStyle w:val="Compact"/>
      </w:pPr>
      <w:r>
        <w:rPr>
          <w:rStyle w:val="VerbatimChar"/>
        </w:rPr>
        <w:t xml:space="preserve">batch/scripts/app_settings.py</w:t>
      </w:r>
      <w:r>
        <w:t xml:space="preserve"> </w:t>
      </w:r>
      <w:r>
        <w:t xml:space="preserve">— トレイリングストップ許容率等の共通設定</w:t>
      </w:r>
    </w:p>
    <w:p>
      <w:pPr>
        <w:numPr>
          <w:ilvl w:val="0"/>
          <w:numId w:val="1015"/>
        </w:numPr>
        <w:pStyle w:val="Compact"/>
      </w:pPr>
      <w:r>
        <w:rPr>
          <w:rStyle w:val="VerbatimChar"/>
        </w:rPr>
        <w:t xml:space="preserve">frontend/src/lib/tradeSignals.ts</w:t>
      </w:r>
      <w:r>
        <w:t xml:space="preserve"> </w:t>
      </w:r>
      <w:r>
        <w:t xml:space="preserve">— 統合判定の優先順位・表示ロジック</w:t>
      </w:r>
    </w:p>
    <w:p>
      <w:pPr>
        <w:numPr>
          <w:ilvl w:val="0"/>
          <w:numId w:val="1015"/>
        </w:numPr>
        <w:pStyle w:val="Compact"/>
      </w:pPr>
      <w:r>
        <w:rPr>
          <w:rStyle w:val="VerbatimChar"/>
        </w:rPr>
        <w:t xml:space="preserve">frontend/src/components/screening/RuleEditor.tsx</w:t>
      </w:r>
      <w:r>
        <w:t xml:space="preserve"> </w:t>
      </w:r>
      <w:r>
        <w:t xml:space="preserve">— 判定基準設定画面</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2026-08-15T01:54:16Z</dcterms:created>
  <dcterms:modified xsi:type="dcterms:W3CDTF">2026-08-15T01:54:16Z</dcterms:modified>
</cp:coreProperties>
</file>

<file path=docProps/custom.xml><?xml version="1.0" encoding="utf-8"?>
<Properties xmlns="http://schemas.openxmlformats.org/officeDocument/2006/custom-properties" xmlns:vt="http://schemas.openxmlformats.org/officeDocument/2006/docPropsVTypes"/>
</file>