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3DC527D" wp14:textId="77777777">
      <w:pPr>
        <w:pStyle w:val="Subtitle"/>
      </w:pPr>
      <w:r>
        <w:t>AVESTA Egypt</w:t>
      </w:r>
    </w:p>
    <w:p xmlns:wp14="http://schemas.microsoft.com/office/word/2010/wordml" w14:paraId="179D8E23" wp14:textId="77777777">
      <w:pPr>
        <w:pStyle w:val="Title"/>
      </w:pPr>
      <w:r>
        <w:t>Juice Shop Electricity and BESS Assessment</w:t>
      </w:r>
    </w:p>
    <w:p xmlns:wp14="http://schemas.microsoft.com/office/word/2010/wordml" w14:paraId="0492CDAE" wp14:textId="77777777">
      <w:r>
        <w:t>Engineering and Management  |  25 September 2026  |  Internal circulation</w:t>
      </w:r>
    </w:p>
    <w:p xmlns:wp14="http://schemas.microsoft.com/office/word/2010/wordml" w14:paraId="145C027D" wp14:textId="77777777">
      <w:pPr>
        <w:pStyle w:val="Heading1"/>
      </w:pPr>
      <w:r>
        <w:t>Executive assessment</w:t>
      </w:r>
    </w:p>
    <w:p xmlns:wp14="http://schemas.microsoft.com/office/word/2010/wordml" w14:paraId="6C622D33" wp14:textId="4B582596">
      <w:r w:rsidR="0A1949BB">
        <w:rPr/>
        <w:t xml:space="preserve">The receipt records 2,421 kWh and EGP 8,279 paid. The equipment </w:t>
      </w:r>
      <w:r w:rsidR="0A1949BB">
        <w:rPr/>
        <w:t>estimates</w:t>
      </w:r>
      <w:r w:rsidR="0A1949BB">
        <w:rPr/>
        <w:t xml:space="preserve"> totals 66.1 kWh/day, below the receipt-based 80.7 kWh/day planning baseline. Investigate this gap before final battery energy storage system (BESS) sizing. The 15–20 kW inverter and 80–120 kWh usable battery range </w:t>
      </w:r>
      <w:r w:rsidR="0A1949BB">
        <w:rPr/>
        <w:t>remains</w:t>
      </w:r>
      <w:r w:rsidR="0A1949BB">
        <w:rPr/>
        <w:t xml:space="preserve"> preliminary, pending measurement and an agreed backup </w:t>
      </w:r>
      <w:r w:rsidR="0A1949BB">
        <w:rPr/>
        <w:t>objective</w:t>
      </w:r>
      <w:r w:rsidR="0A1949BB">
        <w:rPr/>
        <w:t>.</w:t>
      </w:r>
    </w:p>
    <w:p xmlns:wp14="http://schemas.microsoft.com/office/word/2010/wordml" w14:paraId="0A0E9BF0" wp14:textId="77777777">
      <w:pPr>
        <w:pStyle w:val="Heading1"/>
      </w:pPr>
      <w:r>
        <w:t>Verified receipt figures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4608"/>
      </w:tblGrid>
      <w:tr xmlns:wp14="http://schemas.microsoft.com/office/word/2010/wordml" w14:paraId="1AB2EBDF" wp14:textId="77777777">
        <w:tc>
          <w:tcPr>
            <w:tcW w:w="53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6B18DC2C" wp14:textId="77777777">
            <w:pPr>
              <w:spacing w:after="0"/>
            </w:pPr>
            <w:r>
              <w:rPr>
                <w:b/>
                <w:sz w:val="20"/>
              </w:rPr>
              <w:t>Receipt item</w:t>
            </w:r>
          </w:p>
        </w:tc>
        <w:tc>
          <w:tcPr>
            <w:tcW w:w="460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0486258A" wp14:textId="77777777">
            <w:pPr>
              <w:spacing w:after="0"/>
            </w:pPr>
            <w:r>
              <w:rPr>
                <w:b/>
                <w:sz w:val="20"/>
              </w:rPr>
              <w:t>Verified value</w:t>
            </w:r>
          </w:p>
        </w:tc>
      </w:tr>
      <w:tr xmlns:wp14="http://schemas.microsoft.com/office/word/2010/wordml" w14:paraId="03D4E15D" wp14:textId="77777777">
        <w:tc>
          <w:tcPr>
            <w:tcW w:w="53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2919D" wp14:textId="77777777">
            <w:pPr>
              <w:spacing w:after="0"/>
            </w:pPr>
            <w:r>
              <w:rPr>
                <w:sz w:val="20"/>
              </w:rPr>
              <w:t>Billing reference and payment</w:t>
            </w:r>
          </w:p>
        </w:tc>
        <w:tc>
          <w:tcPr>
            <w:tcW w:w="460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33CE5" wp14:textId="77777777">
            <w:pPr>
              <w:spacing w:after="0"/>
            </w:pPr>
            <w:r>
              <w:rPr>
                <w:sz w:val="20"/>
              </w:rPr>
              <w:t>August 2026 | EGP 8,279</w:t>
            </w:r>
          </w:p>
        </w:tc>
      </w:tr>
      <w:tr xmlns:wp14="http://schemas.microsoft.com/office/word/2010/wordml" w14:paraId="146406FD" wp14:textId="77777777">
        <w:tc>
          <w:tcPr>
            <w:tcW w:w="53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703D4" wp14:textId="77777777">
            <w:pPr>
              <w:spacing w:after="0"/>
            </w:pPr>
            <w:r>
              <w:rPr>
                <w:sz w:val="20"/>
              </w:rPr>
              <w:t>Current and previous readings</w:t>
            </w:r>
          </w:p>
        </w:tc>
        <w:tc>
          <w:tcPr>
            <w:tcW w:w="460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7C3E7" wp14:textId="77777777">
            <w:pPr>
              <w:spacing w:after="0"/>
            </w:pPr>
            <w:r>
              <w:rPr>
                <w:sz w:val="20"/>
              </w:rPr>
              <w:t>312,070 kWh | 309,649 kWh</w:t>
            </w:r>
          </w:p>
        </w:tc>
      </w:tr>
      <w:tr xmlns:wp14="http://schemas.microsoft.com/office/word/2010/wordml" w14:paraId="58373587" wp14:textId="77777777">
        <w:tc>
          <w:tcPr>
            <w:tcW w:w="53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62509" wp14:textId="77777777">
            <w:pPr>
              <w:spacing w:after="0"/>
            </w:pPr>
            <w:r>
              <w:rPr>
                <w:sz w:val="20"/>
              </w:rPr>
              <w:t>Monthly consumption</w:t>
            </w:r>
          </w:p>
        </w:tc>
        <w:tc>
          <w:tcPr>
            <w:tcW w:w="460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21719" wp14:textId="77777777">
            <w:pPr>
              <w:spacing w:after="0"/>
            </w:pPr>
            <w:r>
              <w:rPr>
                <w:sz w:val="20"/>
              </w:rPr>
              <w:t>2,421 kWh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168FD2C2" wp14:textId="77777777">
      <w:r>
        <w:t>Meter check: 312,070 − 309,649 = 2,421 kWh. Average daily energy is approximately 80.7 kWh/day using a 30-day planning basis. August has 31 calendar days, which would give 78.1 kWh/day; confirm the actual meter-reading interval before final modelling.</w:t>
      </w:r>
    </w:p>
    <w:p xmlns:wp14="http://schemas.microsoft.com/office/word/2010/wordml" w14:paraId="58951A07" wp14:textId="77777777">
      <w:pPr>
        <w:pStyle w:val="Heading1"/>
      </w:pPr>
      <w:r>
        <w:t>Estimated equipment demand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576"/>
        <w:gridCol w:w="1584"/>
        <w:gridCol w:w="3168"/>
        <w:gridCol w:w="1296"/>
      </w:tblGrid>
      <w:tr xmlns:wp14="http://schemas.microsoft.com/office/word/2010/wordml" w14:paraId="3A3D6F4A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160B2EEB" wp14:textId="77777777">
            <w:pPr>
              <w:spacing w:after="0"/>
            </w:pPr>
            <w:r>
              <w:rPr>
                <w:b/>
                <w:sz w:val="20"/>
              </w:rPr>
              <w:t>Equipment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5F859C17" wp14:textId="77777777">
            <w:pPr>
              <w:spacing w:after="0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0E1D4871" wp14:textId="77777777">
            <w:pPr>
              <w:spacing w:after="0"/>
            </w:pPr>
            <w:r>
              <w:rPr>
                <w:b/>
                <w:sz w:val="20"/>
              </w:rPr>
              <w:t>Power per unit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3C51A525" wp14:textId="77777777">
            <w:pPr>
              <w:spacing w:after="0"/>
            </w:pPr>
            <w:r>
              <w:rPr>
                <w:b/>
                <w:sz w:val="20"/>
              </w:rPr>
              <w:t>Daily operation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38F8A71D" wp14:textId="77777777">
            <w:pPr>
              <w:spacing w:after="0"/>
            </w:pPr>
            <w:r>
              <w:rPr>
                <w:b/>
                <w:sz w:val="20"/>
              </w:rPr>
              <w:t>kWh/day</w:t>
            </w:r>
          </w:p>
        </w:tc>
      </w:tr>
      <w:tr xmlns:wp14="http://schemas.microsoft.com/office/word/2010/wordml" w14:paraId="40478034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99CE5" wp14:textId="77777777">
            <w:pPr>
              <w:spacing w:after="0"/>
            </w:pPr>
            <w:r>
              <w:rPr>
                <w:sz w:val="20"/>
              </w:rPr>
              <w:t>Coca-Cola single-door refrigerator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5EC4" wp14:textId="77777777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E7894" wp14:textId="77777777">
            <w:pPr>
              <w:spacing w:after="0"/>
            </w:pPr>
            <w:r>
              <w:rPr>
                <w:sz w:val="20"/>
              </w:rPr>
              <w:t>439 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A335" wp14:textId="77777777">
            <w:pPr>
              <w:spacing w:after="0"/>
            </w:pPr>
            <w:r>
              <w:rPr>
                <w:sz w:val="20"/>
              </w:rPr>
              <w:t>24 h with cycling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000CF" wp14:textId="77777777">
            <w:pPr>
              <w:spacing w:after="0"/>
            </w:pPr>
            <w:r>
              <w:rPr>
                <w:sz w:val="20"/>
              </w:rPr>
              <w:t>14.2</w:t>
            </w:r>
          </w:p>
        </w:tc>
      </w:tr>
      <w:tr xmlns:wp14="http://schemas.microsoft.com/office/word/2010/wordml" w14:paraId="71B1D643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0737E" wp14:textId="77777777">
            <w:pPr>
              <w:spacing w:after="0"/>
            </w:pPr>
            <w:r>
              <w:rPr>
                <w:sz w:val="20"/>
              </w:rPr>
              <w:t>Coca-Cola double-door refrigerator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999B5" wp14:textId="77777777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C4D28" wp14:textId="77777777">
            <w:pPr>
              <w:spacing w:after="0"/>
            </w:pPr>
            <w:r>
              <w:rPr>
                <w:sz w:val="20"/>
              </w:rPr>
              <w:t>645 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AE0C5" wp14:textId="77777777">
            <w:pPr>
              <w:spacing w:after="0"/>
            </w:pPr>
            <w:r>
              <w:rPr>
                <w:sz w:val="20"/>
              </w:rPr>
              <w:t>24 h with cycling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86C84" wp14:textId="77777777">
            <w:pPr>
              <w:spacing w:after="0"/>
            </w:pPr>
            <w:r>
              <w:rPr>
                <w:sz w:val="20"/>
              </w:rPr>
              <w:t>13.9</w:t>
            </w:r>
          </w:p>
        </w:tc>
      </w:tr>
      <w:tr xmlns:wp14="http://schemas.microsoft.com/office/word/2010/wordml" w14:paraId="018E2804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C625D" wp14:textId="77777777">
            <w:pPr>
              <w:spacing w:after="0"/>
            </w:pPr>
            <w:r>
              <w:rPr>
                <w:sz w:val="20"/>
              </w:rPr>
              <w:t>Ice-cream freezer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78152" wp14:textId="77777777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8086D" wp14:textId="77777777">
            <w:pPr>
              <w:spacing w:after="0"/>
            </w:pPr>
            <w:r>
              <w:rPr>
                <w:sz w:val="20"/>
              </w:rPr>
              <w:t>330 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12BFE" wp14:textId="77777777">
            <w:pPr>
              <w:spacing w:after="0"/>
            </w:pPr>
            <w:r>
              <w:rPr>
                <w:sz w:val="20"/>
              </w:rPr>
              <w:t>24 h with cycling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99221" wp14:textId="77777777">
            <w:pPr>
              <w:spacing w:after="0"/>
            </w:pPr>
            <w:r>
              <w:rPr>
                <w:sz w:val="20"/>
              </w:rPr>
              <w:t>14.3</w:t>
            </w:r>
          </w:p>
        </w:tc>
      </w:tr>
      <w:tr xmlns:wp14="http://schemas.microsoft.com/office/word/2010/wordml" w14:paraId="3E722545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F41E3" wp14:textId="77777777">
            <w:pPr>
              <w:spacing w:after="0"/>
            </w:pPr>
            <w:r>
              <w:rPr>
                <w:sz w:val="20"/>
              </w:rPr>
              <w:t>3-phase 3-roll sugarcane juicer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841BE" wp14:textId="77777777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6AE10" wp14:textId="77777777">
            <w:pPr>
              <w:spacing w:after="0"/>
            </w:pPr>
            <w:r>
              <w:rPr>
                <w:sz w:val="20"/>
              </w:rPr>
              <w:t>2.2 kW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82753" wp14:textId="77777777">
            <w:pPr>
              <w:spacing w:after="0"/>
            </w:pPr>
            <w:r>
              <w:rPr>
                <w:sz w:val="20"/>
              </w:rPr>
              <w:t>6 equivalent full-load h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902C6" wp14:textId="77777777">
            <w:pPr>
              <w:spacing w:after="0"/>
            </w:pPr>
            <w:r>
              <w:rPr>
                <w:sz w:val="20"/>
              </w:rPr>
              <w:t>13.2</w:t>
            </w:r>
          </w:p>
        </w:tc>
      </w:tr>
      <w:tr xmlns:wp14="http://schemas.microsoft.com/office/word/2010/wordml" w14:paraId="53E0F2F1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8BB23" wp14:textId="77777777">
            <w:pPr>
              <w:spacing w:after="0"/>
            </w:pPr>
            <w:r>
              <w:rPr>
                <w:sz w:val="20"/>
              </w:rPr>
              <w:t>LED lights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DD700" wp14:textId="77777777">
            <w:pPr>
              <w:spacing w:after="0"/>
            </w:pPr>
            <w:r>
              <w:rPr>
                <w:sz w:val="20"/>
              </w:rPr>
              <w:t>25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7C6AA" wp14:textId="77777777">
            <w:pPr>
              <w:spacing w:after="0"/>
            </w:pPr>
            <w:r>
              <w:rPr>
                <w:sz w:val="20"/>
              </w:rPr>
              <w:t>12 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E37C8" wp14:textId="77777777">
            <w:pPr>
              <w:spacing w:after="0"/>
            </w:pPr>
            <w:r>
              <w:rPr>
                <w:sz w:val="20"/>
              </w:rPr>
              <w:t>15 h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0E7C1" wp14:textId="77777777">
            <w:pPr>
              <w:spacing w:after="0"/>
            </w:pPr>
            <w:r>
              <w:rPr>
                <w:sz w:val="20"/>
              </w:rPr>
              <w:t>4.5</w:t>
            </w:r>
          </w:p>
        </w:tc>
      </w:tr>
      <w:tr xmlns:wp14="http://schemas.microsoft.com/office/word/2010/wordml" w14:paraId="368B7C19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AA6C2" wp14:textId="77777777">
            <w:pPr>
              <w:spacing w:after="0"/>
            </w:pPr>
            <w:r>
              <w:rPr>
                <w:sz w:val="20"/>
              </w:rPr>
              <w:t>Commercial blender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20A0C" wp14:textId="77777777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07881" wp14:textId="77777777">
            <w:pPr>
              <w:spacing w:after="0"/>
            </w:pPr>
            <w:r>
              <w:rPr>
                <w:sz w:val="20"/>
              </w:rPr>
              <w:t>1.5 kW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4D286" wp14:textId="77777777">
            <w:pPr>
              <w:spacing w:after="0"/>
            </w:pPr>
            <w:r>
              <w:rPr>
                <w:sz w:val="20"/>
              </w:rPr>
              <w:t>2 equivalent full-load h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B0249" wp14:textId="77777777">
            <w:pPr>
              <w:spacing w:after="0"/>
            </w:pPr>
            <w:r>
              <w:rPr>
                <w:sz w:val="20"/>
              </w:rPr>
              <w:t>3.0</w:t>
            </w:r>
          </w:p>
        </w:tc>
      </w:tr>
      <w:tr xmlns:wp14="http://schemas.microsoft.com/office/word/2010/wordml" w14:paraId="231C9FFB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5B0DA" wp14:textId="77777777">
            <w:pPr>
              <w:spacing w:after="0"/>
            </w:pPr>
            <w:r>
              <w:rPr>
                <w:sz w:val="20"/>
              </w:rPr>
              <w:t>Carrot juicer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FAAB8" wp14:textId="77777777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32C5C" wp14:textId="77777777">
            <w:pPr>
              <w:spacing w:after="0"/>
            </w:pPr>
            <w:r>
              <w:rPr>
                <w:sz w:val="20"/>
              </w:rPr>
              <w:t>0.75 kW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2F375" wp14:textId="77777777">
            <w:pPr>
              <w:spacing w:after="0"/>
            </w:pPr>
            <w:r>
              <w:rPr>
                <w:sz w:val="20"/>
              </w:rPr>
              <w:t>2 equivalent full-load h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64F70" wp14:textId="77777777">
            <w:pPr>
              <w:spacing w:after="0"/>
            </w:pPr>
            <w:r>
              <w:rPr>
                <w:sz w:val="20"/>
              </w:rPr>
              <w:t>1.5</w:t>
            </w:r>
          </w:p>
        </w:tc>
      </w:tr>
      <w:tr xmlns:wp14="http://schemas.microsoft.com/office/word/2010/wordml" w14:paraId="329F031F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C9029" wp14:textId="77777777">
            <w:pPr>
              <w:spacing w:after="0"/>
            </w:pPr>
            <w:r>
              <w:rPr>
                <w:sz w:val="20"/>
              </w:rPr>
              <w:t>Ice crusher / ice shaver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14E3C" wp14:textId="77777777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140CE" wp14:textId="77777777">
            <w:pPr>
              <w:spacing w:after="0"/>
            </w:pPr>
            <w:r>
              <w:rPr>
                <w:sz w:val="20"/>
              </w:rPr>
              <w:t>0.5 kW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C680D" wp14:textId="77777777">
            <w:pPr>
              <w:spacing w:after="0"/>
            </w:pPr>
            <w:r>
              <w:rPr>
                <w:sz w:val="20"/>
              </w:rPr>
              <w:t>3 equivalent full-load h</w:t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A48B2" wp14:textId="77777777">
            <w:pPr>
              <w:spacing w:after="0"/>
            </w:pPr>
            <w:r>
              <w:rPr>
                <w:sz w:val="20"/>
              </w:rPr>
              <w:t>1.5</w:t>
            </w:r>
          </w:p>
        </w:tc>
      </w:tr>
      <w:tr xmlns:wp14="http://schemas.microsoft.com/office/word/2010/wordml" w14:paraId="5699D481" wp14:textId="77777777">
        <w:tc>
          <w:tcPr>
            <w:tcW w:w="331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E0C09" wp14:textId="77777777">
            <w:pPr>
              <w:spacing w:after="0"/>
            </w:pPr>
            <w:r>
              <w:rPr>
                <w:sz w:val="20"/>
              </w:rPr>
              <w:t>Total</w:t>
            </w:r>
          </w:p>
        </w:tc>
        <w:tc>
          <w:tcPr>
            <w:tcW w:w="5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7501D" wp14:textId="77777777"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w="15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0E0A0" wp14:textId="77777777">
            <w:pPr>
              <w:spacing w:after="0"/>
            </w:pPr>
            <w:r>
              <w:rPr>
                <w:sz w:val="20"/>
              </w:rPr>
              <w:t>8.85 kW connected</w:t>
            </w:r>
          </w:p>
        </w:tc>
        <w:tc>
          <w:tcPr>
            <w:tcW w:w="31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B6C7B" wp14:textId="77777777"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w="129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5DCF3" wp14:textId="77777777">
            <w:pPr>
              <w:spacing w:after="0"/>
            </w:pPr>
            <w:r>
              <w:rPr>
                <w:sz w:val="20"/>
              </w:rPr>
              <w:t>66.1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0A4C21F6" wp14:textId="74253679">
      <w:r w:rsidR="0A1949BB">
        <w:rPr/>
        <w:t xml:space="preserve">All equipment powers and operating patterns are estimates, not measured ratings. Refrigeration energy implies approximately 45% </w:t>
      </w:r>
      <w:r w:rsidR="0A1949BB">
        <w:rPr/>
        <w:t>of compressor</w:t>
      </w:r>
      <w:r w:rsidR="0A1949BB">
        <w:rPr/>
        <w:t xml:space="preserve"> duty for the refrigerators and 60% for the freezers. Confirm whether the juicer rating is electrical input or motor shaft output.</w:t>
      </w:r>
    </w:p>
    <w:p xmlns:wp14="http://schemas.microsoft.com/office/word/2010/wordml" w14:paraId="73F6DC25" wp14:textId="19ACFBA1">
      <w:r w:rsidR="0A1949BB">
        <w:rPr/>
        <w:t xml:space="preserve">Reconciliation: 66.1 × 30 = 1,983 kWh/month, leaving 438 kWh/month (14.6 kWh/day), or 18.1% of </w:t>
      </w:r>
      <w:r w:rsidR="0A1949BB">
        <w:rPr/>
        <w:t>receipt of</w:t>
      </w:r>
      <w:r w:rsidR="0A1949BB">
        <w:rPr/>
        <w:t xml:space="preserve"> consumption, unexplained by the estimate. Higher compressor duty, longer use, omitted loads or rating differences are </w:t>
      </w:r>
      <w:r w:rsidR="0A1949BB">
        <w:rPr/>
        <w:t>possible explanations</w:t>
      </w:r>
      <w:r w:rsidR="0A1949BB">
        <w:rPr/>
        <w:t xml:space="preserve">, not </w:t>
      </w:r>
      <w:r w:rsidR="0A1949BB">
        <w:rPr/>
        <w:t>established</w:t>
      </w:r>
      <w:r w:rsidR="0A1949BB">
        <w:rPr/>
        <w:t xml:space="preserve"> findings. Use measured total energy as the baseline while investigating the gap.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52336A55" wp14:textId="77777777">
      <w:pPr>
        <w:pStyle w:val="Heading1"/>
      </w:pPr>
      <w:r>
        <w:t>Engineering interpretation</w:t>
      </w:r>
    </w:p>
    <w:p xmlns:wp14="http://schemas.microsoft.com/office/word/2010/wordml" w14:paraId="3734F969" wp14:textId="40BEF118">
      <w:r w:rsidR="0A1949BB">
        <w:rPr/>
        <w:t xml:space="preserve">Monthly kWh is energy, not peak kW. Using 80.7 kWh/day, equivalent average operating loads are 6.7 kW at 12 hours/day, 5.8 kW at 14 hours, 5.0 kW at 16 </w:t>
      </w:r>
      <w:r w:rsidR="0A1949BB">
        <w:rPr/>
        <w:t>hours,</w:t>
      </w:r>
      <w:r w:rsidR="0A1949BB">
        <w:rPr/>
        <w:t xml:space="preserve"> and 4.5 kW at 18 hours. These </w:t>
      </w:r>
      <w:r w:rsidR="0A1949BB">
        <w:rPr/>
        <w:t>allocate</w:t>
      </w:r>
      <w:r w:rsidR="0A1949BB">
        <w:rPr/>
        <w:t xml:space="preserve"> all daily energy to opening hours; refrigeration runs overnight, so they are not measuring opening-hour averages. The estimated 8.85 kW connected load is neither measured peak demand nor motor-start surge.</w:t>
      </w:r>
    </w:p>
    <w:p xmlns:wp14="http://schemas.microsoft.com/office/word/2010/wordml" w14:paraId="4F10685D" wp14:textId="77777777">
      <w:pPr>
        <w:pStyle w:val="Heading1"/>
      </w:pPr>
      <w:r>
        <w:t>Preliminary BESS sizing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xmlns:wp14="http://schemas.microsoft.com/office/word/2010/wordml" w14:paraId="4BF767A5" wp14:textId="77777777">
        <w:tc>
          <w:tcPr>
            <w:tcW w:w="3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1471D45A" wp14:textId="77777777">
            <w:pPr>
              <w:spacing w:after="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633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 w14:paraId="7CCB87B3" wp14:textId="77777777">
            <w:pPr>
              <w:spacing w:after="0"/>
            </w:pPr>
            <w:r>
              <w:rPr>
                <w:b/>
                <w:sz w:val="20"/>
              </w:rPr>
              <w:t>Preliminary engineering review range</w:t>
            </w:r>
          </w:p>
        </w:tc>
      </w:tr>
      <w:tr xmlns:wp14="http://schemas.microsoft.com/office/word/2010/wordml" w14:paraId="0BE45911" wp14:textId="77777777">
        <w:tc>
          <w:tcPr>
            <w:tcW w:w="3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A430E" wp14:textId="77777777">
            <w:pPr>
              <w:spacing w:after="0"/>
            </w:pPr>
            <w:r>
              <w:rPr>
                <w:sz w:val="20"/>
              </w:rPr>
              <w:t>Inverter continuous output</w:t>
            </w:r>
          </w:p>
        </w:tc>
        <w:tc>
          <w:tcPr>
            <w:tcW w:w="633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51A28" wp14:textId="77777777">
            <w:pPr>
              <w:spacing w:after="0"/>
            </w:pPr>
            <w:r>
              <w:rPr>
                <w:sz w:val="20"/>
              </w:rPr>
              <w:t>Approximately 15–20 kW</w:t>
            </w:r>
          </w:p>
        </w:tc>
      </w:tr>
      <w:tr xmlns:wp14="http://schemas.microsoft.com/office/word/2010/wordml" w14:paraId="6427D022" wp14:textId="77777777">
        <w:tc>
          <w:tcPr>
            <w:tcW w:w="3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91EEB" wp14:textId="77777777">
            <w:pPr>
              <w:spacing w:after="0"/>
            </w:pPr>
            <w:r>
              <w:rPr>
                <w:sz w:val="20"/>
              </w:rPr>
              <w:t>Battery usable energy</w:t>
            </w:r>
          </w:p>
        </w:tc>
        <w:tc>
          <w:tcPr>
            <w:tcW w:w="633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1A2E5" wp14:textId="77777777">
            <w:pPr>
              <w:spacing w:after="0"/>
            </w:pPr>
            <w:r>
              <w:rPr>
                <w:sz w:val="20"/>
              </w:rPr>
              <w:t>Approximately 80–120 kWh</w:t>
            </w:r>
          </w:p>
        </w:tc>
      </w:tr>
    </w:tbl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050218E3" wp14:textId="37732BAC">
      <w:r w:rsidR="0A1949BB">
        <w:rPr/>
        <w:t xml:space="preserve">These are screening assumptions, not </w:t>
      </w:r>
      <w:r w:rsidR="0A1949BB">
        <w:rPr/>
        <w:t>validated specifications</w:t>
      </w:r>
      <w:r w:rsidR="0A1949BB">
        <w:rPr/>
        <w:t xml:space="preserve">. The 15–20 kW inverter range exceeds the estimated 8.85 kW connected load and may be conservative; it is not justified by the receipt alone. </w:t>
      </w:r>
      <w:r w:rsidR="0A1949BB">
        <w:rPr/>
        <w:t>Check measured kW/kVA, power factor, phase balance and compressor/motor starting currents and durations.</w:t>
      </w:r>
      <w:r w:rsidR="0A1949BB">
        <w:rPr/>
        <w:t xml:space="preserve"> Confirm three-phase backup compatibility for the sugarcane juicer and surge capability at site temperature.</w:t>
      </w:r>
    </w:p>
    <w:p xmlns:wp14="http://schemas.microsoft.com/office/word/2010/wordml" w14:paraId="28F8CB3F" wp14:textId="77777777">
      <w:r>
        <w:t>The usable battery range is approximately 1.0–1.5 times planning daily energy. At a constant 5 kW, it represents 16–24 hours before inverter losses, auxiliary consumption and additional reserve, not guaranteed whole-shop autonomy. Specify usable versus nameplate capacity and account for discharge limits, ageing and temperature.</w:t>
      </w:r>
    </w:p>
    <w:p xmlns:wp14="http://schemas.microsoft.com/office/word/2010/wordml" w14:paraId="3A7DF02F" wp14:textId="77777777">
      <w:r>
        <w:t>For backup, size energy against the critical-load profile and required outage duration. For peak shaving, size against the energy above the chosen grid-demand limit; a smaller battery may suffice. Confirm recharge capacity and time between events. Backup reserve reduces capacity available for tariff optimization, so the same stored energy cannot be counted twice.</w:t>
      </w:r>
    </w:p>
    <w:p xmlns:wp14="http://schemas.microsoft.com/office/word/2010/wordml" w14:paraId="3FB71C61" wp14:textId="77777777">
      <w:pPr>
        <w:pStyle w:val="Heading1"/>
      </w:pPr>
      <w:r>
        <w:t>Management implications</w:t>
      </w:r>
    </w:p>
    <w:p xmlns:wp14="http://schemas.microsoft.com/office/word/2010/wordml" w14:paraId="66F5979E" wp14:textId="77777777">
      <w:r>
        <w:t>The observed baseline is EGP 8,279 paid for 2,421 kWh. The payment receipt has no detailed charge line items; it cannot confirm the applicable unit tariff, demand charges, time-of-use pricing or any surcharge. Obtain the detailed invoice before attributing charges or forecasting savings.</w:t>
      </w:r>
    </w:p>
    <w:p xmlns:wp14="http://schemas.microsoft.com/office/word/2010/wordml" w14:paraId="0C460C50" wp14:textId="77777777">
      <w:r w:rsidR="0A1949BB">
        <w:rPr/>
        <w:t>Evaluate three objectives: peak shaving to reduce grid peaks where operationally or financially valuable; backup to protect refrigeration and continuity of service; and tariff optimization where verified price differences or solar self-consumption create value. A battery does not generate energy, and grid charging adds losses. Bill reduction and payback are therefore unproven at this stage.</w:t>
      </w:r>
    </w:p>
    <w:p xmlns:wp14="http://schemas.microsoft.com/office/word/2010/wordml" w14:paraId="1E825ABF" wp14:textId="77777777">
      <w:r>
        <w:rPr>
          <w:sz w:val="16"/>
        </w:rPr>
        <w:t>Basis: August 2026 payment receipt and reported equipment inventory. Method reference: NREL System Advisor Model, Battery Storage — https://sam.nrel.gov/index.php?Itemid=360&amp;id=94&amp;option=com_content&amp;view=article</w:t>
      </w:r>
    </w:p>
    <w:sectPr w:rsidRPr="0006063C" w:rsidR="00FC693F" w:rsidSect="00034616">
      <w:pgSz w:w="11952" w:h="16848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949BB"/>
    <w:rsid w:val="2D56C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DA0492F-7E01-408C-A408-7F7548AEA4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Calibri" w:hAnsi="Calibri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Juice Shop Electricity and BESS Assessment</dc:title>
  <dc:subject/>
  <dc:creator>AVESTA Egypt</dc:creator>
  <keywords/>
  <dc:description>generated by python-docx</dc:description>
  <lastModifiedBy>Abdelrahman Abdelkader (Avesta Egypt)</lastModifiedBy>
  <revision>2</revision>
  <dcterms:created xsi:type="dcterms:W3CDTF">2013-12-23T23:15:00.0000000Z</dcterms:created>
  <dcterms:modified xsi:type="dcterms:W3CDTF">2026-09-25T08:58:42.5411223Z</dcterms:modified>
  <category/>
</coreProperties>
</file>