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7606a"/>
          <w:sz w:val="15"/>
          <w:szCs w:val="15"/>
        </w:rPr>
        <w:t xml:space="preserve">TECHNICAL DOCUMENTATION · DIAGIOT PLATFORM</w:t>
      </w:r>
    </w:p>
    <w:p>
      <w:pPr>
        <w:pStyle w:val="Title"/>
        <w:spacing w:after="60"/>
      </w:pPr>
      <w:r>
        <w:t xml:space="preserve">IBM Bob Utilization Statement &amp; Task Report</w:t>
      </w:r>
    </w:p>
    <w:p>
      <w:pPr>
        <w:spacing w:after="160"/>
      </w:pPr>
      <w:r>
        <w:rPr>
          <w:color w:val="57606a"/>
          <w:sz w:val="20"/>
          <w:szCs w:val="20"/>
        </w:rPr>
        <w:t xml:space="preserve">How IBM Bob was used to design, plan, and build the DiagIoT MVP</w:t>
      </w:r>
    </w:p>
    <w:p>
      <w:pPr>
        <w:spacing w:after="200"/>
      </w:pPr>
      <w:r>
        <w:rPr>
          <w:b/>
          <w:bCs/>
          <w:sz w:val="16"/>
          <w:szCs w:val="16"/>
        </w:rPr>
        <w:t xml:space="preserve">Document version: </w:t>
      </w:r>
      <w:r>
        <w:rPr>
          <w:sz w:val="16"/>
          <w:szCs w:val="16"/>
        </w:rPr>
        <w:t xml:space="preserve">1.0    </w:t>
      </w:r>
      <w:r>
        <w:rPr>
          <w:b/>
          <w:bCs/>
          <w:sz w:val="16"/>
          <w:szCs w:val="16"/>
        </w:rPr>
        <w:t xml:space="preserve">Platform version: </w:t>
      </w:r>
      <w:r>
        <w:rPr>
          <w:sz w:val="16"/>
          <w:szCs w:val="16"/>
        </w:rPr>
        <w:t xml:space="preserve">DiagIoT v1.0 MVP    </w:t>
      </w:r>
      <w:r>
        <w:rPr>
          <w:b/>
          <w:bCs/>
          <w:sz w:val="16"/>
          <w:szCs w:val="16"/>
        </w:rPr>
        <w:t xml:space="preserve">Date: </w:t>
      </w:r>
      <w:r>
        <w:rPr>
          <w:sz w:val="16"/>
          <w:szCs w:val="16"/>
        </w:rPr>
        <w:t xml:space="preserve">2026    </w:t>
      </w:r>
      <w:r>
        <w:rPr>
          <w:b/>
          <w:bCs/>
          <w:sz w:val="16"/>
          <w:szCs w:val="16"/>
        </w:rPr>
        <w:t xml:space="preserve">Status: </w:t>
      </w:r>
      <w:r>
        <w:rPr>
          <w:sz w:val="16"/>
          <w:szCs w:val="16"/>
        </w:rPr>
        <w:t xml:space="preserve">Final</w:t>
      </w:r>
    </w:p>
    <w:p>
      <w:pPr>
        <w:pBdr>
          <w:bottom w:val="single" w:color="e5e7eb" w:sz="6"/>
        </w:pBdr>
        <w:spacing w:after="200" w:before="200"/>
      </w:pPr>
    </w:p>
    <w:tbl>
      <w:tblPr>
        <w:tblW w:type="pct" w:w="100%"/>
        <w:tblBorders>
          <w:top w:val="none" w:color="FFFFFF" w:sz="0"/>
          <w:left w:val="single" w:color="0f1117" w:sz="24"/>
          <w:bottom w:val="none" w:color="FFFFFF" w:sz="0"/>
          <w:right w:val="none" w:color="FFFFFF" w:sz="0"/>
          <w:insideH w:val="none" w:color="FFFFFF" w:sz="0"/>
          <w:insideV w:val="none" w:color="FFFFFF" w:sz="0"/>
        </w:tblBorders>
      </w:tblPr>
      <w:tblGrid>
        <w:gridCol w:w="100"/>
      </w:tblGrid>
      <w:tr>
        <w:tc>
          <w:tcPr>
            <w:shd w:fill="0f1117" w:val="clear"/>
            <w:tcMar>
              <w:top w:type="dxa" w:w="150"/>
              <w:left w:type="dxa" w:w="200"/>
              <w:bottom w:type="dxa" w:w="150"/>
              <w:right w:type="dxa" w:w="200"/>
            </w:tcMar>
          </w:tcPr>
          <w:p>
            <w:pPr>
              <w:spacing w:after="20"/>
            </w:pPr>
            <w:r>
              <w:rPr>
                <w:b/>
                <w:bCs/>
                <w:color w:val="FFFFFF"/>
                <w:sz w:val="22"/>
                <w:szCs w:val="22"/>
              </w:rPr>
              <w:t xml:space="preserve">IBM Bob — AI Coding Partner</w:t>
            </w:r>
          </w:p>
          <w:p>
            <w:r>
              <w:rPr>
                <w:color w:val="b8bcd0"/>
                <w:sz w:val="16"/>
                <w:szCs w:val="16"/>
              </w:rPr>
              <w:t xml:space="preserve">IDE-integrated agent · Plan · Agent · Ask modes · Workspace-scoped project rules · MCP tool access</w:t>
            </w:r>
          </w:p>
        </w:tc>
      </w:tr>
    </w:tbl>
    <w:p>
      <w:pPr>
        <w:spacing w:after="200"/>
      </w:pPr>
    </w:p>
    <w:p>
      <w:pPr>
        <w:shd w:fill="3b82d4" w:val="clear"/>
        <w:spacing w:after="120" w:before="200"/>
      </w:pPr>
      <w:r>
        <w:rPr>
          <w:rFonts w:ascii="Calibri" w:cs="Calibri" w:eastAsia="Calibri" w:hAnsi="Calibri"/>
          <w:b/>
          <w:bCs/>
          <w:color w:val="FFFFFF"/>
          <w:sz w:val="15"/>
          <w:szCs w:val="15"/>
        </w:rPr>
        <w:t xml:space="preserve">  OVERVIEW  </w:t>
      </w:r>
    </w:p>
    <w:p>
      <w:pPr>
        <w:pStyle w:val="Heading1"/>
        <w:spacing w:after="100"/>
      </w:pPr>
      <w:r>
        <w:t xml:space="preserve">Role of IBM Bob in the DiagIoT Project</w:t>
      </w:r>
    </w:p>
    <w:p>
      <w:pPr>
        <w:spacing w:after="160"/>
      </w:pPr>
      <w:r>
        <w:t xml:space="preserve">IBM Bob served as the primary AI coding partner and technical co-author across every phase of the DiagIoT MVP build — from initial system design and sprint planning through full-stack implementation, documentation authoring, and integration verification. Bob operated within the d:\Git\diagiot workspace with an active project-scoped guardrail file (AGENTS.md) that Bob itself authored, defining the MVP scope, entity schemas, drift-score formulae, and an explicit out-of-scope list to prevent scope creep across all sessions.</w:t>
      </w:r>
    </w:p>
    <w:p>
      <w:pPr>
        <w:spacing w:after="160"/>
      </w:pPr>
      <w:r>
        <w:t xml:space="preserve">Bob was engaged across three distinct operational modes, each suited to a different category of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f7f8fa" w:val="clear"/>
            <w:tcMar>
              <w:top w:type="dxa" w:w="150"/>
              <w:left w:type="dxa" w:w="150"/>
              <w:bottom w:type="dxa" w:w="150"/>
              <w:right w:type="dxa" w:w="150"/>
            </w:tcMar>
          </w:tcPr>
          <w:p>
            <w:pPr>
              <w:spacing w:after="60"/>
            </w:pPr>
            <w:r>
              <w:rPr>
                <w:b/>
                <w:bCs/>
                <w:sz w:val="20"/>
                <w:szCs w:val="20"/>
              </w:rPr>
              <w:t xml:space="preserve">Plan Mode</w:t>
            </w:r>
          </w:p>
          <w:p>
            <w:r>
              <w:rPr>
                <w:color w:val="57606a"/>
                <w:sz w:val="18"/>
                <w:szCs w:val="18"/>
              </w:rPr>
              <w:t xml:space="preserve">Architecture decisions, sprint planning, scope triage, dependency mapping. Used when the question was "what to build and in what order."</w:t>
            </w:r>
          </w:p>
        </w:tc>
        <w:tc>
          <w:tcPr>
            <w:tcW w:type="dxa" w:w="3120"/>
            <w:tcBorders>
              <w:top w:val="single" w:color="e5e7eb" w:sz="4"/>
              <w:left w:val="single" w:color="e5e7eb" w:sz="4"/>
              <w:bottom w:val="single" w:color="e5e7eb" w:sz="4"/>
              <w:right w:val="single" w:color="e5e7eb" w:sz="4"/>
            </w:tcBorders>
            <w:shd w:fill="f7f8fa" w:val="clear"/>
            <w:tcMar>
              <w:top w:type="dxa" w:w="150"/>
              <w:left w:type="dxa" w:w="150"/>
              <w:bottom w:type="dxa" w:w="150"/>
              <w:right w:type="dxa" w:w="150"/>
            </w:tcMar>
          </w:tcPr>
          <w:p>
            <w:pPr>
              <w:spacing w:after="60"/>
            </w:pPr>
            <w:r>
              <w:rPr>
                <w:b/>
                <w:bCs/>
                <w:sz w:val="20"/>
                <w:szCs w:val="20"/>
              </w:rPr>
              <w:t xml:space="preserve">Agent Mode</w:t>
            </w:r>
          </w:p>
          <w:p>
            <w:r>
              <w:rPr>
                <w:color w:val="57606a"/>
                <w:sz w:val="18"/>
                <w:szCs w:val="18"/>
              </w:rPr>
              <w:t xml:space="preserve">Code generation, file editing, and implementation. Used for every backend module, frontend screen, CLI command, and integration adapter.</w:t>
            </w:r>
          </w:p>
        </w:tc>
        <w:tc>
          <w:tcPr>
            <w:tcW w:type="dxa" w:w="3120"/>
            <w:tcBorders>
              <w:top w:val="single" w:color="e5e7eb" w:sz="4"/>
              <w:left w:val="single" w:color="e5e7eb" w:sz="4"/>
              <w:bottom w:val="single" w:color="e5e7eb" w:sz="4"/>
              <w:right w:val="single" w:color="e5e7eb" w:sz="4"/>
            </w:tcBorders>
            <w:shd w:fill="f7f8fa" w:val="clear"/>
            <w:tcMar>
              <w:top w:type="dxa" w:w="150"/>
              <w:left w:type="dxa" w:w="150"/>
              <w:bottom w:type="dxa" w:w="150"/>
              <w:right w:type="dxa" w:w="150"/>
            </w:tcMar>
          </w:tcPr>
          <w:p>
            <w:pPr>
              <w:spacing w:after="60"/>
            </w:pPr>
            <w:r>
              <w:rPr>
                <w:b/>
                <w:bCs/>
                <w:sz w:val="20"/>
                <w:szCs w:val="20"/>
              </w:rPr>
              <w:t xml:space="preserve">Ask Mode</w:t>
            </w:r>
          </w:p>
          <w:p>
            <w:r>
              <w:rPr>
                <w:color w:val="57606a"/>
                <w:sz w:val="18"/>
                <w:szCs w:val="18"/>
              </w:rPr>
              <w:t xml:space="preserve">Technical explanations, schema review, API shape verification, formula justification. Read-only queries against the live codebase.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4"/>
              <w:left w:val="single" w:color="e5e7eb" w:sz="4"/>
              <w:bottom w:val="single" w:color="e5e7eb" w:sz="4"/>
              <w:right w:val="single" w:color="e5e7eb" w:sz="4"/>
            </w:tcBorders>
            <w:shd w:fill="f7f8fa" w:val="clear"/>
            <w:tcMar>
              <w:top w:type="dxa" w:w="150"/>
              <w:left w:type="dxa" w:w="100"/>
              <w:bottom w:type="dxa" w:w="150"/>
              <w:right w:type="dxa" w:w="100"/>
            </w:tcMar>
          </w:tcPr>
          <w:p>
            <w:pPr>
              <w:spacing w:after="40"/>
              <w:jc w:val="center"/>
            </w:pPr>
            <w:r>
              <w:rPr>
                <w:b/>
                <w:bCs/>
                <w:color w:val="3b82d4"/>
                <w:sz w:val="36"/>
                <w:szCs w:val="36"/>
              </w:rPr>
              <w:t xml:space="preserve">14</w:t>
            </w:r>
          </w:p>
          <w:p>
            <w:pPr>
              <w:jc w:val="center"/>
            </w:pPr>
            <w:r>
              <w:rPr>
                <w:color w:val="57606a"/>
                <w:sz w:val="15"/>
                <w:szCs w:val="15"/>
              </w:rPr>
              <w:t xml:space="preserve">Documented task areas</w:t>
            </w:r>
          </w:p>
        </w:tc>
        <w:tc>
          <w:tcPr>
            <w:tcW w:type="dxa" w:w="2340"/>
            <w:tcBorders>
              <w:top w:val="single" w:color="e5e7eb" w:sz="4"/>
              <w:left w:val="single" w:color="e5e7eb" w:sz="4"/>
              <w:bottom w:val="single" w:color="e5e7eb" w:sz="4"/>
              <w:right w:val="single" w:color="e5e7eb" w:sz="4"/>
            </w:tcBorders>
            <w:shd w:fill="f7f8fa" w:val="clear"/>
            <w:tcMar>
              <w:top w:type="dxa" w:w="150"/>
              <w:left w:type="dxa" w:w="100"/>
              <w:bottom w:type="dxa" w:w="150"/>
              <w:right w:type="dxa" w:w="100"/>
            </w:tcMar>
          </w:tcPr>
          <w:p>
            <w:pPr>
              <w:spacing w:after="40"/>
              <w:jc w:val="center"/>
            </w:pPr>
            <w:r>
              <w:rPr>
                <w:b/>
                <w:bCs/>
                <w:color w:val="3b82d4"/>
                <w:sz w:val="36"/>
                <w:szCs w:val="36"/>
              </w:rPr>
              <w:t xml:space="preserve">31</w:t>
            </w:r>
          </w:p>
          <w:p>
            <w:pPr>
              <w:jc w:val="center"/>
            </w:pPr>
            <w:r>
              <w:rPr>
                <w:color w:val="57606a"/>
                <w:sz w:val="15"/>
                <w:szCs w:val="15"/>
              </w:rPr>
              <w:t xml:space="preserve">REST endpoints implemented</w:t>
            </w:r>
          </w:p>
        </w:tc>
        <w:tc>
          <w:tcPr>
            <w:tcW w:type="dxa" w:w="2340"/>
            <w:tcBorders>
              <w:top w:val="single" w:color="e5e7eb" w:sz="4"/>
              <w:left w:val="single" w:color="e5e7eb" w:sz="4"/>
              <w:bottom w:val="single" w:color="e5e7eb" w:sz="4"/>
              <w:right w:val="single" w:color="e5e7eb" w:sz="4"/>
            </w:tcBorders>
            <w:shd w:fill="f7f8fa" w:val="clear"/>
            <w:tcMar>
              <w:top w:type="dxa" w:w="150"/>
              <w:left w:type="dxa" w:w="100"/>
              <w:bottom w:type="dxa" w:w="150"/>
              <w:right w:type="dxa" w:w="100"/>
            </w:tcMar>
          </w:tcPr>
          <w:p>
            <w:pPr>
              <w:spacing w:after="40"/>
              <w:jc w:val="center"/>
            </w:pPr>
            <w:r>
              <w:rPr>
                <w:b/>
                <w:bCs/>
                <w:color w:val="3b82d4"/>
                <w:sz w:val="36"/>
                <w:szCs w:val="36"/>
              </w:rPr>
              <w:t xml:space="preserve">10</w:t>
            </w:r>
          </w:p>
          <w:p>
            <w:pPr>
              <w:jc w:val="center"/>
            </w:pPr>
            <w:r>
              <w:rPr>
                <w:color w:val="57606a"/>
                <w:sz w:val="15"/>
                <w:szCs w:val="15"/>
              </w:rPr>
              <w:t xml:space="preserve">Frontend screens built</w:t>
            </w:r>
          </w:p>
        </w:tc>
        <w:tc>
          <w:tcPr>
            <w:tcW w:type="dxa" w:w="2340"/>
            <w:tcBorders>
              <w:top w:val="single" w:color="e5e7eb" w:sz="4"/>
              <w:left w:val="single" w:color="e5e7eb" w:sz="4"/>
              <w:bottom w:val="single" w:color="e5e7eb" w:sz="4"/>
              <w:right w:val="single" w:color="e5e7eb" w:sz="4"/>
            </w:tcBorders>
            <w:shd w:fill="f7f8fa" w:val="clear"/>
            <w:tcMar>
              <w:top w:type="dxa" w:w="150"/>
              <w:left w:type="dxa" w:w="100"/>
              <w:bottom w:type="dxa" w:w="150"/>
              <w:right w:type="dxa" w:w="100"/>
            </w:tcMar>
          </w:tcPr>
          <w:p>
            <w:pPr>
              <w:spacing w:after="40"/>
              <w:jc w:val="center"/>
            </w:pPr>
            <w:r>
              <w:rPr>
                <w:b/>
                <w:bCs/>
                <w:color w:val="3b82d4"/>
                <w:sz w:val="36"/>
                <w:szCs w:val="36"/>
              </w:rPr>
              <w:t xml:space="preserve">6</w:t>
            </w:r>
          </w:p>
          <w:p>
            <w:pPr>
              <w:jc w:val="center"/>
            </w:pPr>
            <w:r>
              <w:rPr>
                <w:color w:val="57606a"/>
                <w:sz w:val="15"/>
                <w:szCs w:val="15"/>
              </w:rPr>
              <w:t xml:space="preserve">Integration adapters authored</w:t>
            </w:r>
          </w:p>
        </w:tc>
      </w:tr>
    </w:tbl>
    <w:p>
      <w:pPr>
        <w:spacing w:after="100"/>
      </w:pPr>
    </w:p>
    <w:p>
      <w:pPr>
        <w:pBdr>
          <w:bottom w:val="single" w:color="e5e7eb" w:sz="6"/>
        </w:pBdr>
        <w:spacing w:after="200" w:before="200"/>
      </w:pPr>
    </w:p>
    <w:p>
      <w:pPr>
        <w:shd w:fill="c2410c" w:val="clear"/>
        <w:spacing w:after="120" w:before="200"/>
      </w:pPr>
      <w:r>
        <w:rPr>
          <w:rFonts w:ascii="Calibri" w:cs="Calibri" w:eastAsia="Calibri" w:hAnsi="Calibri"/>
          <w:b/>
          <w:bCs/>
          <w:color w:val="FFFFFF"/>
          <w:sz w:val="15"/>
          <w:szCs w:val="15"/>
        </w:rPr>
        <w:t xml:space="preserve">  WRITTEN UTILIZATION STATEMENT  </w:t>
      </w:r>
    </w:p>
    <w:p>
      <w:pPr>
        <w:pStyle w:val="Heading1"/>
        <w:spacing w:after="100"/>
      </w:pPr>
      <w:r>
        <w:t xml:space="preserve">How IBM Bob Was Used</w:t>
      </w:r>
    </w:p>
    <w:p>
      <w:pPr>
        <w:pStyle w:val="Heading2"/>
        <w:spacing w:after="80" w:before="200"/>
      </w:pPr>
      <w:r>
        <w:t xml:space="preserve">Phase 1 — System Design and Scope Definition (Plan Mode)</w:t>
      </w:r>
    </w:p>
    <w:p>
      <w:pPr>
        <w:spacing w:after="160"/>
      </w:pPr>
      <w:r>
        <w:t xml:space="preserve">The project began with a full technical specification document (DiagIoT_System_Technical_Summary.docx) describing a multi-week, multi-agent platform build. Bob was engaged in Plan mode to read and analyse the spec, assess the team's timeline constraints (a three-person team, two-day weekend sprint), and produce a realistic execution plan that correctly separated what was buildable from what should be deferred.</w:t>
      </w:r>
    </w:p>
    <w:p>
      <w:pPr>
        <w:spacing w:after="160"/>
      </w:pPr>
      <w:r>
        <w:t xml:space="preserve">Bob's planning output — the diagiot-mvp-sprint-plan.md — explicitly identified seven dependency-ordered sub-tasks, audited the existing codebase state against the spec, and named the components that should be polished static mocks rather than live logic. This planning document prevented the team from over-investing in features — such as the 6x6 real-time correlation matrix, the multi-hypothesis ranking engine, and the incident replay simulation engine — that would not improve the demo but would consume the entire build window.</w:t>
      </w:r>
    </w:p>
    <w:p>
      <w:pPr>
        <w:pStyle w:val="Heading2"/>
        <w:spacing w:after="80" w:before="200"/>
      </w:pPr>
      <w:r>
        <w:t xml:space="preserve">Phase 2 — Scope Guardrail Authoring (Agent Mode)</w:t>
      </w:r>
    </w:p>
    <w:p>
      <w:pPr>
        <w:spacing w:after="160"/>
      </w:pPr>
      <w:r>
        <w:t xml:space="preserve">Bob authored the AGENTS.md file at the repository root, establishing a machine-readable and human-readable contract that governed every subsequent Bob session. The file contained:</w:t>
      </w:r>
    </w:p>
    <w:tbl>
      <w:tblPr>
        <w:tblW w:type="pct" w:w="100%"/>
        <w:tblBorders>
          <w:top w:val="none" w:color="FFFFFF" w:sz="0"/>
          <w:left w:val="single" w:color="0f1117" w:sz="24"/>
          <w:bottom w:val="none" w:color="FFFFFF" w:sz="0"/>
          <w:right w:val="none" w:color="FFFFFF" w:sz="0"/>
          <w:insideH w:val="none" w:color="FFFFFF" w:sz="0"/>
          <w:insideV w:val="none" w:color="FFFFFF" w:sz="0"/>
        </w:tblBorders>
      </w:tblPr>
      <w:tblGrid>
        <w:gridCol w:w="100"/>
      </w:tblGrid>
      <w:tr>
        <w:tc>
          <w:tcPr>
            <w:shd w:fill="0f1117" w:val="clear"/>
            <w:tcMar>
              <w:top w:type="dxa" w:w="150"/>
              <w:left w:type="dxa" w:w="200"/>
              <w:bottom w:type="dxa" w:w="150"/>
              <w:right w:type="dxa" w:w="200"/>
            </w:tcMar>
          </w:tcPr>
          <w:p>
            <w:pPr>
              <w:spacing w:after="100"/>
            </w:pPr>
            <w:r>
              <w:rPr>
                <w:b/>
                <w:bCs/>
                <w:color w:val="4ecdc4"/>
                <w:sz w:val="17"/>
                <w:szCs w:val="17"/>
              </w:rPr>
              <w:t xml:space="preserve">From AGENTS.md (Bob-authored, active in every session):</w:t>
            </w:r>
          </w:p>
          <w:p>
            <w:pPr>
              <w:spacing w:after="100"/>
            </w:pPr>
            <w:r>
              <w:rPr>
                <w:color w:val="e4e6f0"/>
                <w:sz w:val="16"/>
                <w:szCs w:val="16"/>
              </w:rPr>
              <w:t xml:space="preserve">“Bob agent guardrail: This file defines the MVP scope for this repository. Do not implement anything not listed in the MVP scope table below. If a feature is not in scope, add it to the 'future work' list — do not build it.”</w:t>
            </w:r>
          </w:p>
          <w:p>
            <w:r>
              <w:rPr>
                <w:color w:val="e4e6f0"/>
                <w:sz w:val="16"/>
                <w:szCs w:val="16"/>
              </w:rPr>
              <w:t xml:space="preserve">The file defined the MVP scope table (20 components with Real/Mock status), entity JSON schemas for Device, Alert, Scan, and KnowledgeArticle, the drift score formulae, threshold tables, and the three agent implementation locations.</w:t>
            </w:r>
          </w:p>
        </w:tc>
      </w:tr>
    </w:tbl>
    <w:p>
      <w:pPr>
        <w:spacing w:after="160"/>
      </w:pPr>
    </w:p>
    <w:p>
      <w:pPr>
        <w:spacing w:after="160"/>
      </w:pPr>
      <w:r>
        <w:t xml:space="preserve">This guardrail was active in every subsequent Bob session — any request that would have added database persistence, microservice splits, GitLab integrations, or live correlation matrix computation was deflected by this file, keeping all agent-generated work within the agreed sprint boundary.</w:t>
      </w:r>
    </w:p>
    <w:p>
      <w:pPr>
        <w:pStyle w:val="Heading2"/>
        <w:spacing w:after="80" w:before="200"/>
      </w:pPr>
      <w:r>
        <w:t xml:space="preserve">Phase 3 — Full-Stack Implementation (Agent Mode)</w:t>
      </w:r>
    </w:p>
    <w:p>
      <w:pPr>
        <w:spacing w:after="160"/>
      </w:pPr>
      <w:r>
        <w:t xml:space="preserve">With the scope defined and guardrail active, Bob implemented every major code artifact in the repository. In each task, Bob first read the relevant existing files — routes, store methods, seed data shapes — before writing any code, ensuring new code worked against actual implemented interfaces rather than assumed ones. The engineering discipline applied was minimal change: produce the least code that satisfies the requirement, no added abstractions, no speculative error handling.</w:t>
      </w:r>
    </w:p>
    <w:p>
      <w:pPr>
        <w:spacing w:after="160"/>
      </w:pPr>
      <w:r>
        <w:t xml:space="preserve">Key implementation sessions covered:</w:t>
      </w:r>
    </w:p>
    <w:p>
      <w:pPr>
        <w:pStyle w:val="ListParagraph"/>
        <w:numPr>
          <w:ilvl w:val="0"/>
          <w:numId w:val="1"/>
        </w:numPr>
        <w:spacing w:after="80"/>
      </w:pPr>
      <w:r>
        <w:t xml:space="preserve">Express + WebSocket server with JWT guard and integration startup</w:t>
      </w:r>
    </w:p>
    <w:p>
      <w:pPr>
        <w:pStyle w:val="ListParagraph"/>
        <w:numPr>
          <w:ilvl w:val="0"/>
          <w:numId w:val="1"/>
        </w:numPr>
        <w:spacing w:after="80"/>
      </w:pPr>
      <w:r>
        <w:t xml:space="preserve">In-process data store (EventEmitter + Maps — no database)</w:t>
      </w:r>
    </w:p>
    <w:p>
      <w:pPr>
        <w:pStyle w:val="ListParagraph"/>
        <w:numPr>
          <w:ilvl w:val="0"/>
          <w:numId w:val="1"/>
        </w:numPr>
        <w:spacing w:after="80"/>
      </w:pPr>
      <w:r>
        <w:t xml:space="preserve">Drift Engine: computePreShipScore() and evaluateTelemetry() with threshold-crossing debounce</w:t>
      </w:r>
    </w:p>
    <w:p>
      <w:pPr>
        <w:pStyle w:val="ListParagraph"/>
        <w:numPr>
          <w:ilvl w:val="0"/>
          <w:numId w:val="1"/>
        </w:numPr>
        <w:spacing w:after="80"/>
      </w:pPr>
      <w:r>
        <w:t xml:space="preserve">31-endpoint REST API across fleet, alerts, scans, baselines, agents, integrations, knowledge, incidents, and system routes</w:t>
      </w:r>
    </w:p>
    <w:p>
      <w:pPr>
        <w:pStyle w:val="ListParagraph"/>
        <w:numPr>
          <w:ilvl w:val="0"/>
          <w:numId w:val="1"/>
        </w:numPr>
        <w:spacing w:after="80"/>
      </w:pPr>
      <w:r>
        <w:t xml:space="preserve">All 6 integration adapters: GitHub (HMAC-SHA256 webhook), Arduino (serial + upload), Jenkins (polling), Docker (daemon events), Keil/STM32 (multipart ELF upload), VS Code (WebSocket build hook)</w:t>
      </w:r>
    </w:p>
    <w:p>
      <w:pPr>
        <w:pStyle w:val="ListParagraph"/>
        <w:numPr>
          <w:ilvl w:val="0"/>
          <w:numId w:val="1"/>
        </w:numPr>
        <w:spacing w:after="80"/>
      </w:pPr>
      <w:r>
        <w:t xml:space="preserve">17-command CLI with REPL mode and ANSI-formatted output</w:t>
      </w:r>
    </w:p>
    <w:p>
      <w:pPr>
        <w:pStyle w:val="ListParagraph"/>
        <w:numPr>
          <w:ilvl w:val="0"/>
          <w:numId w:val="1"/>
        </w:numPr>
        <w:spacing w:after="80"/>
      </w:pPr>
      <w:r>
        <w:t xml:space="preserve">WebSocket data layer (app-data.js): window.D store, reconnect logic, all event handlers, helper functions</w:t>
      </w:r>
    </w:p>
    <w:p>
      <w:pPr>
        <w:pStyle w:val="ListParagraph"/>
        <w:numPr>
          <w:ilvl w:val="0"/>
          <w:numId w:val="1"/>
        </w:numPr>
        <w:spacing w:after="80"/>
      </w:pPr>
      <w:r>
        <w:t xml:space="preserve">Screen router (switchScreen, softRefreshScreen) and all 10 frontend screens</w:t>
      </w:r>
    </w:p>
    <w:p>
      <w:pPr>
        <w:spacing w:after="100"/>
      </w:pPr>
    </w:p>
    <w:p>
      <w:pPr>
        <w:pStyle w:val="Heading2"/>
        <w:spacing w:after="80" w:before="200"/>
      </w:pPr>
      <w:r>
        <w:t xml:space="preserve">Phase 4 — Documentation Authoring (Agent Mode + Ask Mode)</w:t>
      </w:r>
    </w:p>
    <w:p>
      <w:pPr>
        <w:spacing w:after="160"/>
      </w:pPr>
      <w:r>
        <w:t xml:space="preserve">Bob authored all four core project documents: the root README.md (architecture diagram, quick start, integration setup guides, API reference), docs/README.md (system overview, agent descriptions, screen inventory, design token reference), docs/HANDOFF.md (install steps, env vars, seed data, demo flow, troubleshooting), and docs/plans/api-contract-mvp.md (complete REST + WebSocket contract with request/response shapes). Ask mode was used during documentation to verify that schema descriptions matched what was actually implemented in the store and routes.</w:t>
      </w:r>
    </w:p>
    <w:tbl>
      <w:tblPr>
        <w:tblW w:type="pct" w:w="100%"/>
        <w:tblBorders>
          <w:top w:val="none" w:color="FFFFFF" w:sz="0"/>
          <w:left w:val="single" w:color="1a7f4b" w:sz="24"/>
          <w:bottom w:val="none" w:color="FFFFFF" w:sz="0"/>
          <w:right w:val="none" w:color="FFFFFF" w:sz="0"/>
          <w:insideH w:val="none" w:color="FFFFFF" w:sz="0"/>
          <w:insideV w:val="none" w:color="FFFFFF" w:sz="0"/>
        </w:tblBorders>
      </w:tblPr>
      <w:tblGrid>
        <w:gridCol w:w="100"/>
      </w:tblGrid>
      <w:tr>
        <w:tc>
          <w:tcPr>
            <w:shd w:fill="f0fdf4" w:val="clear"/>
            <w:tcMar>
              <w:top w:type="dxa" w:w="150"/>
              <w:left w:type="dxa" w:w="200"/>
              <w:bottom w:type="dxa" w:w="150"/>
              <w:right w:type="dxa" w:w="200"/>
            </w:tcMar>
          </w:tcPr>
          <w:p>
            <w:r>
              <w:rPr>
                <w:b/>
                <w:bCs/>
                <w:sz w:val="17"/>
                <w:szCs w:val="17"/>
              </w:rPr>
              <w:t xml:space="preserve">Key principle applied throughout: </w:t>
            </w:r>
            <w:r>
              <w:rPr>
                <w:sz w:val="17"/>
                <w:szCs w:val="17"/>
              </w:rPr>
              <w:t xml:space="preserve">Bob was instructed to investigate before answering — every code question required reading the relevant file before responding. No claims were made about API shapes, store methods, or route behaviour without first inspecting the actual source. This grounded-only approach prevented hallucinated interfaces and ensured all generated code integrated correctly on first attempt.</w:t>
            </w:r>
          </w:p>
        </w:tc>
      </w:tr>
    </w:tbl>
    <w:p>
      <w:pPr>
        <w:spacing w:after="200"/>
      </w:pPr>
    </w:p>
    <w:p>
      <w:pPr>
        <w:pBdr>
          <w:bottom w:val="single" w:color="e5e7eb" w:sz="6"/>
        </w:pBdr>
        <w:spacing w:after="200" w:before="200"/>
      </w:pPr>
    </w:p>
    <w:p>
      <w:pPr>
        <w:shd w:fill="0f1117" w:val="clear"/>
        <w:spacing w:after="120" w:before="200"/>
      </w:pPr>
      <w:r>
        <w:rPr>
          <w:rFonts w:ascii="Calibri" w:cs="Calibri" w:eastAsia="Calibri" w:hAnsi="Calibri"/>
          <w:b/>
          <w:bCs/>
          <w:color w:val="FFFFFF"/>
          <w:sz w:val="15"/>
          <w:szCs w:val="15"/>
        </w:rPr>
        <w:t xml:space="preserve">  TASK REPORT — ALL SESSIONS  </w:t>
      </w:r>
    </w:p>
    <w:p>
      <w:pPr>
        <w:pStyle w:val="Heading1"/>
        <w:spacing w:after="100"/>
      </w:pPr>
      <w:r>
        <w:t xml:space="preserve">Complete Task Inventory</w:t>
      </w:r>
    </w:p>
    <w:p>
      <w:pPr>
        <w:spacing w:after="160"/>
      </w:pPr>
      <w:r>
        <w:t xml:space="preserve">The following table is the complete record of task areas in which Bob was engaged across the DiagIoT project, in dependency order. Each row maps to one or more Bob 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5200"/>
        <w:gridCol w:w="1700"/>
      </w:tblGrid>
      <w:tr>
        <w:trPr>
          <w:tblHeader/>
        </w:trPr>
        <w:tc>
          <w:tcPr>
            <w:tcW w:type="dxa" w:w="5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w:t>
            </w:r>
          </w:p>
        </w:tc>
        <w:tc>
          <w:tcPr>
            <w:tcW w:type="dxa" w:w="17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Task Area</w:t>
            </w:r>
          </w:p>
        </w:tc>
        <w:tc>
          <w:tcPr>
            <w:tcW w:type="dxa" w:w="10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Mode</w:t>
            </w:r>
          </w:p>
        </w:tc>
        <w:tc>
          <w:tcPr>
            <w:tcW w:type="dxa" w:w="52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Description &amp; Outcomes</w:t>
            </w:r>
          </w:p>
        </w:tc>
        <w:tc>
          <w:tcPr>
            <w:tcW w:type="dxa" w:w="1700"/>
            <w:tcBorders>
              <w:top w:val="single" w:color="e5e7eb" w:sz="4"/>
              <w:left w:val="single" w:color="e5e7eb" w:sz="4"/>
              <w:bottom w:val="single" w:color="e5e7eb" w:sz="4"/>
              <w:right w:val="single" w:color="e5e7eb" w:sz="4"/>
            </w:tcBorders>
            <w:shd w:fill="f7f8fa" w:val="clear"/>
            <w:tcMar>
              <w:top w:type="dxa" w:w="80"/>
              <w:left w:type="dxa" w:w="100"/>
              <w:bottom w:type="dxa" w:w="80"/>
              <w:right w:type="dxa" w:w="100"/>
            </w:tcMar>
          </w:tcPr>
          <w:p>
            <w:r>
              <w:rPr>
                <w:b/>
                <w:bCs/>
                <w:color w:val="57606a"/>
                <w:sz w:val="15"/>
                <w:szCs w:val="15"/>
              </w:rPr>
              <w:t xml:space="preserve">Primary Files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0</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Sprint Planning &amp; Scope Triage</w:t>
            </w:r>
          </w:p>
        </w:tc>
        <w:tc>
          <w:tcPr>
            <w:tcW w:type="dxa" w:w="1000"/>
            <w:tcBorders>
              <w:top w:val="single" w:color="e5e7eb" w:sz="4"/>
              <w:left w:val="single" w:color="e5e7eb" w:sz="4"/>
              <w:bottom w:val="single" w:color="e5e7eb" w:sz="4"/>
              <w:right w:val="single" w:color="e5e7eb" w:sz="4"/>
            </w:tcBorders>
            <w:shd w:fill="e0e7ff" w:val="clear"/>
            <w:tcMar>
              <w:top w:type="dxa" w:w="80"/>
              <w:left w:type="dxa" w:w="100"/>
              <w:bottom w:type="dxa" w:w="80"/>
              <w:right w:type="dxa" w:w="100"/>
            </w:tcMar>
            <w:vAlign w:val="top"/>
          </w:tcPr>
          <w:p>
            <w:r>
              <w:rPr>
                <w:b/>
                <w:bCs/>
                <w:color w:val="3730a3"/>
                <w:sz w:val="15"/>
                <w:szCs w:val="15"/>
              </w:rPr>
              <w:t xml:space="preserve">Plan</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Analysed the full technical specification, assessed two-day timeline feasibility, identified real-vs-mock split, authored 7-sub-task sprint plan with dependency map and explicit out-of-scope list.</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docs/DiagIoT_Team_Build_Plan.md; docs/plans/diagiot-mvp-sprint-plan.md</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1</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Scope Guardrail (AGENTS.md)</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Authored AGENTS.md at repo root: MVP scope table (20 components), entity schemas (Device, Alert, Scan, KnowledgeArticle), drift score formulae, threshold table, three-agent map, and out-of-scope guard.</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AGENTS.md</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2</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API Contract Documentation</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Documented all 31 REST endpoints with request/response shapes, query params, and error codes. Documented all 11 WebSocket event types. Derived by reading the actual route implementation, not from spec.</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docs/plans/api-contract-mvp.md</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3</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Handoff &amp; README Documentation</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Authored HANDOFF.md (install, env vars, seed data summary, CLI, demo flow, troubleshooting) and root README.md (architecture diagram, quick start, integration setup guides, drift threshold reference).</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docs/HANDOFF.md; README.md; docs/README.md</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4</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Backend Server &amp; Store</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Implemented Express + WebSocket server with JWT guard and integration startup sequencing. Implemented in-process data store using EventEmitter + Maps: devices, alerts, scans, baselines, integrations, agents, KB articles, incidents. No external database.</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src/server/index.js; src/server/store.js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5</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Drift Engine</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Implemented computePreShipScore() (5-component weighted formula, block alert on CRITICAL), evaluateTelemetry() (6-component field scoring, debounced threshold-crossing alerts), and computeDriftScore() (signal normalisation against baseline). Configurable thresholds via env.</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src/server/drift-engine.js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6</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REST API (31 Endpoints)</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Implemented all route handlers across 9 resource groups: /fleet, /alerts, /scans, /baselines, /agents, /integrations, /knowledge, /incidents, /health. Includes WebSocket broadcast on every mutating operation.</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src/server/routes/api.js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7</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Seed Data</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Authored seed store with 6 devices across 5 fleets, 6 golden baselines, 4 typed alerts (2 CRITICAL / 2 WARNING), 3 Pre-Ship scans (BLOCK / PASS / LOW), and 3 KB articles with full root-cause and resolution detail.</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src/server/seed.js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8</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Integration Adapters (x6)</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Implemented all 6 integration adapters: GitHub (webhook + HMAC-SHA256 signature verification + artifact upload), Arduino (serial auto-detect + sketch upload + telemetry push), Jenkins (job polling adapter), Docker (daemon event watcher), Keil/STM32CubeIDE (multipart ELF/AXF upload), VS Code/PlatformIO (WebSocket build hook).</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src/server/integrations/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9</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CLI (17 Commands + REPL)</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Implemented standalone diagiot CLI with 17 commands across fleet, alerts, agents, integrations, drift, scan, baseline, knowledge, and interactive sub-trees. ANSI-formatted output, REPL mode, works in any IDE terminal.</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src/cli/diagiot.js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10</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WebSocket Data Layer</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Implemented app-data.js: window.D live data store, WebSocket connect/auto-reconnect logic, handlers for all 11 event types (init, device:updated, alert:created, scan:completed, etc.), and shared UI helper functions (relTime, scoreLabel, scoreStyle, healthBadge, sevBadge, statusBadge).</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src/web/app-data.js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11</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Screen Router</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Implemented switchScreen(screenId) and softRefreshScreen(screenId) - the core routing functions that render screen templates into #screensContainer, manage active sidebar/tab states, set window._currentScreen, and trigger post-render chart initialisation.</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src/web/app.js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12</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Dashboard Screen (Live)</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Built SCREENS.dashboard wired entirely to window.D live data: fleet KPI summary cards, agent status cards, recent alerts table (unacked first), device registry table with drift score bars. Initialised Chart.js Drift Trend line chart and Fleet Health donut chart with WebSocket-driven refresh via softRefreshScreen.</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src/web/app.js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13</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Pre-Ship Scan Screen (Live)</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Built SCREENS.preship: firmware target input, five 0.00-1.00 component score inputs, live POST /api/scans/run submission, result card with composite score + colour-coded verdict badge (PASS/WARN/BLOCK), per-component weight x contribution breakdown table, and previous scans history updated via WebSocket scan:completed events.</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src/web/app.js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14</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Field Monitor Screen (Live)</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Built SCREENS.field: live device health grid with drift score progress bars and health badges, filter buttons (All/Healthy/Drifting/Critical), active alerts panel with per-alert acknowledge button wired to POST /api/alerts/:id/acknowledge, WebSocket-driven card refresh on device:updated and alert:created.</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src/web/app.js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15</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Six Polished Mock Screens</w:t>
            </w:r>
          </w:p>
        </w:tc>
        <w:tc>
          <w:tcPr>
            <w:tcW w:type="dxa" w:w="1000"/>
            <w:tcBorders>
              <w:top w:val="single" w:color="e5e7eb" w:sz="4"/>
              <w:left w:val="single" w:color="e5e7eb" w:sz="4"/>
              <w:bottom w:val="single" w:color="e5e7eb" w:sz="4"/>
              <w:right w:val="single" w:color="e5e7eb" w:sz="4"/>
            </w:tcBorders>
            <w:shd w:fill="d1fae5" w:val="clear"/>
            <w:tcMar>
              <w:top w:type="dxa" w:w="80"/>
              <w:left w:type="dxa" w:w="100"/>
              <w:bottom w:type="dxa" w:w="80"/>
              <w:right w:type="dxa" w:w="100"/>
            </w:tcMar>
            <w:vAlign w:val="top"/>
          </w:tcPr>
          <w:p>
            <w:r>
              <w:rPr>
                <w:b/>
                <w:bCs/>
                <w:color w:val="065f46"/>
                <w:sz w:val="15"/>
                <w:szCs w:val="15"/>
              </w:rPr>
              <w:t xml:space="preserve">Agent</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Built Drift Analysis (6x6 heatmap + hypothesis card), Event Timeline (chronological signal events with agent attribution), Firmware Diff (binary-level diff view, register-level changes), Reproduce Incident (simulation lab with pre-populated confirmed result), Integrations (live-status grid from window.D.integrations), Engineer Onboarding (stage-gated learning path), and Knowledge Base (live search wired to GET /api/knowledge).</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src/web/app.js</w:t>
            </w:r>
          </w:p>
        </w:tc>
      </w:tr>
      <w:tr>
        <w:tc>
          <w:tcPr>
            <w:tcW w:type="dxa" w:w="5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7"/>
                <w:szCs w:val="17"/>
              </w:rPr>
              <w:t xml:space="preserve">16</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b/>
                <w:bCs/>
                <w:sz w:val="17"/>
                <w:szCs w:val="17"/>
              </w:rPr>
              <w:t xml:space="preserve">Schema &amp; Formula Verification</w:t>
            </w:r>
          </w:p>
        </w:tc>
        <w:tc>
          <w:tcPr>
            <w:tcW w:type="dxa" w:w="10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100"/>
            </w:tcMar>
            <w:vAlign w:val="top"/>
          </w:tcPr>
          <w:p>
            <w:r>
              <w:rPr>
                <w:b/>
                <w:bCs/>
                <w:color w:val="92400e"/>
                <w:sz w:val="15"/>
                <w:szCs w:val="15"/>
              </w:rPr>
              <w:t xml:space="preserve">Ask</w:t>
            </w:r>
          </w:p>
        </w:tc>
        <w:tc>
          <w:tcPr>
            <w:tcW w:type="dxa" w:w="52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sz w:val="16"/>
                <w:szCs w:val="16"/>
              </w:rPr>
              <w:t xml:space="preserve">Bob was queried in Ask mode to verify drift score formula weights against the spec, confirm WebSocket event payload shapes match the store's emit calls, validate entity schemas between seed data and API contract, and explain the debounce logic in evaluateTelemetry(). All answers were grounded in file reads - no speculation.</w:t>
            </w:r>
          </w:p>
        </w:tc>
        <w:tc>
          <w:tcPr>
            <w:tcW w:type="dxa" w:w="1700"/>
            <w:tcBorders>
              <w:top w:val="single" w:color="e5e7eb" w:sz="4"/>
              <w:left w:val="single" w:color="e5e7eb" w:sz="4"/>
              <w:bottom w:val="single" w:color="e5e7eb" w:sz="4"/>
              <w:right w:val="single" w:color="e5e7eb" w:sz="4"/>
            </w:tcBorders>
            <w:tcMar>
              <w:top w:type="dxa" w:w="80"/>
              <w:left w:type="dxa" w:w="100"/>
              <w:bottom w:type="dxa" w:w="80"/>
              <w:right w:type="dxa" w:w="100"/>
            </w:tcMar>
            <w:vAlign w:val="top"/>
          </w:tcPr>
          <w:p>
            <w:r>
              <w:rPr>
                <w:rFonts w:ascii="Courier New" w:cs="Courier New" w:eastAsia="Courier New" w:hAnsi="Courier New"/>
                <w:sz w:val="15"/>
                <w:szCs w:val="15"/>
              </w:rPr>
              <w:t xml:space="preserve">Read-only queries</w:t>
            </w:r>
          </w:p>
        </w:tc>
      </w:tr>
    </w:tbl>
    <w:p>
      <w:pPr>
        <w:spacing w:after="200"/>
      </w:pPr>
    </w:p>
    <w:p>
      <w:pPr>
        <w:pBdr>
          <w:bottom w:val="single" w:color="e5e7eb" w:sz="6"/>
        </w:pBdr>
        <w:spacing w:after="200" w:before="200"/>
      </w:pPr>
    </w:p>
    <w:p>
      <w:pPr>
        <w:shd w:fill="c2410c" w:val="clear"/>
        <w:spacing w:after="120" w:before="200"/>
      </w:pPr>
      <w:r>
        <w:rPr>
          <w:rFonts w:ascii="Calibri" w:cs="Calibri" w:eastAsia="Calibri" w:hAnsi="Calibri"/>
          <w:b/>
          <w:bCs/>
          <w:color w:val="FFFFFF"/>
          <w:sz w:val="15"/>
          <w:szCs w:val="15"/>
        </w:rPr>
        <w:t xml:space="preserve">  SCOPE MANAGEMENT  </w:t>
      </w:r>
    </w:p>
    <w:p>
      <w:pPr>
        <w:pStyle w:val="Heading1"/>
        <w:spacing w:after="100"/>
      </w:pPr>
      <w:r>
        <w:t xml:space="preserve">Out-of-Scope Items Deflected by Bob Guardrail</w:t>
      </w:r>
    </w:p>
    <w:p>
      <w:pPr>
        <w:spacing w:after="160"/>
      </w:pPr>
      <w:r>
        <w:t xml:space="preserve">The following features were explicitly identified by Bob during planning as out of scope for the MVP sprint and recorded in AGENTS.md. None of these were implemented. Their exclusion was enforced by the project-scoped guardrail active in every Bob session.</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Separate agents/pre-ship/, agents/monitor/, agents/onboarding/ microservices - all agent logic embedded in src/server/</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Persistent database (SQLite, Postgres, etc.) - in-process store sufficient for MVP scale</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Real-time 6x6 signal correlation matrix computation - hardcoded illustrative heatmap in Drift Analysis screen</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Multi-hypothesis ranking engine - single pre-populated hypothesis card per device</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Incident replay simulation engine - pre-populated "confirmed" result in Reproduce Incident screen</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Onboarding Agent live knowledge curation logic - static Knowledge Base articles from seed</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Firmware Store service - firmware artifacts referenced by version string only</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GitLab or SEGGER Ozone integrations - documented as "Planned" in integration matrix</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Any new REST API endpoints beyond the 31 already implemented</w:t>
      </w:r>
    </w:p>
    <w:p>
      <w:pPr>
        <w:pBdr>
          <w:top w:val="single" w:color="f0c040" w:sz="4"/>
          <w:bottom w:val="single" w:color="f0c040" w:sz="4"/>
          <w:left w:val="single" w:color="f0c040" w:sz="4"/>
          <w:right w:val="single" w:color="f0c040" w:sz="4"/>
        </w:pBdr>
        <w:shd w:fill="fff3cd" w:val="clear"/>
        <w:spacing w:after="60"/>
      </w:pPr>
      <w:r>
        <w:rPr>
          <w:color w:val="5a4000"/>
          <w:sz w:val="17"/>
          <w:szCs w:val="17"/>
        </w:rPr>
        <w:t xml:space="preserve">✗  Authentication enforcement - JWT guard optional by design, disabled by default</w:t>
      </w:r>
    </w:p>
    <w:p>
      <w:pPr>
        <w:spacing w:after="200"/>
      </w:pPr>
    </w:p>
    <w:p>
      <w:pPr>
        <w:pBdr>
          <w:bottom w:val="single" w:color="e5e7eb" w:sz="6"/>
        </w:pBdr>
        <w:spacing w:after="200" w:before="200"/>
      </w:pPr>
    </w:p>
    <w:p>
      <w:pPr>
        <w:shd w:fill="1a7f4b" w:val="clear"/>
        <w:spacing w:after="120" w:before="200"/>
      </w:pPr>
      <w:r>
        <w:rPr>
          <w:rFonts w:ascii="Calibri" w:cs="Calibri" w:eastAsia="Calibri" w:hAnsi="Calibri"/>
          <w:b/>
          <w:bCs/>
          <w:color w:val="FFFFFF"/>
          <w:sz w:val="15"/>
          <w:szCs w:val="15"/>
        </w:rPr>
        <w:t xml:space="preserve">  INTEGRATION COVERAGE  </w:t>
      </w:r>
    </w:p>
    <w:p>
      <w:pPr>
        <w:pStyle w:val="Heading1"/>
        <w:spacing w:after="100"/>
      </w:pPr>
      <w:r>
        <w:t xml:space="preserve">External Integrations Implemented by Bob</w:t>
      </w:r>
    </w:p>
    <w:p>
      <w:pPr>
        <w:spacing w:after="160"/>
      </w:pPr>
      <w:r>
        <w:t xml:space="preserve">All six integration adapters were authored in Agent mode, each reading the existing store and route interfaces before writing any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f7f8fa" w:val="clear"/>
            <w:tcMar>
              <w:top w:type="dxa" w:w="100"/>
              <w:left w:type="dxa" w:w="100"/>
              <w:bottom w:type="dxa" w:w="100"/>
              <w:right w:type="dxa" w:w="100"/>
            </w:tcMar>
          </w:tcPr>
          <w:p>
            <w:pPr>
              <w:jc w:val="center"/>
            </w:pPr>
            <w:r>
              <w:rPr>
                <w:b/>
                <w:bCs/>
                <w:sz w:val="16"/>
                <w:szCs w:val="16"/>
              </w:rPr>
              <w:t xml:space="preserve">GitHub (Webhook + Artifact)</w:t>
            </w:r>
          </w:p>
        </w:tc>
        <w:tc>
          <w:tcPr>
            <w:tcW w:type="dxa" w:w="3120"/>
            <w:tcBorders>
              <w:top w:val="single" w:color="e5e7eb" w:sz="4"/>
              <w:left w:val="single" w:color="e5e7eb" w:sz="4"/>
              <w:bottom w:val="single" w:color="e5e7eb" w:sz="4"/>
              <w:right w:val="single" w:color="e5e7eb" w:sz="4"/>
            </w:tcBorders>
            <w:shd w:fill="f7f8fa" w:val="clear"/>
            <w:tcMar>
              <w:top w:type="dxa" w:w="100"/>
              <w:left w:type="dxa" w:w="100"/>
              <w:bottom w:type="dxa" w:w="100"/>
              <w:right w:type="dxa" w:w="100"/>
            </w:tcMar>
          </w:tcPr>
          <w:p>
            <w:pPr>
              <w:jc w:val="center"/>
            </w:pPr>
            <w:r>
              <w:rPr>
                <w:b/>
                <w:bCs/>
                <w:sz w:val="16"/>
                <w:szCs w:val="16"/>
              </w:rPr>
              <w:t xml:space="preserve">Arduino CLI (Serial + Upload)</w:t>
            </w:r>
          </w:p>
        </w:tc>
        <w:tc>
          <w:tcPr>
            <w:tcW w:type="dxa" w:w="3120"/>
            <w:tcBorders>
              <w:top w:val="single" w:color="e5e7eb" w:sz="4"/>
              <w:left w:val="single" w:color="e5e7eb" w:sz="4"/>
              <w:bottom w:val="single" w:color="e5e7eb" w:sz="4"/>
              <w:right w:val="single" w:color="e5e7eb" w:sz="4"/>
            </w:tcBorders>
            <w:shd w:fill="f7f8fa" w:val="clear"/>
            <w:tcMar>
              <w:top w:type="dxa" w:w="100"/>
              <w:left w:type="dxa" w:w="100"/>
              <w:bottom w:type="dxa" w:w="100"/>
              <w:right w:type="dxa" w:w="100"/>
            </w:tcMar>
          </w:tcPr>
          <w:p>
            <w:pPr>
              <w:jc w:val="center"/>
            </w:pPr>
            <w:r>
              <w:rPr>
                <w:b/>
                <w:bCs/>
                <w:sz w:val="16"/>
                <w:szCs w:val="16"/>
              </w:rPr>
              <w:t xml:space="preserve">Jenkins CI (Polling Adapter)</w:t>
            </w:r>
          </w:p>
        </w:tc>
      </w:tr>
      <w:tr>
        <w:tc>
          <w:tcPr>
            <w:tcW w:type="dxa" w:w="3120"/>
            <w:tcBorders>
              <w:top w:val="single" w:color="e5e7eb" w:sz="4"/>
              <w:left w:val="single" w:color="e5e7eb" w:sz="4"/>
              <w:bottom w:val="single" w:color="e5e7eb" w:sz="4"/>
              <w:right w:val="single" w:color="e5e7eb" w:sz="4"/>
            </w:tcBorders>
            <w:shd w:fill="f7f8fa" w:val="clear"/>
            <w:tcMar>
              <w:top w:type="dxa" w:w="100"/>
              <w:left w:type="dxa" w:w="100"/>
              <w:bottom w:type="dxa" w:w="100"/>
              <w:right w:type="dxa" w:w="100"/>
            </w:tcMar>
          </w:tcPr>
          <w:p>
            <w:pPr>
              <w:jc w:val="center"/>
            </w:pPr>
            <w:r>
              <w:rPr>
                <w:b/>
                <w:bCs/>
                <w:sz w:val="16"/>
                <w:szCs w:val="16"/>
              </w:rPr>
              <w:t xml:space="preserve">Docker / OCI (Daemon Events)</w:t>
            </w:r>
          </w:p>
        </w:tc>
        <w:tc>
          <w:tcPr>
            <w:tcW w:type="dxa" w:w="3120"/>
            <w:tcBorders>
              <w:top w:val="single" w:color="e5e7eb" w:sz="4"/>
              <w:left w:val="single" w:color="e5e7eb" w:sz="4"/>
              <w:bottom w:val="single" w:color="e5e7eb" w:sz="4"/>
              <w:right w:val="single" w:color="e5e7eb" w:sz="4"/>
            </w:tcBorders>
            <w:shd w:fill="f7f8fa" w:val="clear"/>
            <w:tcMar>
              <w:top w:type="dxa" w:w="100"/>
              <w:left w:type="dxa" w:w="100"/>
              <w:bottom w:type="dxa" w:w="100"/>
              <w:right w:type="dxa" w:w="100"/>
            </w:tcMar>
          </w:tcPr>
          <w:p>
            <w:pPr>
              <w:jc w:val="center"/>
            </w:pPr>
            <w:r>
              <w:rPr>
                <w:b/>
                <w:bCs/>
                <w:sz w:val="16"/>
                <w:szCs w:val="16"/>
              </w:rPr>
              <w:t xml:space="preserve">Keil / STM32CubeIDE (ELF Upload)</w:t>
            </w:r>
          </w:p>
        </w:tc>
        <w:tc>
          <w:tcPr>
            <w:tcW w:type="dxa" w:w="3120"/>
            <w:tcBorders>
              <w:top w:val="single" w:color="e5e7eb" w:sz="4"/>
              <w:left w:val="single" w:color="e5e7eb" w:sz="4"/>
              <w:bottom w:val="single" w:color="e5e7eb" w:sz="4"/>
              <w:right w:val="single" w:color="e5e7eb" w:sz="4"/>
            </w:tcBorders>
            <w:shd w:fill="f7f8fa" w:val="clear"/>
            <w:tcMar>
              <w:top w:type="dxa" w:w="100"/>
              <w:left w:type="dxa" w:w="100"/>
              <w:bottom w:type="dxa" w:w="100"/>
              <w:right w:type="dxa" w:w="100"/>
            </w:tcMar>
          </w:tcPr>
          <w:p>
            <w:pPr>
              <w:jc w:val="center"/>
            </w:pPr>
            <w:r>
              <w:rPr>
                <w:b/>
                <w:bCs/>
                <w:sz w:val="16"/>
                <w:szCs w:val="16"/>
              </w:rPr>
              <w:t xml:space="preserve">VS Code / PlatformIO (WS Hook)</w:t>
            </w:r>
          </w:p>
        </w:tc>
      </w:tr>
    </w:tbl>
    <w:p>
      <w:pPr>
        <w:spacing w:after="160"/>
      </w:pPr>
    </w:p>
    <w:tbl>
      <w:tblPr>
        <w:tblW w:type="pct" w:w="100%"/>
        <w:tblBorders>
          <w:top w:val="none" w:color="FFFFFF" w:sz="0"/>
          <w:left w:val="single" w:color="3b82d4" w:sz="24"/>
          <w:bottom w:val="none" w:color="FFFFFF" w:sz="0"/>
          <w:right w:val="none" w:color="FFFFFF" w:sz="0"/>
          <w:insideH w:val="none" w:color="FFFFFF" w:sz="0"/>
          <w:insideV w:val="none" w:color="FFFFFF" w:sz="0"/>
        </w:tblBorders>
      </w:tblPr>
      <w:tblGrid>
        <w:gridCol w:w="100"/>
      </w:tblGrid>
      <w:tr>
        <w:tc>
          <w:tcPr>
            <w:shd w:fill="f7f8fa" w:val="clear"/>
            <w:tcMar>
              <w:top w:type="dxa" w:w="150"/>
              <w:left w:type="dxa" w:w="200"/>
              <w:bottom w:type="dxa" w:w="150"/>
              <w:right w:type="dxa" w:w="200"/>
            </w:tcMar>
          </w:tcPr>
          <w:p>
            <w:r>
              <w:rPr>
                <w:b/>
                <w:bCs/>
                <w:sz w:val="17"/>
                <w:szCs w:val="17"/>
              </w:rPr>
              <w:t xml:space="preserve">HMAC-SHA256 webhook security: </w:t>
            </w:r>
            <w:r>
              <w:rPr>
                <w:sz w:val="17"/>
                <w:szCs w:val="17"/>
              </w:rPr>
              <w:t xml:space="preserve">The GitHub integration adapter includes full HMAC-SHA256 signature verification against the X-Hub-Signature-256 header using the configurable GITHUB_WEBHOOK_SECRET env variable — implemented by Bob as part of the integration adapter without being explicitly requested, following security best practices for webhook receivers.</w:t>
            </w:r>
          </w:p>
        </w:tc>
      </w:tr>
    </w:tbl>
    <w:p>
      <w:pPr>
        <w:spacing w:after="200"/>
      </w:pPr>
    </w:p>
    <w:p>
      <w:pPr>
        <w:pBdr>
          <w:bottom w:val="single" w:color="e5e7eb" w:sz="6"/>
        </w:pBdr>
        <w:spacing w:after="200" w:before="200"/>
      </w:pPr>
    </w:p>
    <w:p>
      <w:pPr>
        <w:shd w:fill="3b82d4" w:val="clear"/>
        <w:spacing w:after="120" w:before="200"/>
      </w:pPr>
      <w:r>
        <w:rPr>
          <w:rFonts w:ascii="Calibri" w:cs="Calibri" w:eastAsia="Calibri" w:hAnsi="Calibri"/>
          <w:b/>
          <w:bCs/>
          <w:color w:val="FFFFFF"/>
          <w:sz w:val="15"/>
          <w:szCs w:val="15"/>
        </w:rPr>
        <w:t xml:space="preserve">  EXPORT &amp; SETTINGS  </w:t>
      </w:r>
    </w:p>
    <w:p>
      <w:pPr>
        <w:pStyle w:val="Heading1"/>
        <w:spacing w:after="100"/>
      </w:pPr>
      <w:r>
        <w:t xml:space="preserve">Exporting IBM Bob Settings</w:t>
      </w:r>
    </w:p>
    <w:p>
      <w:pPr>
        <w:spacing w:after="160"/>
      </w:pPr>
      <w:r>
        <w:t xml:space="preserve">IBM Bob IDE settings — including custom project instructions, workspace rules, and mode configurations active during the DiagIoT sessions — can be exported from the Bob panel:</w:t>
      </w:r>
    </w:p>
    <w:p>
      <w:pPr>
        <w:pStyle w:val="ListParagraph"/>
        <w:numPr>
          <w:ilvl w:val="0"/>
          <w:numId w:val="2"/>
        </w:numPr>
        <w:spacing w:after="60"/>
      </w:pPr>
      <w:r>
        <w:t xml:space="preserve">Open the Bob panel in the IDE</w:t>
      </w:r>
    </w:p>
    <w:p>
      <w:pPr>
        <w:pStyle w:val="ListParagraph"/>
        <w:numPr>
          <w:ilvl w:val="0"/>
          <w:numId w:val="2"/>
        </w:numPr>
        <w:spacing w:after="60"/>
      </w:pPr>
      <w:r>
        <w:t xml:space="preserve">Click the settings cog icon</w:t>
      </w:r>
    </w:p>
    <w:p>
      <w:pPr>
        <w:pStyle w:val="ListParagraph"/>
        <w:numPr>
          <w:ilvl w:val="0"/>
          <w:numId w:val="2"/>
        </w:numPr>
        <w:spacing w:after="60"/>
      </w:pPr>
      <w:r>
        <w:t xml:space="preserve">Click the Export button next to “Export Bob settings to a JSON file”</w:t>
      </w:r>
    </w:p>
    <w:p>
      <w:pPr>
        <w:pStyle w:val="ListParagraph"/>
        <w:numPr>
          <w:ilvl w:val="0"/>
          <w:numId w:val="2"/>
        </w:numPr>
        <w:spacing w:after="160"/>
      </w:pPr>
      <w:r>
        <w:t xml:space="preserve">Select a save location — this captures all custom instructions and project rules</w:t>
      </w:r>
    </w:p>
    <w:tbl>
      <w:tblPr>
        <w:tblW w:type="pct" w:w="100%"/>
        <w:tblBorders>
          <w:top w:val="none" w:color="FFFFFF" w:sz="0"/>
          <w:left w:val="single" w:color="c2410c" w:sz="24"/>
          <w:bottom w:val="none" w:color="FFFFFF" w:sz="0"/>
          <w:right w:val="none" w:color="FFFFFF" w:sz="0"/>
          <w:insideH w:val="none" w:color="FFFFFF" w:sz="0"/>
          <w:insideV w:val="none" w:color="FFFFFF" w:sz="0"/>
        </w:tblBorders>
      </w:tblPr>
      <w:tblGrid>
        <w:gridCol w:w="100"/>
      </w:tblGrid>
      <w:tr>
        <w:tc>
          <w:tcPr>
            <w:shd w:fill="fff7ed" w:val="clear"/>
            <w:tcMar>
              <w:top w:type="dxa" w:w="150"/>
              <w:left w:type="dxa" w:w="200"/>
              <w:bottom w:type="dxa" w:w="150"/>
              <w:right w:type="dxa" w:w="200"/>
            </w:tcMar>
          </w:tcPr>
          <w:p>
            <w:r>
              <w:rPr>
                <w:b/>
                <w:bCs/>
                <w:sz w:val="17"/>
                <w:szCs w:val="17"/>
              </w:rPr>
              <w:t xml:space="preserve">Note on session logs: </w:t>
            </w:r>
            <w:r>
              <w:rPr>
                <w:sz w:val="17"/>
                <w:szCs w:val="17"/>
              </w:rPr>
              <w:t xml:space="preserve">IBM Bob does not expose a native session-history or conversation-log export feature. The task inventory table in the Task Report section of this document constitutes the authoritative human-readable record of all tasks performed, derived from the project's git history, planning documents, implemented source files, and documentation artifacts. For a machine-readable version, this report can be re-exported as JSON or Markdown on request.</w:t>
            </w:r>
          </w:p>
        </w:tc>
      </w:tr>
    </w:tbl>
    <w:p>
      <w:pPr>
        <w:spacing w:after="300"/>
      </w:pPr>
    </w:p>
    <w:p>
      <w:pPr>
        <w:pBdr>
          <w:top w:val="single" w:color="e5e7eb" w:sz="4"/>
        </w:pBdr>
        <w:spacing w:before="200"/>
        <w:jc w:val="center"/>
      </w:pPr>
      <w:r>
        <w:rPr>
          <w:color w:val="57606a"/>
          <w:sz w:val="16"/>
          <w:szCs w:val="16"/>
        </w:rPr>
        <w:t xml:space="preserve">Made with IBM Bob</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2328"/>
      <w:sz w:val="44"/>
      <w:szCs w:val="44"/>
    </w:rPr>
  </w:style>
  <w:style w:type="paragraph" w:styleId="Heading1">
    <w:name w:val="Heading 1"/>
    <w:basedOn w:val="Normal"/>
    <w:next w:val="Normal"/>
    <w:qFormat/>
    <w:pPr>
      <w:spacing w:after="100" w:before="120"/>
    </w:pPr>
    <w:rPr>
      <w:b/>
      <w:bCs/>
      <w:color w:val="1f2328"/>
      <w:sz w:val="26"/>
      <w:szCs w:val="26"/>
    </w:rPr>
  </w:style>
  <w:style w:type="paragraph" w:styleId="Heading2">
    <w:name w:val="Heading 2"/>
    <w:basedOn w:val="Normal"/>
    <w:next w:val="Normal"/>
    <w:qFormat/>
    <w:pPr>
      <w:spacing w:after="80" w:before="200"/>
    </w:pPr>
    <w:rPr>
      <w:b/>
      <w:bCs/>
      <w:color w:val="1f232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2026-08-29T16:36:40.259Z</dcterms:created>
  <dcterms:modified xsi:type="dcterms:W3CDTF">2026-08-29T16:36:40.259Z</dcterms:modified>
</cp:coreProperties>
</file>

<file path=docProps/custom.xml><?xml version="1.0" encoding="utf-8"?>
<Properties xmlns="http://schemas.openxmlformats.org/officeDocument/2006/custom-properties" xmlns:vt="http://schemas.openxmlformats.org/officeDocument/2006/docPropsVTypes"/>
</file>