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4"/>
        </w:rPr>
        <w:t>ADVANCED ENGLISH &amp; RHETORIC LESSON PLAN</w:t>
      </w:r>
    </w:p>
    <w:p>
      <w:pPr>
        <w:spacing w:after="480"/>
      </w:pPr>
      <w:r>
        <w:rPr>
          <w:i/>
          <w:color w:val="5C768D"/>
          <w:sz w:val="26"/>
        </w:rPr>
        <w:t>Grade 8 Curriculum  •  Chapter 4: Rhetorical Devices &amp; Persuasive Objects</w:t>
      </w:r>
    </w:p>
    <w:tbl>
      <w:tblPr>
        <w:tblW w:type="auto" w:w="0"/>
        <w:tblLayout w:type="fixed"/>
        <w:tblLook w:firstColumn="1" w:firstRow="1" w:lastColumn="0" w:lastRow="0" w:noHBand="0" w:noVBand="1" w:val="04A0"/>
      </w:tblPr>
      <w:tblGrid>
        <w:gridCol w:w="4680"/>
        <w:gridCol w:w="4680"/>
      </w:tblGrid>
      <w:tr>
        <w:tc>
          <w:tcPr>
            <w:tcW w:type="dxa" w:w="4680"/>
            <w:shd w:fill="F2F4F8"/>
            <w:tcMar>
              <w:top w:w="120" w:type="dxa"/>
              <w:bottom w:w="120" w:type="dxa"/>
              <w:left w:w="150" w:type="dxa"/>
              <w:right w:w="150" w:type="dxa"/>
            </w:tcMar>
            <w:tcBorders>
              <w:top w:sz="4" w:val="single" w:color="D0D5DD"/>
              <w:left w:sz="4" w:val="single" w:color="D0D5DD"/>
              <w:bottom w:sz="4" w:val="single" w:color="D0D5DD"/>
              <w:right w:sz="4" w:val="single" w:color="D0D5DD"/>
            </w:tcBorders>
          </w:tcPr>
          <w:p>
            <w:r>
              <w:rPr>
                <w:color w:val="344054"/>
                <w:sz w:val="20"/>
              </w:rPr>
              <w:t>Target Level: Grade 8 (Advanced)</w:t>
            </w:r>
          </w:p>
        </w:tc>
        <w:tc>
          <w:tcPr>
            <w:tcW w:type="dxa" w:w="4680"/>
            <w:shd w:fill="F2F4F8"/>
            <w:tcMar>
              <w:top w:w="120" w:type="dxa"/>
              <w:bottom w:w="120" w:type="dxa"/>
              <w:left w:w="150" w:type="dxa"/>
              <w:right w:w="150" w:type="dxa"/>
            </w:tcMar>
            <w:tcBorders>
              <w:top w:sz="4" w:val="single" w:color="D0D5DD"/>
              <w:left w:sz="4" w:val="single" w:color="D0D5DD"/>
              <w:bottom w:sz="4" w:val="single" w:color="D0D5DD"/>
              <w:right w:sz="4" w:val="single" w:color="D0D5DD"/>
            </w:tcBorders>
          </w:tcPr>
          <w:p>
            <w:r>
              <w:rPr>
                <w:color w:val="344054"/>
                <w:sz w:val="20"/>
              </w:rPr>
              <w:t>Duration: 60 - 75 Minutes</w:t>
            </w:r>
          </w:p>
        </w:tc>
      </w:tr>
      <w:tr>
        <w:tc>
          <w:tcPr>
            <w:tcW w:type="dxa" w:w="4680"/>
            <w:shd w:fill="F2F4F8"/>
            <w:tcMar>
              <w:top w:w="120" w:type="dxa"/>
              <w:bottom w:w="120" w:type="dxa"/>
              <w:left w:w="150" w:type="dxa"/>
              <w:right w:w="150" w:type="dxa"/>
            </w:tcMar>
            <w:tcBorders>
              <w:top w:sz="4" w:val="single" w:color="D0D5DD"/>
              <w:left w:sz="4" w:val="single" w:color="D0D5DD"/>
              <w:bottom w:sz="4" w:val="single" w:color="D0D5DD"/>
              <w:right w:sz="4" w:val="single" w:color="D0D5DD"/>
            </w:tcBorders>
          </w:tcPr>
          <w:p>
            <w:r>
              <w:rPr>
                <w:color w:val="344054"/>
                <w:sz w:val="20"/>
              </w:rPr>
              <w:t>Core Subject: Grammar &amp; Rhetoric</w:t>
            </w:r>
          </w:p>
        </w:tc>
        <w:tc>
          <w:tcPr>
            <w:tcW w:type="dxa" w:w="4680"/>
            <w:shd w:fill="F2F4F8"/>
            <w:tcMar>
              <w:top w:w="120" w:type="dxa"/>
              <w:bottom w:w="120" w:type="dxa"/>
              <w:left w:w="150" w:type="dxa"/>
              <w:right w:w="150" w:type="dxa"/>
            </w:tcMar>
            <w:tcBorders>
              <w:top w:sz="4" w:val="single" w:color="D0D5DD"/>
              <w:left w:sz="4" w:val="single" w:color="D0D5DD"/>
              <w:bottom w:sz="4" w:val="single" w:color="D0D5DD"/>
              <w:right w:sz="4" w:val="single" w:color="D0D5DD"/>
            </w:tcBorders>
          </w:tcPr>
          <w:p>
            <w:r>
              <w:rPr>
                <w:color w:val="344054"/>
                <w:sz w:val="20"/>
              </w:rPr>
              <w:t>Focus Word: Objective Allegory, Metaphorical Objects</w:t>
            </w:r>
          </w:p>
        </w:tc>
      </w:tr>
    </w:tbl>
    <w:p>
      <w:pPr>
        <w:spacing w:after="240"/>
      </w:pPr>
    </w:p>
    <w:p>
      <w:pPr>
        <w:keepNext/>
        <w:spacing w:before="360" w:after="120"/>
        <w:pBdr>
          <w:bottom w:val="single" w:sz="6" w:space="1" w:color="1B365D"/>
        </w:pBdr>
      </w:pPr>
      <w:r>
        <w:rPr>
          <w:b/>
          <w:color w:val="1B365D"/>
          <w:sz w:val="28"/>
        </w:rPr>
        <w:t>1. Lesson Overview &amp; Objectives</w:t>
      </w:r>
    </w:p>
    <w:p>
      <w:r>
        <w:t>In elementary levels, students learn to treat objects purely as common nouns or physical entities. At an advanced Grade 8 level, this lesson shifts perspective to focus on Objects as Rhetorical Symbols and Allegories within literature and persuasive writing. Students will dissect how authors manipulate ordinary objects to argue abstract philosophical points or convey deeper thematic weight.</w:t>
      </w:r>
    </w:p>
    <w:p>
      <w:r>
        <w:rPr>
          <w:b/>
        </w:rPr>
        <w:t>By the end of this specialized instructional block, students will be fully equipped to:</w:t>
      </w:r>
    </w:p>
    <w:p>
      <w:pPr>
        <w:pStyle w:val="ListBullet"/>
      </w:pPr>
      <w:r>
        <w:t xml:space="preserve">Deconstruct literary symbolism </w:t>
      </w:r>
      <w:r>
        <w:t>by isolating specific physical objects used as thematic anchors in a narrative context (e.g., a broken pocket-watch signifying frozen chronological development).</w:t>
      </w:r>
    </w:p>
    <w:p>
      <w:pPr>
        <w:pStyle w:val="ListBullet"/>
      </w:pPr>
      <w:r>
        <w:t xml:space="preserve">Analyze advanced grammar frameworks, </w:t>
      </w:r>
      <w:r>
        <w:t>specifically tracking the deployment of complex objective complements and appositive noun phrases that reshape modifying structures.</w:t>
      </w:r>
    </w:p>
    <w:p>
      <w:pPr>
        <w:pStyle w:val="ListBullet"/>
      </w:pPr>
      <w:r>
        <w:t xml:space="preserve">Synthesize rhetoric and physical form </w:t>
      </w:r>
      <w:r>
        <w:t>by drafting a sophisticated persuasive paragraph utilizing an ordinary desk object as an ideological proxy.</w:t>
      </w:r>
    </w:p>
    <w:p>
      <w:pPr>
        <w:keepNext/>
        <w:spacing w:before="360" w:after="120"/>
        <w:pBdr>
          <w:bottom w:val="single" w:sz="6" w:space="1" w:color="1B365D"/>
        </w:pBdr>
      </w:pPr>
      <w:r>
        <w:rPr>
          <w:b/>
          <w:color w:val="1B365D"/>
          <w:sz w:val="28"/>
        </w:rPr>
        <w:t>2. Advanced Grammar: Objective Complements</w:t>
      </w:r>
    </w:p>
    <w:p>
      <w:r>
        <w:t>Before shifting into advanced literary devices, we look closely at how complex syntax wraps around physical objects. In Grade 3, sentences were linear (e.g., 'The student found a blue ball'). In Grade 8, we master the Objective Complement—a noun, pronoun, or adjective that follows a direct object to rename it or state what it has become.</w:t>
      </w:r>
    </w:p>
    <w:tbl>
      <w:tblPr>
        <w:tblW w:type="auto" w:w="0"/>
        <w:tblLayout w:type="fixed"/>
        <w:tblLook w:firstColumn="1" w:firstRow="1" w:lastColumn="0" w:lastRow="0" w:noHBand="0" w:noVBand="1" w:val="04A0"/>
      </w:tblPr>
      <w:tblGrid>
        <w:gridCol w:w="3168"/>
        <w:gridCol w:w="6192"/>
      </w:tblGrid>
      <w:tr>
        <w:tc>
          <w:tcPr>
            <w:tcW w:type="dxa" w:w="4680"/>
            <w:shd w:fill="1B365D"/>
          </w:tcPr>
          <w:p>
            <w:r>
              <w:rPr>
                <w:b/>
                <w:color w:val="FFFFFF"/>
                <w:sz w:val="21"/>
              </w:rPr>
              <w:t>Sentence Structure Element</w:t>
            </w:r>
          </w:p>
        </w:tc>
        <w:tc>
          <w:tcPr>
            <w:tcW w:type="dxa" w:w="4680"/>
            <w:shd w:fill="1B365D"/>
          </w:tcPr>
          <w:p>
            <w:r>
              <w:rPr>
                <w:b/>
                <w:color w:val="FFFFFF"/>
                <w:sz w:val="21"/>
              </w:rPr>
              <w:t>Example &amp; Syntactical Breakdown</w:t>
            </w:r>
          </w:p>
        </w:tc>
      </w:tr>
      <w:tr>
        <w:tc>
          <w:tcPr>
            <w:tcW w:type="dxa" w:w="4680"/>
            <w:shd w:fill="FAFAFA"/>
            <w:tcMar>
              <w:top w:w="100" w:type="dxa"/>
              <w:bottom w:w="100" w:type="dxa"/>
              <w:left w:w="120" w:type="dxa"/>
              <w:right w:w="120" w:type="dxa"/>
            </w:tcMar>
            <w:tcBorders>
              <w:top w:sz="4" w:val="single" w:color="E0E0E0"/>
              <w:left w:sz="4" w:val="single" w:color="E0E0E0"/>
              <w:bottom w:sz="4" w:val="single" w:color="E0E0E0"/>
              <w:right w:sz="4" w:val="single" w:color="E0E0E0"/>
            </w:tcBorders>
          </w:tcPr>
          <w:p>
            <w:r>
              <w:rPr>
                <w:b/>
                <w:sz w:val="20"/>
              </w:rPr>
              <w:t>Example Sentence</w:t>
            </w:r>
          </w:p>
        </w:tc>
        <w:tc>
          <w:tcPr>
            <w:tcW w:type="dxa" w:w="4680"/>
            <w:shd w:fill="FAFAFA"/>
            <w:tcMar>
              <w:top w:w="100" w:type="dxa"/>
              <w:bottom w:w="100" w:type="dxa"/>
              <w:left w:w="120" w:type="dxa"/>
              <w:right w:w="120" w:type="dxa"/>
            </w:tcMar>
            <w:tcBorders>
              <w:top w:sz="4" w:val="single" w:color="E0E0E0"/>
              <w:left w:sz="4" w:val="single" w:color="E0E0E0"/>
              <w:bottom w:sz="4" w:val="single" w:color="E0E0E0"/>
              <w:right w:sz="4" w:val="single" w:color="E0E0E0"/>
            </w:tcBorders>
          </w:tcPr>
          <w:p>
            <w:r>
              <w:rPr>
                <w:sz w:val="20"/>
              </w:rPr>
              <w:t>The committee elected the simple wooden gavel the official symbol of authority.</w:t>
            </w:r>
          </w:p>
        </w:tc>
      </w:tr>
      <w:tr>
        <w:tc>
          <w:tcPr>
            <w:tcW w:type="dxa" w:w="4680"/>
            <w:shd w:fill="F2F4F8"/>
            <w:tcMar>
              <w:top w:w="100" w:type="dxa"/>
              <w:bottom w:w="100" w:type="dxa"/>
              <w:left w:w="120" w:type="dxa"/>
              <w:right w:w="120" w:type="dxa"/>
            </w:tcMar>
            <w:tcBorders>
              <w:top w:sz="4" w:val="single" w:color="E0E0E0"/>
              <w:left w:sz="4" w:val="single" w:color="E0E0E0"/>
              <w:bottom w:sz="4" w:val="single" w:color="E0E0E0"/>
              <w:right w:sz="4" w:val="single" w:color="E0E0E0"/>
            </w:tcBorders>
          </w:tcPr>
          <w:p>
            <w:r>
              <w:rPr>
                <w:b/>
                <w:sz w:val="20"/>
              </w:rPr>
              <w:t>Grammatical Parsing</w:t>
            </w:r>
          </w:p>
        </w:tc>
        <w:tc>
          <w:tcPr>
            <w:tcW w:type="dxa" w:w="4680"/>
            <w:shd w:fill="F2F4F8"/>
            <w:tcMar>
              <w:top w:w="100" w:type="dxa"/>
              <w:bottom w:w="100" w:type="dxa"/>
              <w:left w:w="120" w:type="dxa"/>
              <w:right w:w="120" w:type="dxa"/>
            </w:tcMar>
            <w:tcBorders>
              <w:top w:sz="4" w:val="single" w:color="E0E0E0"/>
              <w:left w:sz="4" w:val="single" w:color="E0E0E0"/>
              <w:bottom w:sz="4" w:val="single" w:color="E0E0E0"/>
              <w:right w:sz="4" w:val="single" w:color="E0E0E0"/>
            </w:tcBorders>
          </w:tcPr>
          <w:p>
            <w:r>
              <w:rPr>
                <w:sz w:val="20"/>
              </w:rPr>
              <w:t>• Direct Object: 'the simple wooden gavel' (the physical object receiving action)</w:t>
              <w:br/>
              <w:t>• Objective Complement: 'the official symbol of authority' (the noun phrase renaming the object and altering its legal status).</w:t>
            </w:r>
          </w:p>
        </w:tc>
      </w:tr>
    </w:tbl>
    <w:p>
      <w:pPr>
        <w:keepNext/>
        <w:spacing w:before="360" w:after="120"/>
        <w:pBdr>
          <w:bottom w:val="single" w:sz="6" w:space="1" w:color="1B365D"/>
        </w:pBdr>
      </w:pPr>
      <w:r>
        <w:rPr>
          <w:b/>
          <w:color w:val="1B365D"/>
          <w:sz w:val="28"/>
        </w:rPr>
        <w:t>3. Rhetorical Analysis: Metaphorical Objects</w:t>
      </w:r>
    </w:p>
    <w:p>
      <w:r>
        <w:t>Objects are rarely just objects when placed into argumentative or creative writing. They hold rhetorical power. Writers strategically exploit three distinct categories of object integration:</w:t>
      </w:r>
    </w:p>
    <w:p>
      <w:r>
        <w:rPr>
          <w:b/>
        </w:rPr>
        <w:t xml:space="preserve">1. The Objective Correlative: </w:t>
      </w:r>
      <w:r>
        <w:t>A sequence of objects, situations, or events that serve as the formula for a particular complex emotion. For example, a messy workbench covered in rusted, dull tools isn't just an unkempt space; it represents a craftsman's decaying sense of purpose and psychological burnout.</w:t>
      </w:r>
    </w:p>
    <w:p>
      <w:r>
        <w:rPr>
          <w:b/>
        </w:rPr>
        <w:t xml:space="preserve">2. Ideological Proxies: </w:t>
      </w:r>
      <w:r>
        <w:t>Using an ordinary item to anchor an intense socio-political debate. A simple plastic straw ceases to be a functional utensil and becomes a highly charged rhetorical proxy for environmental conservation versus consumer convenience.</w:t>
      </w:r>
    </w:p>
    <w:p>
      <w:pPr>
        <w:keepNext/>
        <w:spacing w:before="360" w:after="120"/>
        <w:pBdr>
          <w:bottom w:val="single" w:sz="6" w:space="1" w:color="1B365D"/>
        </w:pBdr>
      </w:pPr>
      <w:r>
        <w:rPr>
          <w:b/>
          <w:color w:val="1B365D"/>
          <w:sz w:val="28"/>
        </w:rPr>
        <w:t>4. Guided Workshop: Deconstructing Text</w:t>
      </w:r>
    </w:p>
    <w:p>
      <w:r>
        <w:t>Read the sample passage below, paying careful attention to how the writer frames a simple classroom object to argue a philosophy on institutional standardization.</w:t>
      </w:r>
    </w:p>
    <w:tbl>
      <w:tblPr>
        <w:tblW w:type="auto" w:w="0"/>
        <w:tblLook w:firstColumn="1" w:firstRow="1" w:lastColumn="0" w:lastRow="0" w:noHBand="0" w:noVBand="1" w:val="04A0"/>
      </w:tblPr>
      <w:tblGrid>
        <w:gridCol w:w="9360"/>
      </w:tblGrid>
      <w:tr>
        <w:tc>
          <w:tcPr>
            <w:tcW w:type="dxa" w:w="9360"/>
            <w:shd w:fill="F5F7FA"/>
            <w:tcMar>
              <w:top w:w="140" w:type="dxa"/>
              <w:bottom w:w="140" w:type="dxa"/>
              <w:left w:w="200" w:type="dxa"/>
              <w:right w:w="140" w:type="dxa"/>
            </w:tcMar>
            <w:tcBorders>
              <w:top w:sz="0" w:val="none" w:color="auto"/>
              <w:left w:sz="24" w:val="single" w:color="1B365D"/>
              <w:bottom w:sz="0" w:val="none" w:color="auto"/>
              <w:right w:sz="0" w:val="none" w:color="auto"/>
            </w:tcBorders>
          </w:tcPr>
          <w:p>
            <w:pPr>
              <w:spacing w:before="80" w:after="80"/>
            </w:pPr>
            <w:r>
              <w:rPr>
                <w:i/>
                <w:color w:val="2C3E50"/>
                <w:sz w:val="21"/>
              </w:rPr>
              <w:t>"Rows of identical yellow number-two pencils rested atop the linoleum desks, perfectly parallel, sharpened to uniform points. To the administrator, this precise layout labeled the institution efficient. Yet, to the student, each yellow cylinder felt like a small, wooden cage, locking up individual expression behind a shield of identical graphite."</w:t>
            </w:r>
          </w:p>
        </w:tc>
      </w:tr>
    </w:tbl>
    <w:p>
      <w:pPr>
        <w:spacing w:after="120"/>
      </w:pPr>
    </w:p>
    <w:p>
      <w:r>
        <w:rPr>
          <w:b/>
        </w:rPr>
        <w:t>Discussion Prompt for Small Groups:</w:t>
      </w:r>
    </w:p>
    <w:p>
      <w:pPr>
        <w:pStyle w:val="ListNumber"/>
      </w:pPr>
      <w:r>
        <w:t>Identify the direct object and the objective complement embedded in the administrator's perspective within the passage.</w:t>
      </w:r>
    </w:p>
    <w:p>
      <w:pPr>
        <w:pStyle w:val="ListNumber"/>
      </w:pPr>
      <w:r>
        <w:t>How does the pencil transform from a simple common noun into a rhetorical proxy? Contrast the administrator’s interpretation with the student’s interpretation.</w:t>
      </w:r>
    </w:p>
    <w:p>
      <w:pPr>
        <w:keepNext/>
        <w:spacing w:before="360" w:after="120"/>
        <w:pBdr>
          <w:bottom w:val="single" w:sz="6" w:space="1" w:color="1B365D"/>
        </w:pBdr>
      </w:pPr>
      <w:r>
        <w:rPr>
          <w:b/>
          <w:color w:val="1B365D"/>
          <w:sz w:val="28"/>
        </w:rPr>
        <w:t>5. Independent Practicum &amp; Assessment Matrix</w:t>
      </w:r>
    </w:p>
    <w:p>
      <w:r>
        <w:t>To demonstrate mastery of both the syntactic structures and the analytical frameworks introduced today, students must execute the following evaluation tasks before the close of the academic block.</w:t>
      </w:r>
    </w:p>
    <w:tbl>
      <w:tblPr>
        <w:tblW w:type="auto" w:w="0"/>
        <w:tblLayout w:type="fixed"/>
        <w:tblLook w:firstColumn="1" w:firstRow="1" w:lastColumn="0" w:lastRow="0" w:noHBand="0" w:noVBand="1" w:val="04A0"/>
      </w:tblPr>
      <w:tblGrid>
        <w:gridCol w:w="2592"/>
        <w:gridCol w:w="4896"/>
        <w:gridCol w:w="1872"/>
      </w:tblGrid>
      <w:tr>
        <w:tc>
          <w:tcPr>
            <w:tcW w:type="dxa" w:w="3120"/>
            <w:shd w:fill="5C768D"/>
          </w:tcPr>
          <w:p>
            <w:r>
              <w:rPr>
                <w:b/>
                <w:color w:val="FFFFFF"/>
                <w:sz w:val="21"/>
              </w:rPr>
              <w:t>Task Category</w:t>
            </w:r>
          </w:p>
        </w:tc>
        <w:tc>
          <w:tcPr>
            <w:tcW w:type="dxa" w:w="3120"/>
            <w:shd w:fill="5C768D"/>
          </w:tcPr>
          <w:p>
            <w:r>
              <w:rPr>
                <w:b/>
                <w:color w:val="FFFFFF"/>
                <w:sz w:val="21"/>
              </w:rPr>
              <w:t>Execution Requirements</w:t>
            </w:r>
          </w:p>
        </w:tc>
        <w:tc>
          <w:tcPr>
            <w:tcW w:type="dxa" w:w="3120"/>
            <w:shd w:fill="5C768D"/>
          </w:tcPr>
          <w:p>
            <w:r>
              <w:rPr>
                <w:b/>
                <w:color w:val="FFFFFF"/>
                <w:sz w:val="21"/>
              </w:rPr>
              <w:t>Weighting</w:t>
            </w:r>
          </w:p>
        </w:tc>
      </w:tr>
      <w:tr>
        <w:tc>
          <w:tcPr>
            <w:tcW w:type="dxa" w:w="3120"/>
            <w:shd w:fill="FAFAFA"/>
            <w:tcMar>
              <w:top w:w="100" w:type="dxa"/>
              <w:bottom w:w="100" w:type="dxa"/>
              <w:left w:w="120" w:type="dxa"/>
              <w:right w:w="120" w:type="dxa"/>
            </w:tcMar>
            <w:tcBorders>
              <w:top w:sz="4" w:val="single" w:color="D0D5DD"/>
              <w:left w:sz="4" w:val="single" w:color="D0D5DD"/>
              <w:bottom w:sz="4" w:val="single" w:color="D0D5DD"/>
              <w:right w:sz="4" w:val="single" w:color="D0D5DD"/>
            </w:tcBorders>
          </w:tcPr>
          <w:p>
            <w:r>
              <w:rPr>
                <w:b/>
                <w:sz w:val="19"/>
              </w:rPr>
              <w:t>Syntactic Drafting</w:t>
            </w:r>
          </w:p>
        </w:tc>
        <w:tc>
          <w:tcPr>
            <w:tcW w:type="dxa" w:w="3120"/>
            <w:shd w:fill="FAFAFA"/>
            <w:tcMar>
              <w:top w:w="100" w:type="dxa"/>
              <w:bottom w:w="100" w:type="dxa"/>
              <w:left w:w="120" w:type="dxa"/>
              <w:right w:w="120" w:type="dxa"/>
            </w:tcMar>
            <w:tcBorders>
              <w:top w:sz="4" w:val="single" w:color="D0D5DD"/>
              <w:left w:sz="4" w:val="single" w:color="D0D5DD"/>
              <w:bottom w:sz="4" w:val="single" w:color="D0D5DD"/>
              <w:right w:sz="4" w:val="single" w:color="D0D5DD"/>
            </w:tcBorders>
          </w:tcPr>
          <w:p>
            <w:r>
              <w:rPr>
                <w:sz w:val="19"/>
              </w:rPr>
              <w:t>Draft three sentences using an object on your desk. One sentence must utilize an objective complement renaming the object, and another must include an appositive phrase modifying it.</w:t>
            </w:r>
          </w:p>
        </w:tc>
        <w:tc>
          <w:tcPr>
            <w:tcW w:type="dxa" w:w="3120"/>
            <w:shd w:fill="FAFAFA"/>
            <w:tcMar>
              <w:top w:w="100" w:type="dxa"/>
              <w:bottom w:w="100" w:type="dxa"/>
              <w:left w:w="120" w:type="dxa"/>
              <w:right w:w="120" w:type="dxa"/>
            </w:tcMar>
            <w:tcBorders>
              <w:top w:sz="4" w:val="single" w:color="D0D5DD"/>
              <w:left w:sz="4" w:val="single" w:color="D0D5DD"/>
              <w:bottom w:sz="4" w:val="single" w:color="D0D5DD"/>
              <w:right w:sz="4" w:val="single" w:color="D0D5DD"/>
            </w:tcBorders>
          </w:tcPr>
          <w:p>
            <w:pPr>
              <w:jc w:val="center"/>
            </w:pPr>
            <w:r>
              <w:rPr>
                <w:sz w:val="19"/>
              </w:rPr>
              <w:t>30% of Core</w:t>
            </w:r>
          </w:p>
        </w:tc>
      </w:tr>
      <w:tr>
        <w:tc>
          <w:tcPr>
            <w:tcW w:type="dxa" w:w="3120"/>
            <w:shd w:fill="F2F4F8"/>
            <w:tcMar>
              <w:top w:w="100" w:type="dxa"/>
              <w:bottom w:w="100" w:type="dxa"/>
              <w:left w:w="120" w:type="dxa"/>
              <w:right w:w="120" w:type="dxa"/>
            </w:tcMar>
            <w:tcBorders>
              <w:top w:sz="4" w:val="single" w:color="D0D5DD"/>
              <w:left w:sz="4" w:val="single" w:color="D0D5DD"/>
              <w:bottom w:sz="4" w:val="single" w:color="D0D5DD"/>
              <w:right w:sz="4" w:val="single" w:color="D0D5DD"/>
            </w:tcBorders>
          </w:tcPr>
          <w:p>
            <w:r>
              <w:rPr>
                <w:b/>
                <w:sz w:val="19"/>
              </w:rPr>
              <w:t>Rhetorical Composition</w:t>
            </w:r>
          </w:p>
        </w:tc>
        <w:tc>
          <w:tcPr>
            <w:tcW w:type="dxa" w:w="3120"/>
            <w:shd w:fill="F2F4F8"/>
            <w:tcMar>
              <w:top w:w="100" w:type="dxa"/>
              <w:bottom w:w="100" w:type="dxa"/>
              <w:left w:w="120" w:type="dxa"/>
              <w:right w:w="120" w:type="dxa"/>
            </w:tcMar>
            <w:tcBorders>
              <w:top w:sz="4" w:val="single" w:color="D0D5DD"/>
              <w:left w:sz="4" w:val="single" w:color="D0D5DD"/>
              <w:bottom w:sz="4" w:val="single" w:color="D0D5DD"/>
              <w:right w:sz="4" w:val="single" w:color="D0D5DD"/>
            </w:tcBorders>
          </w:tcPr>
          <w:p>
            <w:r>
              <w:rPr>
                <w:sz w:val="19"/>
              </w:rPr>
              <w:t>Compose a 150-word analytical paragraph framing an everyday object (e.g., a smartphone, a water bottle, a clock) as an ideological proxy. Argue its cultural or socio-political significance.</w:t>
            </w:r>
          </w:p>
        </w:tc>
        <w:tc>
          <w:tcPr>
            <w:tcW w:type="dxa" w:w="3120"/>
            <w:shd w:fill="F2F4F8"/>
            <w:tcMar>
              <w:top w:w="100" w:type="dxa"/>
              <w:bottom w:w="100" w:type="dxa"/>
              <w:left w:w="120" w:type="dxa"/>
              <w:right w:w="120" w:type="dxa"/>
            </w:tcMar>
            <w:tcBorders>
              <w:top w:sz="4" w:val="single" w:color="D0D5DD"/>
              <w:left w:sz="4" w:val="single" w:color="D0D5DD"/>
              <w:bottom w:sz="4" w:val="single" w:color="D0D5DD"/>
              <w:right w:sz="4" w:val="single" w:color="D0D5DD"/>
            </w:tcBorders>
          </w:tcPr>
          <w:p>
            <w:pPr>
              <w:jc w:val="center"/>
            </w:pPr>
            <w:r>
              <w:rPr>
                <w:sz w:val="19"/>
              </w:rPr>
              <w:t>70% of Core</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color w:val="98A2B3"/>
        <w:sz w:val="17"/>
      </w:rPr>
      <w:t>Grade 8 Curriculum Plan • Chapter 4: Advanced Rhetoric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