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alternativo)</w:t>
      </w:r>
    </w:p>
    <w:p>
      <w:pPr>
        <w:spacing w:after="120" w:line="276"/>
      </w:pPr>
      <w:r>
        <w:rPr>
          <w:rFonts w:ascii="Arial" w:cs="Arial" w:eastAsia="Arial" w:hAnsi="Arial"/>
          <w:b/>
          <w:bCs/>
        </w:rPr>
        <w:t xml:space="preserve">Qué es: </w:t>
      </w:r>
      <w:r>
        <w:rPr>
          <w:rFonts w:ascii="Arial" w:cs="Arial" w:eastAsia="Arial" w:hAnsi="Arial"/>
        </w:rPr>
        <w:t xml:space="preserve">el CI/CD principal es GitHub Actions, pero en banca y gran empresa Jenkins sigue siendo el estándar. Se añade un Jenkinsfile que expresa el mismo pipeline en Jenkins — no reemplaza a GitHub Actions, demuestra que el flujo es portable y está como pipeline-as-code en la herramienta más extendida del sector.</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Jenkinsfile</w:t>
      </w:r>
      <w:r>
        <w:rPr>
          <w:rFonts w:ascii="Arial" w:cs="Arial" w:eastAsia="Arial" w:hAnsi="Arial"/>
        </w:rPr>
        <w:t xml:space="preserve"> declarativo con etapas Checkout → Build &amp; Test (mvn en contenedor) → SonarCloud → Package → Docker build &amp; push (GHCR) → Trivy → Deploy (manual con aprobación). Se acompaña de </w:t>
      </w:r>
      <w:r>
        <w:rPr>
          <w:rFonts w:ascii="Consolas" w:cs="Consolas" w:eastAsia="Consolas" w:hAnsi="Consolas"/>
          <w:color w:val="4F46E5"/>
        </w:rPr>
        <w:t xml:space="preserve">jenkins/Dockerfile</w:t>
      </w:r>
      <w:r>
        <w:rPr>
          <w:rFonts w:ascii="Arial" w:cs="Arial" w:eastAsia="Arial" w:hAnsi="Arial"/>
        </w:rPr>
        <w:t xml:space="preserve"> (Jenkins LTS + CLI de Docker + plugins) y </w:t>
      </w:r>
      <w:r>
        <w:rPr>
          <w:rFonts w:ascii="Consolas" w:cs="Consolas" w:eastAsia="Consolas" w:hAnsi="Consolas"/>
          <w:color w:val="4F46E5"/>
        </w:rPr>
        <w:t xml:space="preserve">docker-compose.jenkins.yml</w:t>
      </w:r>
      <w:r>
        <w:rPr>
          <w:rFonts w:ascii="Arial" w:cs="Arial" w:eastAsia="Arial" w:hAnsi="Arial"/>
        </w:rPr>
        <w:t xml:space="preserve"> para levantarlo en local. Es configuración (se verifica ejecutando el pipeline, no con tests). Detalle en JENKINS.md.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en 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contract-first con Protobuf.</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API de agregación para el frontend.</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2026-06-20T03:52:34.451Z</dcterms:created>
  <dcterms:modified xsi:type="dcterms:W3CDTF">2026-06-20T03:52:34.451Z</dcterms:modified>
</cp:coreProperties>
</file>

<file path=docProps/custom.xml><?xml version="1.0" encoding="utf-8"?>
<Properties xmlns="http://schemas.openxmlformats.org/officeDocument/2006/custom-properties" xmlns:vt="http://schemas.openxmlformats.org/officeDocument/2006/docPropsVTypes"/>
</file>