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En producción lo automatiza un Pact Broker.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2026-06-18T16:56:16.134Z</dcterms:created>
  <dcterms:modified xsi:type="dcterms:W3CDTF">2026-06-18T16:56:16.134Z</dcterms:modified>
</cp:coreProperties>
</file>

<file path=docProps/custom.xml><?xml version="1.0" encoding="utf-8"?>
<Properties xmlns="http://schemas.openxmlformats.org/officeDocument/2006/custom-properties" xmlns:vt="http://schemas.openxmlformats.org/officeDocument/2006/docPropsVTypes"/>
</file>