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3C0B" w:rsidRPr="002A4AED" w:rsidRDefault="00F83C0B" w:rsidP="00F83C0B">
      <w:r w:rsidRPr="002A4AED">
        <w:t>Список литературы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1 Закон РК «О стандартизации» от 5 октября 2018 года № 183-VІ ЗРК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2 Закон РК «О техническом регулировании» от 30 декабря 2020 года № 396-VI ЗРК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3 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 от 20 декабря 2016 года № 832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4 Закон РК «О разрешениях и уведомлениях» от 16 мая 2014 года № 202-V ЗРК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5 Закон РК «Об информатизации» от 24 ноября 2015 года № 418-V ЗРК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6 Стандарт организации ПР V-08-2022 Общие требования к оформлению текстовых учебных документов и основных надписей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7 Стандарт IEEE 830-1998 «Методика составления спецификаций требований к программному обеспечению, рекомендуемая IEEE»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8 СТ РК 1090-2002 ЕСПД. «Спецификация требований к программному обеспечению».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9 СТ РК 34.015-2002 Техническое задание на создание автоматизированной системы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10 Приказ «Об утверждении Правил классификации объектов информатизации и классификатор объектов информатизации» </w:t>
      </w:r>
      <w:proofErr w:type="spellStart"/>
      <w:r w:rsidRPr="002A4AED">
        <w:rPr>
          <w:b w:val="0"/>
        </w:rPr>
        <w:t>и.о</w:t>
      </w:r>
      <w:proofErr w:type="spellEnd"/>
      <w:r w:rsidRPr="002A4AED">
        <w:rPr>
          <w:b w:val="0"/>
        </w:rPr>
        <w:t xml:space="preserve">. Министра по инвестициям и развитию РК от 28 января 2016 года № 135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11 СТ РК ISO/IEC 27005-2013 Информационные технологии Методы обеспечения безопасности. Менеджмент риска информационной безопасности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12 СТ РК ISO/IEC 31010-2020 Менеджмент риска. Методы оценки риска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13 СТ РК ISO/IEC 27000-2019 Информационные технологии. Методы и средства обеспечения безопасности. Системы менеджмента информационной безопасности. Общий обзор и словарь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14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15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16 СТ РК ISO/IEC 27003-2018 Информационные технологии. Методы обеспечения безопасности. Руководство по внедрению системы менеджмента информационной безопасности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17 СТ РК ISO/IEC 27004-2018 Информационные технологии. Методы обеспечения безопасности. Менеджмент информационной безопасности. Измерение.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>18 Приказ Министра цифрового развития, оборонной и аэрокосмической промышленности Республики Казахстан от 3 июня 2019 года № 111/НҚ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19 </w:t>
      </w:r>
      <w:proofErr w:type="spellStart"/>
      <w:r w:rsidRPr="002A4AED">
        <w:rPr>
          <w:b w:val="0"/>
        </w:rPr>
        <w:t>Богульская</w:t>
      </w:r>
      <w:proofErr w:type="spellEnd"/>
      <w:r w:rsidRPr="002A4AED">
        <w:rPr>
          <w:b w:val="0"/>
        </w:rPr>
        <w:t xml:space="preserve">, Н. А. Модели безопасности компьютерных систем: учебное пособие / Н. А. </w:t>
      </w:r>
      <w:proofErr w:type="spellStart"/>
      <w:r w:rsidRPr="002A4AED">
        <w:rPr>
          <w:b w:val="0"/>
        </w:rPr>
        <w:t>Богульская</w:t>
      </w:r>
      <w:proofErr w:type="spellEnd"/>
      <w:r w:rsidRPr="002A4AED">
        <w:rPr>
          <w:b w:val="0"/>
        </w:rPr>
        <w:t>, М. М. Кучеров. — Красноярск: Сибирский федеральный университет, 2019. — 206 c.</w:t>
      </w:r>
    </w:p>
    <w:p w:rsidR="00F83C0B" w:rsidRPr="002A4AED" w:rsidRDefault="00F83C0B" w:rsidP="00F83C0B">
      <w:pPr>
        <w:rPr>
          <w:b w:val="0"/>
        </w:rPr>
      </w:pPr>
      <w:r w:rsidRPr="002A4AED">
        <w:rPr>
          <w:b w:val="0"/>
        </w:rPr>
        <w:t xml:space="preserve">20 Буч Г., </w:t>
      </w:r>
      <w:proofErr w:type="spellStart"/>
      <w:r w:rsidRPr="002A4AED">
        <w:rPr>
          <w:b w:val="0"/>
        </w:rPr>
        <w:t>Рамбо</w:t>
      </w:r>
      <w:proofErr w:type="spellEnd"/>
      <w:r w:rsidRPr="002A4AED">
        <w:rPr>
          <w:b w:val="0"/>
        </w:rPr>
        <w:t xml:space="preserve"> Д., Якобсон И. Язык UML. Руководство пользователя. 2-е изд.: Пер. с </w:t>
      </w:r>
      <w:proofErr w:type="spellStart"/>
      <w:r w:rsidRPr="002A4AED">
        <w:rPr>
          <w:b w:val="0"/>
        </w:rPr>
        <w:t>англ</w:t>
      </w:r>
      <w:proofErr w:type="spellEnd"/>
      <w:r w:rsidRPr="002A4AED">
        <w:rPr>
          <w:b w:val="0"/>
        </w:rPr>
        <w:t xml:space="preserve"> –М.: ДМК Пресс, 2014 – 496 с.</w:t>
      </w:r>
    </w:p>
    <w:p w:rsidR="00CF4A5C" w:rsidRDefault="00CF4A5C">
      <w:bookmarkStart w:id="0" w:name="_GoBack"/>
      <w:bookmarkEnd w:id="0"/>
    </w:p>
    <w:sectPr w:rsidR="00CF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0B"/>
    <w:rsid w:val="00CF4A5C"/>
    <w:rsid w:val="00F8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30077-F7DE-4C29-9D61-F41683C9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F83C0B"/>
    <w:pPr>
      <w:widowControl w:val="0"/>
      <w:suppressAutoHyphens/>
      <w:spacing w:after="0" w:line="240" w:lineRule="auto"/>
      <w:ind w:firstLine="425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position w:val="-1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Капжаппарова</dc:creator>
  <cp:keywords/>
  <dc:description/>
  <cp:lastModifiedBy>Дана Капжаппарова</cp:lastModifiedBy>
  <cp:revision>1</cp:revision>
  <dcterms:created xsi:type="dcterms:W3CDTF">2024-09-02T03:20:00Z</dcterms:created>
  <dcterms:modified xsi:type="dcterms:W3CDTF">2024-09-02T03:20:00Z</dcterms:modified>
</cp:coreProperties>
</file>