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E74B5"/>
          <w:sz w:val="20"/>
        </w:rPr>
        <w:t>IMPLEMENTATION READINESS REPORT</w:t>
      </w:r>
    </w:p>
    <w:p>
      <w:pPr>
        <w:spacing w:after="100"/>
      </w:pPr>
      <w:r>
        <w:rPr>
          <w:rFonts w:ascii="Calibri" w:hAnsi="Calibri"/>
          <w:b/>
          <w:color w:val="17365D"/>
          <w:sz w:val="50"/>
        </w:rPr>
        <w:t>QuickBooks Online Integration</w:t>
      </w:r>
    </w:p>
    <w:p>
      <w:pPr>
        <w:spacing w:after="280"/>
      </w:pPr>
      <w:r>
        <w:rPr>
          <w:rFonts w:ascii="Calibri" w:hAnsi="Calibri"/>
          <w:color w:val="667085"/>
          <w:sz w:val="25"/>
        </w:rPr>
        <w:t>BookSmart architecture, delivery plan, effort, risks, and production acceptance gates</w:t>
      </w:r>
    </w:p>
    <w:tbl>
      <w:tblPr>
        <w:tblW w:type="dxa" w:w="9360"/>
        <w:jc w:val="left"/>
        <w:tblLayout w:type="fixed"/>
        <w:tblLook w:firstColumn="1" w:firstRow="1" w:lastColumn="0" w:lastRow="0" w:noHBand="0" w:noVBand="1" w:val="04A0"/>
        <w:tblInd w:w="120" w:type="dxa"/>
      </w:tblPr>
      <w:tblGrid>
        <w:gridCol w:w="2250"/>
        <w:gridCol w:w="7110"/>
      </w:tblGrid>
      <w:tr>
        <w:tc>
          <w:tcPr>
            <w:tcW w:type="dxa" w:w="2250"/>
            <w:shd w:fill="E8EEF5"/>
            <w:tcMar>
              <w:top w:w="80" w:type="dxa"/>
              <w:start w:w="120" w:type="dxa"/>
              <w:bottom w:w="80" w:type="dxa"/>
              <w:end w:w="120" w:type="dxa"/>
            </w:tcMar>
            <w:vAlign w:val="center"/>
          </w:tcPr>
          <w:p>
            <w:r>
              <w:rPr>
                <w:rFonts w:ascii="Calibri" w:hAnsi="Calibri"/>
                <w:b/>
                <w:color w:val="17365D"/>
                <w:sz w:val="19"/>
              </w:rPr>
              <w:t>Prepared</w:t>
            </w:r>
          </w:p>
        </w:tc>
        <w:tc>
          <w:tcPr>
            <w:tcW w:type="dxa" w:w="7110"/>
            <w:tcMar>
              <w:top w:w="80" w:type="dxa"/>
              <w:start w:w="120" w:type="dxa"/>
              <w:bottom w:w="80" w:type="dxa"/>
              <w:end w:w="120" w:type="dxa"/>
            </w:tcMar>
            <w:vAlign w:val="center"/>
          </w:tcPr>
          <w:p>
            <w:r>
              <w:rPr>
                <w:rFonts w:ascii="Calibri" w:hAnsi="Calibri"/>
                <w:color w:val="1F2937"/>
                <w:sz w:val="19"/>
              </w:rPr>
              <w:t>August 5, 2026</w:t>
            </w:r>
          </w:p>
        </w:tc>
      </w:tr>
      <w:tr>
        <w:tc>
          <w:tcPr>
            <w:tcW w:type="dxa" w:w="2250"/>
            <w:shd w:fill="E8EEF5"/>
            <w:tcMar>
              <w:top w:w="80" w:type="dxa"/>
              <w:start w:w="120" w:type="dxa"/>
              <w:bottom w:w="80" w:type="dxa"/>
              <w:end w:w="120" w:type="dxa"/>
            </w:tcMar>
            <w:vAlign w:val="center"/>
          </w:tcPr>
          <w:p>
            <w:r>
              <w:rPr>
                <w:rFonts w:ascii="Calibri" w:hAnsi="Calibri"/>
                <w:b/>
                <w:color w:val="17365D"/>
                <w:sz w:val="19"/>
              </w:rPr>
              <w:t>Recommended release</w:t>
            </w:r>
          </w:p>
        </w:tc>
        <w:tc>
          <w:tcPr>
            <w:tcW w:type="dxa" w:w="7110"/>
            <w:tcMar>
              <w:top w:w="80" w:type="dxa"/>
              <w:start w:w="120" w:type="dxa"/>
              <w:bottom w:w="80" w:type="dxa"/>
              <w:end w:w="120" w:type="dxa"/>
            </w:tcMar>
            <w:vAlign w:val="center"/>
          </w:tcPr>
          <w:p>
            <w:r>
              <w:rPr>
                <w:rFonts w:ascii="Calibri" w:hAnsi="Calibri"/>
                <w:color w:val="1F2937"/>
                <w:sz w:val="19"/>
              </w:rPr>
              <w:t>Read-only QuickBooks Online import and synchronization</w:t>
            </w:r>
          </w:p>
        </w:tc>
      </w:tr>
      <w:tr>
        <w:tc>
          <w:tcPr>
            <w:tcW w:type="dxa" w:w="2250"/>
            <w:shd w:fill="E8EEF5"/>
            <w:tcMar>
              <w:top w:w="80" w:type="dxa"/>
              <w:start w:w="120" w:type="dxa"/>
              <w:bottom w:w="80" w:type="dxa"/>
              <w:end w:w="120" w:type="dxa"/>
            </w:tcMar>
            <w:vAlign w:val="center"/>
          </w:tcPr>
          <w:p>
            <w:r>
              <w:rPr>
                <w:rFonts w:ascii="Calibri" w:hAnsi="Calibri"/>
                <w:b/>
                <w:color w:val="17365D"/>
                <w:sz w:val="19"/>
              </w:rPr>
              <w:t>Current platform</w:t>
            </w:r>
          </w:p>
        </w:tc>
        <w:tc>
          <w:tcPr>
            <w:tcW w:type="dxa" w:w="7110"/>
            <w:tcMar>
              <w:top w:w="80" w:type="dxa"/>
              <w:start w:w="120" w:type="dxa"/>
              <w:bottom w:w="80" w:type="dxa"/>
              <w:end w:w="120" w:type="dxa"/>
            </w:tcMar>
            <w:vAlign w:val="center"/>
          </w:tcPr>
          <w:p>
            <w:r>
              <w:rPr>
                <w:rFonts w:ascii="Calibri" w:hAnsi="Calibri"/>
                <w:color w:val="1F2937"/>
                <w:sz w:val="19"/>
              </w:rPr>
              <w:t>React + Express + Supabase/PostgreSQL</w:t>
            </w:r>
          </w:p>
        </w:tc>
      </w:tr>
      <w:tr>
        <w:tc>
          <w:tcPr>
            <w:tcW w:type="dxa" w:w="2250"/>
            <w:shd w:fill="E8EEF5"/>
            <w:tcMar>
              <w:top w:w="80" w:type="dxa"/>
              <w:start w:w="120" w:type="dxa"/>
              <w:bottom w:w="80" w:type="dxa"/>
              <w:end w:w="120" w:type="dxa"/>
            </w:tcMar>
            <w:vAlign w:val="center"/>
          </w:tcPr>
          <w:p>
            <w:r>
              <w:rPr>
                <w:rFonts w:ascii="Calibri" w:hAnsi="Calibri"/>
                <w:b/>
                <w:color w:val="17365D"/>
                <w:sz w:val="19"/>
              </w:rPr>
              <w:t>Decision</w:t>
            </w:r>
          </w:p>
        </w:tc>
        <w:tc>
          <w:tcPr>
            <w:tcW w:type="dxa" w:w="7110"/>
            <w:tcMar>
              <w:top w:w="80" w:type="dxa"/>
              <w:start w:w="120" w:type="dxa"/>
              <w:bottom w:w="80" w:type="dxa"/>
              <w:end w:w="120" w:type="dxa"/>
            </w:tcMar>
            <w:vAlign w:val="center"/>
          </w:tcPr>
          <w:p>
            <w:r>
              <w:rPr>
                <w:rFonts w:ascii="Calibri" w:hAnsi="Calibri"/>
                <w:color w:val="1F2937"/>
                <w:sz w:val="19"/>
              </w:rPr>
              <w:t>Proceed through a staged sandbox-first implementation</w:t>
            </w:r>
          </w:p>
        </w:tc>
      </w:tr>
    </w:tbl>
    <w:p/>
    <w:p>
      <w:pPr>
        <w:pStyle w:val="ReportCallout"/>
      </w:pPr>
      <w:r>
        <w:rPr>
          <w:b/>
        </w:rPr>
        <w:t xml:space="preserve">Executive recommendation: </w:t>
      </w:r>
      <w:r>
        <w:t>Implement QuickBooks as a server-managed, organization-scoped integration. Begin with OAuth, accounts, customers/vendors, core transactions, and two financial reports. Add webhooks and scheduled CDC only after initial-import reconciliation is reliable.</w:t>
      </w:r>
    </w:p>
    <w:p>
      <w:pPr>
        <w:pStyle w:val="Heading1"/>
      </w:pPr>
      <w:r>
        <w:t>1. Executive assessment</w:t>
      </w:r>
    </w:p>
    <w:p>
      <w:r>
        <w:t>The supplied QuickBooks plan is technically strong and appropriate for a production financial-data integration. Its core principles—read-only first release, encrypted OAuth credentials, durable asynchronous imports, idempotent upserts, webhook verification, CDC overlap, and reconciliation—should be retained.</w:t>
      </w:r>
    </w:p>
    <w:p>
      <w:r>
        <w:t>BookSmart already has several useful foundations: an Express API, Supabase authentication and PostgreSQL storage, organization-scoped financial data, a raw-body Stripe webhook route, a Plaid synchronization flow, financial-statement processing, and an authenticated React application. However, the repository does not currently include a durable background worker, distributed locking, a generic integration framework, or a complete accounting-domain schema.</w:t>
      </w:r>
    </w:p>
    <w:tbl>
      <w:tblPr>
        <w:tblStyle w:val="TableGrid"/>
        <w:tblW w:type="dxa" w:w="9360"/>
        <w:jc w:val="left"/>
        <w:tblLayout w:type="fixed"/>
        <w:tblLook w:firstColumn="1" w:firstRow="1" w:lastColumn="0" w:lastRow="0" w:noHBand="0" w:noVBand="1" w:val="04A0"/>
        <w:tblInd w:w="120" w:type="dxa"/>
      </w:tblPr>
      <w:tblGrid>
        <w:gridCol w:w="2050"/>
        <w:gridCol w:w="1550"/>
        <w:gridCol w:w="5760"/>
      </w:tblGrid>
      <w:tr>
        <w:trPr>
          <w:tblHeader w:val="true"/>
        </w:trPr>
        <w:tc>
          <w:tcPr>
            <w:tcW w:type="dxa" w:w="2050"/>
            <w:shd w:fill="17365D"/>
            <w:tcMar>
              <w:top w:w="80" w:type="dxa"/>
              <w:start w:w="120" w:type="dxa"/>
              <w:bottom w:w="80" w:type="dxa"/>
              <w:end w:w="120" w:type="dxa"/>
            </w:tcMar>
            <w:vAlign w:val="center"/>
          </w:tcPr>
          <w:p>
            <w:r>
              <w:rPr>
                <w:rFonts w:ascii="Calibri" w:hAnsi="Calibri"/>
                <w:b/>
                <w:color w:val="FFFFFF"/>
                <w:sz w:val="18"/>
              </w:rPr>
              <w:t>Assessment area</w:t>
            </w:r>
          </w:p>
        </w:tc>
        <w:tc>
          <w:tcPr>
            <w:tcW w:type="dxa" w:w="1550"/>
            <w:shd w:fill="17365D"/>
            <w:tcMar>
              <w:top w:w="80" w:type="dxa"/>
              <w:start w:w="120" w:type="dxa"/>
              <w:bottom w:w="80" w:type="dxa"/>
              <w:end w:w="120" w:type="dxa"/>
            </w:tcMar>
            <w:vAlign w:val="center"/>
          </w:tcPr>
          <w:p>
            <w:r>
              <w:rPr>
                <w:rFonts w:ascii="Calibri" w:hAnsi="Calibri"/>
                <w:b/>
                <w:color w:val="FFFFFF"/>
                <w:sz w:val="18"/>
              </w:rPr>
              <w:t>Finding</w:t>
            </w:r>
          </w:p>
        </w:tc>
        <w:tc>
          <w:tcPr>
            <w:tcW w:type="dxa" w:w="5760"/>
            <w:shd w:fill="17365D"/>
            <w:tcMar>
              <w:top w:w="80" w:type="dxa"/>
              <w:start w:w="120" w:type="dxa"/>
              <w:bottom w:w="80" w:type="dxa"/>
              <w:end w:w="120" w:type="dxa"/>
            </w:tcMar>
            <w:vAlign w:val="center"/>
          </w:tcPr>
          <w:p>
            <w:r>
              <w:rPr>
                <w:rFonts w:ascii="Calibri" w:hAnsi="Calibri"/>
                <w:b/>
                <w:color w:val="FFFFFF"/>
                <w:sz w:val="18"/>
              </w:rPr>
              <w:t>Implication</w:t>
            </w:r>
          </w:p>
        </w:tc>
      </w:tr>
      <w:tr>
        <w:tc>
          <w:tcPr>
            <w:tcW w:type="dxa" w:w="2050"/>
            <w:tcMar>
              <w:top w:w="80" w:type="dxa"/>
              <w:start w:w="120" w:type="dxa"/>
              <w:bottom w:w="80" w:type="dxa"/>
              <w:end w:w="120" w:type="dxa"/>
            </w:tcMar>
            <w:vAlign w:val="center"/>
          </w:tcPr>
          <w:p>
            <w:r>
              <w:rPr>
                <w:rFonts w:ascii="Calibri" w:hAnsi="Calibri"/>
                <w:color w:val="1F2937"/>
                <w:sz w:val="18"/>
              </w:rPr>
              <w:t>Business fit</w:t>
            </w:r>
          </w:p>
        </w:tc>
        <w:tc>
          <w:tcPr>
            <w:tcW w:type="dxa" w:w="1550"/>
            <w:tcMar>
              <w:top w:w="80" w:type="dxa"/>
              <w:start w:w="120" w:type="dxa"/>
              <w:bottom w:w="80" w:type="dxa"/>
              <w:end w:w="120" w:type="dxa"/>
            </w:tcMar>
            <w:vAlign w:val="center"/>
          </w:tcPr>
          <w:p>
            <w:r>
              <w:rPr>
                <w:rFonts w:ascii="Calibri" w:hAnsi="Calibri"/>
                <w:color w:val="1F2937"/>
                <w:sz w:val="18"/>
              </w:rPr>
              <w:t>High</w:t>
            </w:r>
          </w:p>
        </w:tc>
        <w:tc>
          <w:tcPr>
            <w:tcW w:type="dxa" w:w="5760"/>
            <w:tcMar>
              <w:top w:w="80" w:type="dxa"/>
              <w:start w:w="120" w:type="dxa"/>
              <w:bottom w:w="80" w:type="dxa"/>
              <w:end w:w="120" w:type="dxa"/>
            </w:tcMar>
            <w:vAlign w:val="center"/>
          </w:tcPr>
          <w:p>
            <w:r>
              <w:rPr>
                <w:rFonts w:ascii="Calibri" w:hAnsi="Calibri"/>
                <w:color w:val="1F2937"/>
                <w:sz w:val="18"/>
              </w:rPr>
              <w:t>QuickBooks data can strengthen reports, transaction visibility, AI strategy, and CPA collaboration.</w:t>
            </w:r>
          </w:p>
        </w:tc>
      </w:tr>
      <w:tr>
        <w:tc>
          <w:tcPr>
            <w:tcW w:type="dxa" w:w="2050"/>
            <w:shd w:fill="F8FAFC"/>
            <w:tcMar>
              <w:top w:w="80" w:type="dxa"/>
              <w:start w:w="120" w:type="dxa"/>
              <w:bottom w:w="80" w:type="dxa"/>
              <w:end w:w="120" w:type="dxa"/>
            </w:tcMar>
            <w:vAlign w:val="center"/>
          </w:tcPr>
          <w:p>
            <w:r>
              <w:rPr>
                <w:rFonts w:ascii="Calibri" w:hAnsi="Calibri"/>
                <w:color w:val="1F2937"/>
                <w:sz w:val="18"/>
              </w:rPr>
              <w:t>Technical feasibility</w:t>
            </w:r>
          </w:p>
        </w:tc>
        <w:tc>
          <w:tcPr>
            <w:tcW w:type="dxa" w:w="1550"/>
            <w:shd w:fill="F8FAFC"/>
            <w:tcMar>
              <w:top w:w="80" w:type="dxa"/>
              <w:start w:w="120" w:type="dxa"/>
              <w:bottom w:w="80" w:type="dxa"/>
              <w:end w:w="120" w:type="dxa"/>
            </w:tcMar>
            <w:vAlign w:val="center"/>
          </w:tcPr>
          <w:p>
            <w:r>
              <w:rPr>
                <w:rFonts w:ascii="Calibri" w:hAnsi="Calibri"/>
                <w:color w:val="1F2937"/>
                <w:sz w:val="18"/>
              </w:rPr>
              <w:t>High</w:t>
            </w:r>
          </w:p>
        </w:tc>
        <w:tc>
          <w:tcPr>
            <w:tcW w:type="dxa" w:w="5760"/>
            <w:shd w:fill="F8FAFC"/>
            <w:tcMar>
              <w:top w:w="80" w:type="dxa"/>
              <w:start w:w="120" w:type="dxa"/>
              <w:bottom w:w="80" w:type="dxa"/>
              <w:end w:w="120" w:type="dxa"/>
            </w:tcMar>
            <w:vAlign w:val="center"/>
          </w:tcPr>
          <w:p>
            <w:r>
              <w:rPr>
                <w:rFonts w:ascii="Calibri" w:hAnsi="Calibri"/>
                <w:color w:val="1F2937"/>
                <w:sz w:val="18"/>
              </w:rPr>
              <w:t>The current stack can support the integration without replacing Supabase or Express.</w:t>
            </w:r>
          </w:p>
        </w:tc>
      </w:tr>
      <w:tr>
        <w:tc>
          <w:tcPr>
            <w:tcW w:type="dxa" w:w="2050"/>
            <w:tcMar>
              <w:top w:w="80" w:type="dxa"/>
              <w:start w:w="120" w:type="dxa"/>
              <w:bottom w:w="80" w:type="dxa"/>
              <w:end w:w="120" w:type="dxa"/>
            </w:tcMar>
            <w:vAlign w:val="center"/>
          </w:tcPr>
          <w:p>
            <w:r>
              <w:rPr>
                <w:rFonts w:ascii="Calibri" w:hAnsi="Calibri"/>
                <w:color w:val="1F2937"/>
                <w:sz w:val="18"/>
              </w:rPr>
              <w:t>Implementation complexity</w:t>
            </w:r>
          </w:p>
        </w:tc>
        <w:tc>
          <w:tcPr>
            <w:tcW w:type="dxa" w:w="1550"/>
            <w:tcMar>
              <w:top w:w="80" w:type="dxa"/>
              <w:start w:w="120" w:type="dxa"/>
              <w:bottom w:w="80" w:type="dxa"/>
              <w:end w:w="120" w:type="dxa"/>
            </w:tcMar>
            <w:vAlign w:val="center"/>
          </w:tcPr>
          <w:p>
            <w:r>
              <w:rPr>
                <w:rFonts w:ascii="Calibri" w:hAnsi="Calibri"/>
                <w:color w:val="1F2937"/>
                <w:sz w:val="18"/>
              </w:rPr>
              <w:t>Medium-high</w:t>
            </w:r>
          </w:p>
        </w:tc>
        <w:tc>
          <w:tcPr>
            <w:tcW w:type="dxa" w:w="5760"/>
            <w:tcMar>
              <w:top w:w="80" w:type="dxa"/>
              <w:start w:w="120" w:type="dxa"/>
              <w:bottom w:w="80" w:type="dxa"/>
              <w:end w:w="120" w:type="dxa"/>
            </w:tcMar>
            <w:vAlign w:val="center"/>
          </w:tcPr>
          <w:p>
            <w:r>
              <w:rPr>
                <w:rFonts w:ascii="Calibri" w:hAnsi="Calibri"/>
                <w:color w:val="1F2937"/>
                <w:sz w:val="18"/>
              </w:rPr>
              <w:t>OAuth is straightforward; reliable accounting synchronization and reconciliation are the difficult parts.</w:t>
            </w:r>
          </w:p>
        </w:tc>
      </w:tr>
      <w:tr>
        <w:tc>
          <w:tcPr>
            <w:tcW w:type="dxa" w:w="2050"/>
            <w:shd w:fill="F8FAFC"/>
            <w:tcMar>
              <w:top w:w="80" w:type="dxa"/>
              <w:start w:w="120" w:type="dxa"/>
              <w:bottom w:w="80" w:type="dxa"/>
              <w:end w:w="120" w:type="dxa"/>
            </w:tcMar>
            <w:vAlign w:val="center"/>
          </w:tcPr>
          <w:p>
            <w:r>
              <w:rPr>
                <w:rFonts w:ascii="Calibri" w:hAnsi="Calibri"/>
                <w:color w:val="1F2937"/>
                <w:sz w:val="18"/>
              </w:rPr>
              <w:t>Production risk</w:t>
            </w:r>
          </w:p>
        </w:tc>
        <w:tc>
          <w:tcPr>
            <w:tcW w:type="dxa" w:w="1550"/>
            <w:shd w:fill="F8FAFC"/>
            <w:tcMar>
              <w:top w:w="80" w:type="dxa"/>
              <w:start w:w="120" w:type="dxa"/>
              <w:bottom w:w="80" w:type="dxa"/>
              <w:end w:w="120" w:type="dxa"/>
            </w:tcMar>
            <w:vAlign w:val="center"/>
          </w:tcPr>
          <w:p>
            <w:r>
              <w:rPr>
                <w:rFonts w:ascii="Calibri" w:hAnsi="Calibri"/>
                <w:color w:val="1F2937"/>
                <w:sz w:val="18"/>
              </w:rPr>
              <w:t>Manageable with gates</w:t>
            </w:r>
          </w:p>
        </w:tc>
        <w:tc>
          <w:tcPr>
            <w:tcW w:type="dxa" w:w="5760"/>
            <w:shd w:fill="F8FAFC"/>
            <w:tcMar>
              <w:top w:w="80" w:type="dxa"/>
              <w:start w:w="120" w:type="dxa"/>
              <w:bottom w:w="80" w:type="dxa"/>
              <w:end w:w="120" w:type="dxa"/>
            </w:tcMar>
            <w:vAlign w:val="center"/>
          </w:tcPr>
          <w:p>
            <w:r>
              <w:rPr>
                <w:rFonts w:ascii="Calibri" w:hAnsi="Calibri"/>
                <w:color w:val="1F2937"/>
                <w:sz w:val="18"/>
              </w:rPr>
              <w:t>A sandbox-first, read-only release materially reduces financial-data risk.</w:t>
            </w:r>
          </w:p>
        </w:tc>
      </w:tr>
      <w:tr>
        <w:tc>
          <w:tcPr>
            <w:tcW w:type="dxa" w:w="2050"/>
            <w:tcMar>
              <w:top w:w="80" w:type="dxa"/>
              <w:start w:w="120" w:type="dxa"/>
              <w:bottom w:w="80" w:type="dxa"/>
              <w:end w:w="120" w:type="dxa"/>
            </w:tcMar>
            <w:vAlign w:val="center"/>
          </w:tcPr>
          <w:p>
            <w:r>
              <w:rPr>
                <w:rFonts w:ascii="Calibri" w:hAnsi="Calibri"/>
                <w:color w:val="1F2937"/>
                <w:sz w:val="18"/>
              </w:rPr>
              <w:t>Recommended decision</w:t>
            </w:r>
          </w:p>
        </w:tc>
        <w:tc>
          <w:tcPr>
            <w:tcW w:type="dxa" w:w="1550"/>
            <w:tcMar>
              <w:top w:w="80" w:type="dxa"/>
              <w:start w:w="120" w:type="dxa"/>
              <w:bottom w:w="80" w:type="dxa"/>
              <w:end w:w="120" w:type="dxa"/>
            </w:tcMar>
            <w:vAlign w:val="center"/>
          </w:tcPr>
          <w:p>
            <w:r>
              <w:rPr>
                <w:rFonts w:ascii="Calibri" w:hAnsi="Calibri"/>
                <w:color w:val="1F2937"/>
                <w:sz w:val="18"/>
              </w:rPr>
              <w:t>Proceed in phases</w:t>
            </w:r>
          </w:p>
        </w:tc>
        <w:tc>
          <w:tcPr>
            <w:tcW w:type="dxa" w:w="5760"/>
            <w:tcMar>
              <w:top w:w="80" w:type="dxa"/>
              <w:start w:w="120" w:type="dxa"/>
              <w:bottom w:w="80" w:type="dxa"/>
              <w:end w:w="120" w:type="dxa"/>
            </w:tcMar>
            <w:vAlign w:val="center"/>
          </w:tcPr>
          <w:p>
            <w:r>
              <w:rPr>
                <w:rFonts w:ascii="Calibri" w:hAnsi="Calibri"/>
                <w:color w:val="1F2937"/>
                <w:sz w:val="18"/>
              </w:rPr>
              <w:t>Do not attempt every entity, report, webhook, and scheduler feature in one release.</w:t>
            </w:r>
          </w:p>
        </w:tc>
      </w:tr>
    </w:tbl>
    <w:p>
      <w:pPr>
        <w:spacing w:after="40"/>
      </w:pPr>
    </w:p>
    <w:p>
      <w:pPr>
        <w:pStyle w:val="Heading1"/>
      </w:pPr>
      <w:r>
        <w:t>2. Recommended first-release scope</w:t>
      </w:r>
    </w:p>
    <w:p>
      <w:pPr>
        <w:pStyle w:val="Heading2"/>
      </w:pPr>
      <w:r>
        <w:t>2.1 Include</w:t>
      </w:r>
    </w:p>
    <w:p>
      <w:pPr>
        <w:pStyle w:val="ListBullet"/>
      </w:pPr>
      <w:r>
        <w:t>One QuickBooks company connected to each BookSmart organization, with a schema that can support multiple connections later.</w:t>
      </w:r>
    </w:p>
    <w:p>
      <w:pPr>
        <w:pStyle w:val="ListBullet"/>
      </w:pPr>
      <w:r>
        <w:t>OAuth connect, callback, refresh, reconnect, disconnect, status, and connection-health workflows.</w:t>
      </w:r>
    </w:p>
    <w:p>
      <w:pPr>
        <w:pStyle w:val="ListBullet"/>
      </w:pPr>
      <w:r>
        <w:t>CompanyInfo, chart of accounts, customers, vendors, purchases/expenses, deposits, transfers, and basic sales transactions.</w:t>
      </w:r>
    </w:p>
    <w:p>
      <w:pPr>
        <w:pStyle w:val="ListBullet"/>
      </w:pPr>
      <w:r>
        <w:t>Profit and Loss and Balance Sheet snapshots with date range and cash/accrual basis preserved.</w:t>
      </w:r>
    </w:p>
    <w:p>
      <w:pPr>
        <w:pStyle w:val="ListBullet"/>
      </w:pPr>
      <w:r>
        <w:t>Configurable import range, durable progress tracking, safe retries, checkpoints, and a final overlapping CDC reconciliation.</w:t>
      </w:r>
    </w:p>
    <w:p>
      <w:pPr>
        <w:pStyle w:val="ListBullet"/>
      </w:pPr>
      <w:r>
        <w:t>An Accounting Integrations UI showing connection state, import progress, last successful sync, safe errors, retry, and disconnect controls.</w:t>
      </w:r>
    </w:p>
    <w:p>
      <w:pPr>
        <w:pStyle w:val="Heading2"/>
      </w:pPr>
      <w:r>
        <w:t>2.2 Defer</w:t>
      </w:r>
    </w:p>
    <w:p>
      <w:pPr>
        <w:pStyle w:val="ListBullet"/>
      </w:pPr>
      <w:r>
        <w:t>Bidirectional create/update/delete operations in QuickBooks.</w:t>
      </w:r>
    </w:p>
    <w:p>
      <w:pPr>
        <w:pStyle w:val="ListBullet"/>
      </w:pPr>
      <w:r>
        <w:t>Automatic destructive merging with existing BookSmart or Plaid transactions.</w:t>
      </w:r>
    </w:p>
    <w:p>
      <w:pPr>
        <w:pStyle w:val="ListBullet"/>
      </w:pPr>
      <w:r>
        <w:t>Every QuickBooks report and every country, tax, multicurrency, inventory, payroll, and class/department edge case.</w:t>
      </w:r>
    </w:p>
    <w:p>
      <w:pPr>
        <w:pStyle w:val="ListBullet"/>
      </w:pPr>
      <w:r>
        <w:t>Complex invoice-payment-bill relationship projections until the canonical import is stable.</w:t>
      </w:r>
    </w:p>
    <w:p>
      <w:pPr>
        <w:pStyle w:val="ListBullet"/>
      </w:pPr>
      <w:r>
        <w:t>Broad rollout before at least two pilot organizations reconcile successfully.</w:t>
      </w:r>
    </w:p>
    <w:p>
      <w:pPr>
        <w:pStyle w:val="Heading1"/>
      </w:pPr>
      <w:r>
        <w:t>3. Current BookSmart fit and identified gaps</w:t>
      </w:r>
    </w:p>
    <w:tbl>
      <w:tblPr>
        <w:tblStyle w:val="TableGrid"/>
        <w:tblW w:type="dxa" w:w="9360"/>
        <w:jc w:val="left"/>
        <w:tblLayout w:type="fixed"/>
        <w:tblLook w:firstColumn="1" w:firstRow="1" w:lastColumn="0" w:lastRow="0" w:noHBand="0" w:noVBand="1" w:val="04A0"/>
        <w:tblInd w:w="120" w:type="dxa"/>
      </w:tblPr>
      <w:tblGrid>
        <w:gridCol w:w="2050"/>
        <w:gridCol w:w="3550"/>
        <w:gridCol w:w="3760"/>
      </w:tblGrid>
      <w:tr>
        <w:trPr>
          <w:tblHeader w:val="true"/>
        </w:trPr>
        <w:tc>
          <w:tcPr>
            <w:tcW w:type="dxa" w:w="2050"/>
            <w:shd w:fill="17365D"/>
            <w:tcMar>
              <w:top w:w="80" w:type="dxa"/>
              <w:start w:w="120" w:type="dxa"/>
              <w:bottom w:w="80" w:type="dxa"/>
              <w:end w:w="120" w:type="dxa"/>
            </w:tcMar>
            <w:vAlign w:val="center"/>
          </w:tcPr>
          <w:p>
            <w:r>
              <w:rPr>
                <w:rFonts w:ascii="Calibri" w:hAnsi="Calibri"/>
                <w:b/>
                <w:color w:val="FFFFFF"/>
                <w:sz w:val="18"/>
              </w:rPr>
              <w:t>Existing capability</w:t>
            </w:r>
          </w:p>
        </w:tc>
        <w:tc>
          <w:tcPr>
            <w:tcW w:type="dxa" w:w="3550"/>
            <w:shd w:fill="17365D"/>
            <w:tcMar>
              <w:top w:w="80" w:type="dxa"/>
              <w:start w:w="120" w:type="dxa"/>
              <w:bottom w:w="80" w:type="dxa"/>
              <w:end w:w="120" w:type="dxa"/>
            </w:tcMar>
            <w:vAlign w:val="center"/>
          </w:tcPr>
          <w:p>
            <w:r>
              <w:rPr>
                <w:rFonts w:ascii="Calibri" w:hAnsi="Calibri"/>
                <w:b/>
                <w:color w:val="FFFFFF"/>
                <w:sz w:val="18"/>
              </w:rPr>
              <w:t>Reuse</w:t>
            </w:r>
          </w:p>
        </w:tc>
        <w:tc>
          <w:tcPr>
            <w:tcW w:type="dxa" w:w="3760"/>
            <w:shd w:fill="17365D"/>
            <w:tcMar>
              <w:top w:w="80" w:type="dxa"/>
              <w:start w:w="120" w:type="dxa"/>
              <w:bottom w:w="80" w:type="dxa"/>
              <w:end w:w="120" w:type="dxa"/>
            </w:tcMar>
            <w:vAlign w:val="center"/>
          </w:tcPr>
          <w:p>
            <w:r>
              <w:rPr>
                <w:rFonts w:ascii="Calibri" w:hAnsi="Calibri"/>
                <w:b/>
                <w:color w:val="FFFFFF"/>
                <w:sz w:val="18"/>
              </w:rPr>
              <w:t>Required extension</w:t>
            </w:r>
          </w:p>
        </w:tc>
      </w:tr>
      <w:tr>
        <w:tc>
          <w:tcPr>
            <w:tcW w:type="dxa" w:w="2050"/>
            <w:tcMar>
              <w:top w:w="80" w:type="dxa"/>
              <w:start w:w="120" w:type="dxa"/>
              <w:bottom w:w="80" w:type="dxa"/>
              <w:end w:w="120" w:type="dxa"/>
            </w:tcMar>
            <w:vAlign w:val="center"/>
          </w:tcPr>
          <w:p>
            <w:r>
              <w:rPr>
                <w:rFonts w:ascii="Calibri" w:hAnsi="Calibri"/>
                <w:color w:val="1F2937"/>
                <w:sz w:val="18"/>
              </w:rPr>
              <w:t>Express API routing</w:t>
            </w:r>
          </w:p>
        </w:tc>
        <w:tc>
          <w:tcPr>
            <w:tcW w:type="dxa" w:w="3550"/>
            <w:tcMar>
              <w:top w:w="80" w:type="dxa"/>
              <w:start w:w="120" w:type="dxa"/>
              <w:bottom w:w="80" w:type="dxa"/>
              <w:end w:w="120" w:type="dxa"/>
            </w:tcMar>
            <w:vAlign w:val="center"/>
          </w:tcPr>
          <w:p>
            <w:r>
              <w:rPr>
                <w:rFonts w:ascii="Calibri" w:hAnsi="Calibri"/>
                <w:color w:val="1F2937"/>
                <w:sz w:val="18"/>
              </w:rPr>
              <w:t>Add QuickBooks routes using the existing route-composition pattern.</w:t>
            </w:r>
          </w:p>
        </w:tc>
        <w:tc>
          <w:tcPr>
            <w:tcW w:type="dxa" w:w="3760"/>
            <w:tcMar>
              <w:top w:w="80" w:type="dxa"/>
              <w:start w:w="120" w:type="dxa"/>
              <w:bottom w:w="80" w:type="dxa"/>
              <w:end w:w="120" w:type="dxa"/>
            </w:tcMar>
            <w:vAlign w:val="center"/>
          </w:tcPr>
          <w:p>
            <w:r>
              <w:rPr>
                <w:rFonts w:ascii="Calibri" w:hAnsi="Calibri"/>
                <w:color w:val="1F2937"/>
                <w:sz w:val="18"/>
              </w:rPr>
              <w:t>Create integration modules and keep vendor logic outside route handlers.</w:t>
            </w:r>
          </w:p>
        </w:tc>
      </w:tr>
      <w:tr>
        <w:tc>
          <w:tcPr>
            <w:tcW w:type="dxa" w:w="2050"/>
            <w:shd w:fill="F8FAFC"/>
            <w:tcMar>
              <w:top w:w="80" w:type="dxa"/>
              <w:start w:w="120" w:type="dxa"/>
              <w:bottom w:w="80" w:type="dxa"/>
              <w:end w:w="120" w:type="dxa"/>
            </w:tcMar>
            <w:vAlign w:val="center"/>
          </w:tcPr>
          <w:p>
            <w:r>
              <w:rPr>
                <w:rFonts w:ascii="Calibri" w:hAnsi="Calibri"/>
                <w:color w:val="1F2937"/>
                <w:sz w:val="18"/>
              </w:rPr>
              <w:t>Supabase Auth</w:t>
            </w:r>
          </w:p>
        </w:tc>
        <w:tc>
          <w:tcPr>
            <w:tcW w:type="dxa" w:w="3550"/>
            <w:shd w:fill="F8FAFC"/>
            <w:tcMar>
              <w:top w:w="80" w:type="dxa"/>
              <w:start w:w="120" w:type="dxa"/>
              <w:bottom w:w="80" w:type="dxa"/>
              <w:end w:w="120" w:type="dxa"/>
            </w:tcMar>
            <w:vAlign w:val="center"/>
          </w:tcPr>
          <w:p>
            <w:r>
              <w:rPr>
                <w:rFonts w:ascii="Calibri" w:hAnsi="Calibri"/>
                <w:color w:val="1F2937"/>
                <w:sz w:val="18"/>
              </w:rPr>
              <w:t>Use bearer-token authentication already enforced by the API.</w:t>
            </w:r>
          </w:p>
        </w:tc>
        <w:tc>
          <w:tcPr>
            <w:tcW w:type="dxa" w:w="3760"/>
            <w:shd w:fill="F8FAFC"/>
            <w:tcMar>
              <w:top w:w="80" w:type="dxa"/>
              <w:start w:w="120" w:type="dxa"/>
              <w:bottom w:w="80" w:type="dxa"/>
              <w:end w:w="120" w:type="dxa"/>
            </w:tcMar>
            <w:vAlign w:val="center"/>
          </w:tcPr>
          <w:p>
            <w:r>
              <w:rPr>
                <w:rFonts w:ascii="Calibri" w:hAnsi="Calibri"/>
                <w:color w:val="1F2937"/>
                <w:sz w:val="18"/>
              </w:rPr>
              <w:t>Add a reusable organization authorization service and integration-management permission.</w:t>
            </w:r>
          </w:p>
        </w:tc>
      </w:tr>
      <w:tr>
        <w:tc>
          <w:tcPr>
            <w:tcW w:type="dxa" w:w="2050"/>
            <w:tcMar>
              <w:top w:w="80" w:type="dxa"/>
              <w:start w:w="120" w:type="dxa"/>
              <w:bottom w:w="80" w:type="dxa"/>
              <w:end w:w="120" w:type="dxa"/>
            </w:tcMar>
            <w:vAlign w:val="center"/>
          </w:tcPr>
          <w:p>
            <w:r>
              <w:rPr>
                <w:rFonts w:ascii="Calibri" w:hAnsi="Calibri"/>
                <w:color w:val="1F2937"/>
                <w:sz w:val="18"/>
              </w:rPr>
              <w:t>Supabase/PostgreSQL</w:t>
            </w:r>
          </w:p>
        </w:tc>
        <w:tc>
          <w:tcPr>
            <w:tcW w:type="dxa" w:w="3550"/>
            <w:tcMar>
              <w:top w:w="80" w:type="dxa"/>
              <w:start w:w="120" w:type="dxa"/>
              <w:bottom w:w="80" w:type="dxa"/>
              <w:end w:w="120" w:type="dxa"/>
            </w:tcMar>
            <w:vAlign w:val="center"/>
          </w:tcPr>
          <w:p>
            <w:r>
              <w:rPr>
                <w:rFonts w:ascii="Calibri" w:hAnsi="Calibri"/>
                <w:color w:val="1F2937"/>
                <w:sz w:val="18"/>
              </w:rPr>
              <w:t>Store connections, jobs, cursors, events, mappings, and normalized records.</w:t>
            </w:r>
          </w:p>
        </w:tc>
        <w:tc>
          <w:tcPr>
            <w:tcW w:type="dxa" w:w="3760"/>
            <w:tcMar>
              <w:top w:w="80" w:type="dxa"/>
              <w:start w:w="120" w:type="dxa"/>
              <w:bottom w:w="80" w:type="dxa"/>
              <w:end w:w="120" w:type="dxa"/>
            </w:tcMar>
            <w:vAlign w:val="center"/>
          </w:tcPr>
          <w:p>
            <w:r>
              <w:rPr>
                <w:rFonts w:ascii="Calibri" w:hAnsi="Calibri"/>
                <w:color w:val="1F2937"/>
                <w:sz w:val="18"/>
              </w:rPr>
              <w:t>Add migrations, indexes, RLS, database job-claim function, and credential access isolation.</w:t>
            </w:r>
          </w:p>
        </w:tc>
      </w:tr>
      <w:tr>
        <w:tc>
          <w:tcPr>
            <w:tcW w:type="dxa" w:w="2050"/>
            <w:shd w:fill="F8FAFC"/>
            <w:tcMar>
              <w:top w:w="80" w:type="dxa"/>
              <w:start w:w="120" w:type="dxa"/>
              <w:bottom w:w="80" w:type="dxa"/>
              <w:end w:w="120" w:type="dxa"/>
            </w:tcMar>
            <w:vAlign w:val="center"/>
          </w:tcPr>
          <w:p>
            <w:r>
              <w:rPr>
                <w:rFonts w:ascii="Calibri" w:hAnsi="Calibri"/>
                <w:color w:val="1F2937"/>
                <w:sz w:val="18"/>
              </w:rPr>
              <w:t>Stripe webhook</w:t>
            </w:r>
          </w:p>
        </w:tc>
        <w:tc>
          <w:tcPr>
            <w:tcW w:type="dxa" w:w="3550"/>
            <w:shd w:fill="F8FAFC"/>
            <w:tcMar>
              <w:top w:w="80" w:type="dxa"/>
              <w:start w:w="120" w:type="dxa"/>
              <w:bottom w:w="80" w:type="dxa"/>
              <w:end w:w="120" w:type="dxa"/>
            </w:tcMar>
            <w:vAlign w:val="center"/>
          </w:tcPr>
          <w:p>
            <w:r>
              <w:rPr>
                <w:rFonts w:ascii="Calibri" w:hAnsi="Calibri"/>
                <w:color w:val="1F2937"/>
                <w:sz w:val="18"/>
              </w:rPr>
              <w:t>Reuse the raw-body-before-JSON middleware ordering pattern.</w:t>
            </w:r>
          </w:p>
        </w:tc>
        <w:tc>
          <w:tcPr>
            <w:tcW w:type="dxa" w:w="3760"/>
            <w:shd w:fill="F8FAFC"/>
            <w:tcMar>
              <w:top w:w="80" w:type="dxa"/>
              <w:start w:w="120" w:type="dxa"/>
              <w:bottom w:w="80" w:type="dxa"/>
              <w:end w:w="120" w:type="dxa"/>
            </w:tcMar>
            <w:vAlign w:val="center"/>
          </w:tcPr>
          <w:p>
            <w:r>
              <w:rPr>
                <w:rFonts w:ascii="Calibri" w:hAnsi="Calibri"/>
                <w:color w:val="1F2937"/>
                <w:sz w:val="18"/>
              </w:rPr>
              <w:t>Add Intuit signature validation, immutable event storage, and asynchronous processing.</w:t>
            </w:r>
          </w:p>
        </w:tc>
      </w:tr>
      <w:tr>
        <w:tc>
          <w:tcPr>
            <w:tcW w:type="dxa" w:w="2050"/>
            <w:tcMar>
              <w:top w:w="80" w:type="dxa"/>
              <w:start w:w="120" w:type="dxa"/>
              <w:bottom w:w="80" w:type="dxa"/>
              <w:end w:w="120" w:type="dxa"/>
            </w:tcMar>
            <w:vAlign w:val="center"/>
          </w:tcPr>
          <w:p>
            <w:r>
              <w:rPr>
                <w:rFonts w:ascii="Calibri" w:hAnsi="Calibri"/>
                <w:color w:val="1F2937"/>
                <w:sz w:val="18"/>
              </w:rPr>
              <w:t>Plaid transactions</w:t>
            </w:r>
          </w:p>
        </w:tc>
        <w:tc>
          <w:tcPr>
            <w:tcW w:type="dxa" w:w="3550"/>
            <w:tcMar>
              <w:top w:w="80" w:type="dxa"/>
              <w:start w:w="120" w:type="dxa"/>
              <w:bottom w:w="80" w:type="dxa"/>
              <w:end w:w="120" w:type="dxa"/>
            </w:tcMar>
            <w:vAlign w:val="center"/>
          </w:tcPr>
          <w:p>
            <w:r>
              <w:rPr>
                <w:rFonts w:ascii="Calibri" w:hAnsi="Calibri"/>
                <w:color w:val="1F2937"/>
                <w:sz w:val="18"/>
              </w:rPr>
              <w:t>Reuse organization and transaction conventions where compatible.</w:t>
            </w:r>
          </w:p>
        </w:tc>
        <w:tc>
          <w:tcPr>
            <w:tcW w:type="dxa" w:w="3760"/>
            <w:tcMar>
              <w:top w:w="80" w:type="dxa"/>
              <w:start w:w="120" w:type="dxa"/>
              <w:bottom w:w="80" w:type="dxa"/>
              <w:end w:w="120" w:type="dxa"/>
            </w:tcMar>
            <w:vAlign w:val="center"/>
          </w:tcPr>
          <w:p>
            <w:r>
              <w:rPr>
                <w:rFonts w:ascii="Calibri" w:hAnsi="Calibri"/>
                <w:color w:val="1F2937"/>
                <w:sz w:val="18"/>
              </w:rPr>
              <w:t>Introduce source identity and avoid treating all accounting entities as bank transactions.</w:t>
            </w:r>
          </w:p>
        </w:tc>
      </w:tr>
      <w:tr>
        <w:tc>
          <w:tcPr>
            <w:tcW w:type="dxa" w:w="2050"/>
            <w:shd w:fill="F8FAFC"/>
            <w:tcMar>
              <w:top w:w="80" w:type="dxa"/>
              <w:start w:w="120" w:type="dxa"/>
              <w:bottom w:w="80" w:type="dxa"/>
              <w:end w:w="120" w:type="dxa"/>
            </w:tcMar>
            <w:vAlign w:val="center"/>
          </w:tcPr>
          <w:p>
            <w:r>
              <w:rPr>
                <w:rFonts w:ascii="Calibri" w:hAnsi="Calibri"/>
                <w:color w:val="1F2937"/>
                <w:sz w:val="18"/>
              </w:rPr>
              <w:t>Financial statements</w:t>
            </w:r>
          </w:p>
        </w:tc>
        <w:tc>
          <w:tcPr>
            <w:tcW w:type="dxa" w:w="3550"/>
            <w:shd w:fill="F8FAFC"/>
            <w:tcMar>
              <w:top w:w="80" w:type="dxa"/>
              <w:start w:w="120" w:type="dxa"/>
              <w:bottom w:w="80" w:type="dxa"/>
              <w:end w:w="120" w:type="dxa"/>
            </w:tcMar>
            <w:vAlign w:val="center"/>
          </w:tcPr>
          <w:p>
            <w:r>
              <w:rPr>
                <w:rFonts w:ascii="Calibri" w:hAnsi="Calibri"/>
                <w:color w:val="1F2937"/>
                <w:sz w:val="18"/>
              </w:rPr>
              <w:t>Display or compare QuickBooks report snapshots in the existing report experience.</w:t>
            </w:r>
          </w:p>
        </w:tc>
        <w:tc>
          <w:tcPr>
            <w:tcW w:type="dxa" w:w="3760"/>
            <w:shd w:fill="F8FAFC"/>
            <w:tcMar>
              <w:top w:w="80" w:type="dxa"/>
              <w:start w:w="120" w:type="dxa"/>
              <w:bottom w:w="80" w:type="dxa"/>
              <w:end w:w="120" w:type="dxa"/>
            </w:tcMar>
            <w:vAlign w:val="center"/>
          </w:tcPr>
          <w:p>
            <w:r>
              <w:rPr>
                <w:rFonts w:ascii="Calibri" w:hAnsi="Calibri"/>
                <w:color w:val="1F2937"/>
                <w:sz w:val="18"/>
              </w:rPr>
              <w:t>Store QuickBooks report parameters and source snapshots separately from uploaded statements.</w:t>
            </w:r>
          </w:p>
        </w:tc>
      </w:tr>
      <w:tr>
        <w:tc>
          <w:tcPr>
            <w:tcW w:type="dxa" w:w="2050"/>
            <w:tcMar>
              <w:top w:w="80" w:type="dxa"/>
              <w:start w:w="120" w:type="dxa"/>
              <w:bottom w:w="80" w:type="dxa"/>
              <w:end w:w="120" w:type="dxa"/>
            </w:tcMar>
            <w:vAlign w:val="center"/>
          </w:tcPr>
          <w:p>
            <w:r>
              <w:rPr>
                <w:rFonts w:ascii="Calibri" w:hAnsi="Calibri"/>
                <w:color w:val="1F2937"/>
                <w:sz w:val="18"/>
              </w:rPr>
              <w:t>React/TanStack Query</w:t>
            </w:r>
          </w:p>
        </w:tc>
        <w:tc>
          <w:tcPr>
            <w:tcW w:type="dxa" w:w="3550"/>
            <w:tcMar>
              <w:top w:w="80" w:type="dxa"/>
              <w:start w:w="120" w:type="dxa"/>
              <w:bottom w:w="80" w:type="dxa"/>
              <w:end w:w="120" w:type="dxa"/>
            </w:tcMar>
            <w:vAlign w:val="center"/>
          </w:tcPr>
          <w:p>
            <w:r>
              <w:rPr>
                <w:rFonts w:ascii="Calibri" w:hAnsi="Calibri"/>
                <w:color w:val="1F2937"/>
                <w:sz w:val="18"/>
              </w:rPr>
              <w:t>Build connection and progress screens with existing UI patterns.</w:t>
            </w:r>
          </w:p>
        </w:tc>
        <w:tc>
          <w:tcPr>
            <w:tcW w:type="dxa" w:w="3760"/>
            <w:tcMar>
              <w:top w:w="80" w:type="dxa"/>
              <w:start w:w="120" w:type="dxa"/>
              <w:bottom w:w="80" w:type="dxa"/>
              <w:end w:w="120" w:type="dxa"/>
            </w:tcMar>
            <w:vAlign w:val="center"/>
          </w:tcPr>
          <w:p>
            <w:r>
              <w:rPr>
                <w:rFonts w:ascii="Calibri" w:hAnsi="Calibri"/>
                <w:color w:val="1F2937"/>
                <w:sz w:val="18"/>
              </w:rPr>
              <w:t>Add polling/status queries and reconnect-required states.</w:t>
            </w:r>
          </w:p>
        </w:tc>
      </w:tr>
    </w:tbl>
    <w:p>
      <w:pPr>
        <w:spacing w:after="40"/>
      </w:pPr>
    </w:p>
    <w:p>
      <w:pPr>
        <w:pStyle w:val="Heading1"/>
      </w:pPr>
      <w:r>
        <w:t>4. Target technical architecture</w:t>
      </w:r>
    </w:p>
    <w:p>
      <w:r>
        <w:t>The recommended implementation separates synchronous user actions from asynchronous accounting work. Browser requests create or inspect work; a worker performs imports and synchronization.</w:t>
      </w:r>
    </w:p>
    <w:tbl>
      <w:tblPr>
        <w:tblStyle w:val="TableGrid"/>
        <w:tblW w:type="dxa" w:w="9360"/>
        <w:jc w:val="left"/>
        <w:tblLayout w:type="fixed"/>
        <w:tblLook w:firstColumn="1" w:firstRow="1" w:lastColumn="0" w:lastRow="0" w:noHBand="0" w:noVBand="1" w:val="04A0"/>
        <w:tblInd w:w="120" w:type="dxa"/>
      </w:tblPr>
      <w:tblGrid>
        <w:gridCol w:w="1500"/>
        <w:gridCol w:w="3200"/>
        <w:gridCol w:w="4660"/>
      </w:tblGrid>
      <w:tr>
        <w:trPr>
          <w:tblHeader w:val="true"/>
        </w:trPr>
        <w:tc>
          <w:tcPr>
            <w:tcW w:type="dxa" w:w="1500"/>
            <w:shd w:fill="17365D"/>
            <w:tcMar>
              <w:top w:w="80" w:type="dxa"/>
              <w:start w:w="120" w:type="dxa"/>
              <w:bottom w:w="80" w:type="dxa"/>
              <w:end w:w="120" w:type="dxa"/>
            </w:tcMar>
            <w:vAlign w:val="center"/>
          </w:tcPr>
          <w:p>
            <w:r>
              <w:rPr>
                <w:rFonts w:ascii="Calibri" w:hAnsi="Calibri"/>
                <w:b/>
                <w:color w:val="FFFFFF"/>
                <w:sz w:val="18"/>
              </w:rPr>
              <w:t>Layer</w:t>
            </w:r>
          </w:p>
        </w:tc>
        <w:tc>
          <w:tcPr>
            <w:tcW w:type="dxa" w:w="3200"/>
            <w:shd w:fill="17365D"/>
            <w:tcMar>
              <w:top w:w="80" w:type="dxa"/>
              <w:start w:w="120" w:type="dxa"/>
              <w:bottom w:w="80" w:type="dxa"/>
              <w:end w:w="120" w:type="dxa"/>
            </w:tcMar>
            <w:vAlign w:val="center"/>
          </w:tcPr>
          <w:p>
            <w:r>
              <w:rPr>
                <w:rFonts w:ascii="Calibri" w:hAnsi="Calibri"/>
                <w:b/>
                <w:color w:val="FFFFFF"/>
                <w:sz w:val="18"/>
              </w:rPr>
              <w:t>Components</w:t>
            </w:r>
          </w:p>
        </w:tc>
        <w:tc>
          <w:tcPr>
            <w:tcW w:type="dxa" w:w="4660"/>
            <w:shd w:fill="17365D"/>
            <w:tcMar>
              <w:top w:w="80" w:type="dxa"/>
              <w:start w:w="120" w:type="dxa"/>
              <w:bottom w:w="80" w:type="dxa"/>
              <w:end w:w="120" w:type="dxa"/>
            </w:tcMar>
            <w:vAlign w:val="center"/>
          </w:tcPr>
          <w:p>
            <w:r>
              <w:rPr>
                <w:rFonts w:ascii="Calibri" w:hAnsi="Calibri"/>
                <w:b/>
                <w:color w:val="FFFFFF"/>
                <w:sz w:val="18"/>
              </w:rPr>
              <w:t>Responsibility</w:t>
            </w:r>
          </w:p>
        </w:tc>
      </w:tr>
      <w:tr>
        <w:tc>
          <w:tcPr>
            <w:tcW w:type="dxa" w:w="1500"/>
            <w:tcMar>
              <w:top w:w="80" w:type="dxa"/>
              <w:start w:w="120" w:type="dxa"/>
              <w:bottom w:w="80" w:type="dxa"/>
              <w:end w:w="120" w:type="dxa"/>
            </w:tcMar>
            <w:vAlign w:val="center"/>
          </w:tcPr>
          <w:p>
            <w:r>
              <w:rPr>
                <w:rFonts w:ascii="Calibri" w:hAnsi="Calibri"/>
                <w:color w:val="1F2937"/>
                <w:sz w:val="18"/>
              </w:rPr>
              <w:t>Web UI</w:t>
            </w:r>
          </w:p>
        </w:tc>
        <w:tc>
          <w:tcPr>
            <w:tcW w:type="dxa" w:w="3200"/>
            <w:tcMar>
              <w:top w:w="80" w:type="dxa"/>
              <w:start w:w="120" w:type="dxa"/>
              <w:bottom w:w="80" w:type="dxa"/>
              <w:end w:w="120" w:type="dxa"/>
            </w:tcMar>
            <w:vAlign w:val="center"/>
          </w:tcPr>
          <w:p>
            <w:r>
              <w:rPr>
                <w:rFonts w:ascii="Calibri" w:hAnsi="Calibri"/>
                <w:color w:val="1F2937"/>
                <w:sz w:val="18"/>
              </w:rPr>
              <w:t>Integration settings, status, progress, reports</w:t>
            </w:r>
          </w:p>
        </w:tc>
        <w:tc>
          <w:tcPr>
            <w:tcW w:type="dxa" w:w="4660"/>
            <w:tcMar>
              <w:top w:w="80" w:type="dxa"/>
              <w:start w:w="120" w:type="dxa"/>
              <w:bottom w:w="80" w:type="dxa"/>
              <w:end w:w="120" w:type="dxa"/>
            </w:tcMar>
            <w:vAlign w:val="center"/>
          </w:tcPr>
          <w:p>
            <w:r>
              <w:rPr>
                <w:rFonts w:ascii="Calibri" w:hAnsi="Calibri"/>
                <w:color w:val="1F2937"/>
                <w:sz w:val="18"/>
              </w:rPr>
              <w:t>Initiate authorized actions and display sanitized state; never receive Intuit credentials.</w:t>
            </w:r>
          </w:p>
        </w:tc>
      </w:tr>
      <w:tr>
        <w:tc>
          <w:tcPr>
            <w:tcW w:type="dxa" w:w="1500"/>
            <w:shd w:fill="F8FAFC"/>
            <w:tcMar>
              <w:top w:w="80" w:type="dxa"/>
              <w:start w:w="120" w:type="dxa"/>
              <w:bottom w:w="80" w:type="dxa"/>
              <w:end w:w="120" w:type="dxa"/>
            </w:tcMar>
            <w:vAlign w:val="center"/>
          </w:tcPr>
          <w:p>
            <w:r>
              <w:rPr>
                <w:rFonts w:ascii="Calibri" w:hAnsi="Calibri"/>
                <w:color w:val="1F2937"/>
                <w:sz w:val="18"/>
              </w:rPr>
              <w:t>Express API</w:t>
            </w:r>
          </w:p>
        </w:tc>
        <w:tc>
          <w:tcPr>
            <w:tcW w:type="dxa" w:w="3200"/>
            <w:shd w:fill="F8FAFC"/>
            <w:tcMar>
              <w:top w:w="80" w:type="dxa"/>
              <w:start w:w="120" w:type="dxa"/>
              <w:bottom w:w="80" w:type="dxa"/>
              <w:end w:w="120" w:type="dxa"/>
            </w:tcMar>
            <w:vAlign w:val="center"/>
          </w:tcPr>
          <w:p>
            <w:r>
              <w:rPr>
                <w:rFonts w:ascii="Calibri" w:hAnsi="Calibri"/>
                <w:color w:val="1F2937"/>
                <w:sz w:val="18"/>
              </w:rPr>
              <w:t>OAuth controller, connection API, webhook receiver</w:t>
            </w:r>
          </w:p>
        </w:tc>
        <w:tc>
          <w:tcPr>
            <w:tcW w:type="dxa" w:w="4660"/>
            <w:shd w:fill="F8FAFC"/>
            <w:tcMar>
              <w:top w:w="80" w:type="dxa"/>
              <w:start w:w="120" w:type="dxa"/>
              <w:bottom w:w="80" w:type="dxa"/>
              <w:end w:w="120" w:type="dxa"/>
            </w:tcMar>
            <w:vAlign w:val="center"/>
          </w:tcPr>
          <w:p>
            <w:r>
              <w:rPr>
                <w:rFonts w:ascii="Calibri" w:hAnsi="Calibri"/>
                <w:color w:val="1F2937"/>
                <w:sz w:val="18"/>
              </w:rPr>
              <w:t>Authenticate users, enforce organization access, validate callbacks, and enqueue jobs.</w:t>
            </w:r>
          </w:p>
        </w:tc>
      </w:tr>
      <w:tr>
        <w:tc>
          <w:tcPr>
            <w:tcW w:type="dxa" w:w="1500"/>
            <w:tcMar>
              <w:top w:w="80" w:type="dxa"/>
              <w:start w:w="120" w:type="dxa"/>
              <w:bottom w:w="80" w:type="dxa"/>
              <w:end w:w="120" w:type="dxa"/>
            </w:tcMar>
            <w:vAlign w:val="center"/>
          </w:tcPr>
          <w:p>
            <w:r>
              <w:rPr>
                <w:rFonts w:ascii="Calibri" w:hAnsi="Calibri"/>
                <w:color w:val="1F2937"/>
                <w:sz w:val="18"/>
              </w:rPr>
              <w:t>QuickBooks service</w:t>
            </w:r>
          </w:p>
        </w:tc>
        <w:tc>
          <w:tcPr>
            <w:tcW w:type="dxa" w:w="3200"/>
            <w:tcMar>
              <w:top w:w="80" w:type="dxa"/>
              <w:start w:w="120" w:type="dxa"/>
              <w:bottom w:w="80" w:type="dxa"/>
              <w:end w:w="120" w:type="dxa"/>
            </w:tcMar>
            <w:vAlign w:val="center"/>
          </w:tcPr>
          <w:p>
            <w:r>
              <w:rPr>
                <w:rFonts w:ascii="Calibri" w:hAnsi="Calibri"/>
                <w:color w:val="1F2937"/>
                <w:sz w:val="18"/>
              </w:rPr>
              <w:t>API client, token manager, normalizers</w:t>
            </w:r>
          </w:p>
        </w:tc>
        <w:tc>
          <w:tcPr>
            <w:tcW w:type="dxa" w:w="4660"/>
            <w:tcMar>
              <w:top w:w="80" w:type="dxa"/>
              <w:start w:w="120" w:type="dxa"/>
              <w:bottom w:w="80" w:type="dxa"/>
              <w:end w:w="120" w:type="dxa"/>
            </w:tcMar>
            <w:vAlign w:val="center"/>
          </w:tcPr>
          <w:p>
            <w:r>
              <w:rPr>
                <w:rFonts w:ascii="Calibri" w:hAnsi="Calibri"/>
                <w:color w:val="1F2937"/>
                <w:sz w:val="18"/>
              </w:rPr>
              <w:t>Refresh tokens safely, call Intuit, paginate, throttle, normalize errors, and redact logs.</w:t>
            </w:r>
          </w:p>
        </w:tc>
      </w:tr>
      <w:tr>
        <w:tc>
          <w:tcPr>
            <w:tcW w:type="dxa" w:w="1500"/>
            <w:shd w:fill="F8FAFC"/>
            <w:tcMar>
              <w:top w:w="80" w:type="dxa"/>
              <w:start w:w="120" w:type="dxa"/>
              <w:bottom w:w="80" w:type="dxa"/>
              <w:end w:w="120" w:type="dxa"/>
            </w:tcMar>
            <w:vAlign w:val="center"/>
          </w:tcPr>
          <w:p>
            <w:r>
              <w:rPr>
                <w:rFonts w:ascii="Calibri" w:hAnsi="Calibri"/>
                <w:color w:val="1F2937"/>
                <w:sz w:val="18"/>
              </w:rPr>
              <w:t>Worker</w:t>
            </w:r>
          </w:p>
        </w:tc>
        <w:tc>
          <w:tcPr>
            <w:tcW w:type="dxa" w:w="3200"/>
            <w:shd w:fill="F8FAFC"/>
            <w:tcMar>
              <w:top w:w="80" w:type="dxa"/>
              <w:start w:w="120" w:type="dxa"/>
              <w:bottom w:w="80" w:type="dxa"/>
              <w:end w:w="120" w:type="dxa"/>
            </w:tcMar>
            <w:vAlign w:val="center"/>
          </w:tcPr>
          <w:p>
            <w:r>
              <w:rPr>
                <w:rFonts w:ascii="Calibri" w:hAnsi="Calibri"/>
                <w:color w:val="1F2937"/>
                <w:sz w:val="18"/>
              </w:rPr>
              <w:t>Importer, CDC, report refresh, reconciliation</w:t>
            </w:r>
          </w:p>
        </w:tc>
        <w:tc>
          <w:tcPr>
            <w:tcW w:type="dxa" w:w="4660"/>
            <w:shd w:fill="F8FAFC"/>
            <w:tcMar>
              <w:top w:w="80" w:type="dxa"/>
              <w:start w:w="120" w:type="dxa"/>
              <w:bottom w:w="80" w:type="dxa"/>
              <w:end w:w="120" w:type="dxa"/>
            </w:tcMar>
            <w:vAlign w:val="center"/>
          </w:tcPr>
          <w:p>
            <w:r>
              <w:rPr>
                <w:rFonts w:ascii="Calibri" w:hAnsi="Calibri"/>
                <w:color w:val="1F2937"/>
                <w:sz w:val="18"/>
              </w:rPr>
              <w:t>Claim durable jobs, checkpoint work, retry safely, and record entity-level failures.</w:t>
            </w:r>
          </w:p>
        </w:tc>
      </w:tr>
      <w:tr>
        <w:tc>
          <w:tcPr>
            <w:tcW w:type="dxa" w:w="1500"/>
            <w:tcMar>
              <w:top w:w="80" w:type="dxa"/>
              <w:start w:w="120" w:type="dxa"/>
              <w:bottom w:w="80" w:type="dxa"/>
              <w:end w:w="120" w:type="dxa"/>
            </w:tcMar>
            <w:vAlign w:val="center"/>
          </w:tcPr>
          <w:p>
            <w:r>
              <w:rPr>
                <w:rFonts w:ascii="Calibri" w:hAnsi="Calibri"/>
                <w:color w:val="1F2937"/>
                <w:sz w:val="18"/>
              </w:rPr>
              <w:t>Supabase</w:t>
            </w:r>
          </w:p>
        </w:tc>
        <w:tc>
          <w:tcPr>
            <w:tcW w:type="dxa" w:w="3200"/>
            <w:tcMar>
              <w:top w:w="80" w:type="dxa"/>
              <w:start w:w="120" w:type="dxa"/>
              <w:bottom w:w="80" w:type="dxa"/>
              <w:end w:w="120" w:type="dxa"/>
            </w:tcMar>
            <w:vAlign w:val="center"/>
          </w:tcPr>
          <w:p>
            <w:r>
              <w:rPr>
                <w:rFonts w:ascii="Calibri" w:hAnsi="Calibri"/>
                <w:color w:val="1F2937"/>
                <w:sz w:val="18"/>
              </w:rPr>
              <w:t>Credentials, jobs, cursors, events, entities, snapshots</w:t>
            </w:r>
          </w:p>
        </w:tc>
        <w:tc>
          <w:tcPr>
            <w:tcW w:type="dxa" w:w="4660"/>
            <w:tcMar>
              <w:top w:w="80" w:type="dxa"/>
              <w:start w:w="120" w:type="dxa"/>
              <w:bottom w:w="80" w:type="dxa"/>
              <w:end w:w="120" w:type="dxa"/>
            </w:tcMar>
            <w:vAlign w:val="center"/>
          </w:tcPr>
          <w:p>
            <w:r>
              <w:rPr>
                <w:rFonts w:ascii="Calibri" w:hAnsi="Calibri"/>
                <w:color w:val="1F2937"/>
                <w:sz w:val="18"/>
              </w:rPr>
              <w:t>Provide tenant-scoped durable state, uniqueness, transactions, auditability, and RLS.</w:t>
            </w:r>
          </w:p>
        </w:tc>
      </w:tr>
    </w:tbl>
    <w:p>
      <w:pPr>
        <w:spacing w:after="40"/>
      </w:pPr>
    </w:p>
    <w:p>
      <w:pPr>
        <w:pStyle w:val="Heading2"/>
      </w:pPr>
      <w:r>
        <w:t>4.1 Queue strategy</w:t>
      </w:r>
    </w:p>
    <w:p>
      <w:r>
        <w:t>Use a PostgreSQL-backed queue for the initial implementation. A worker should claim rows from quickbooks_sync_jobs through a database function using FOR UPDATE SKIP LOCKED. This avoids introducing Redis while still providing durable, deployment-safe execution. Queue handlers must be idempotent so a managed queue can replace this mechanism later.</w:t>
      </w:r>
    </w:p>
    <w:p>
      <w:pPr>
        <w:pStyle w:val="Heading2"/>
      </w:pPr>
      <w:r>
        <w:t>4.2 Credential strategy</w:t>
      </w:r>
    </w:p>
    <w:p>
      <w:r>
        <w:t>Encrypt access and refresh tokens with authenticated encryption, record an encryption-key version, rotate the refresh token transactionally, and use both a connection-specific database lock and optimistic token_version check. Production keys should be held in a managed secret/KMS system; a protected environment key is acceptable only for sandbox development.</w:t>
      </w:r>
    </w:p>
    <w:p>
      <w:pPr>
        <w:pStyle w:val="Heading1"/>
      </w:pPr>
      <w:r>
        <w:t>5. Proposed database design</w:t>
      </w:r>
    </w:p>
    <w:tbl>
      <w:tblPr>
        <w:tblStyle w:val="TableGrid"/>
        <w:tblW w:type="dxa" w:w="9360"/>
        <w:jc w:val="left"/>
        <w:tblLayout w:type="fixed"/>
        <w:tblLook w:firstColumn="1" w:firstRow="1" w:lastColumn="0" w:lastRow="0" w:noHBand="0" w:noVBand="1" w:val="04A0"/>
        <w:tblInd w:w="120" w:type="dxa"/>
      </w:tblPr>
      <w:tblGrid>
        <w:gridCol w:w="2250"/>
        <w:gridCol w:w="3500"/>
        <w:gridCol w:w="3610"/>
      </w:tblGrid>
      <w:tr>
        <w:trPr>
          <w:tblHeader w:val="true"/>
        </w:trPr>
        <w:tc>
          <w:tcPr>
            <w:tcW w:type="dxa" w:w="2250"/>
            <w:shd w:fill="17365D"/>
            <w:tcMar>
              <w:top w:w="80" w:type="dxa"/>
              <w:start w:w="120" w:type="dxa"/>
              <w:bottom w:w="80" w:type="dxa"/>
              <w:end w:w="120" w:type="dxa"/>
            </w:tcMar>
            <w:vAlign w:val="center"/>
          </w:tcPr>
          <w:p>
            <w:r>
              <w:rPr>
                <w:rFonts w:ascii="Calibri" w:hAnsi="Calibri"/>
                <w:b/>
                <w:color w:val="FFFFFF"/>
                <w:sz w:val="18"/>
              </w:rPr>
              <w:t>Table</w:t>
            </w:r>
          </w:p>
        </w:tc>
        <w:tc>
          <w:tcPr>
            <w:tcW w:type="dxa" w:w="3500"/>
            <w:shd w:fill="17365D"/>
            <w:tcMar>
              <w:top w:w="80" w:type="dxa"/>
              <w:start w:w="120" w:type="dxa"/>
              <w:bottom w:w="80" w:type="dxa"/>
              <w:end w:w="120" w:type="dxa"/>
            </w:tcMar>
            <w:vAlign w:val="center"/>
          </w:tcPr>
          <w:p>
            <w:r>
              <w:rPr>
                <w:rFonts w:ascii="Calibri" w:hAnsi="Calibri"/>
                <w:b/>
                <w:color w:val="FFFFFF"/>
                <w:sz w:val="18"/>
              </w:rPr>
              <w:t>Purpose</w:t>
            </w:r>
          </w:p>
        </w:tc>
        <w:tc>
          <w:tcPr>
            <w:tcW w:type="dxa" w:w="3610"/>
            <w:shd w:fill="17365D"/>
            <w:tcMar>
              <w:top w:w="80" w:type="dxa"/>
              <w:start w:w="120" w:type="dxa"/>
              <w:bottom w:w="80" w:type="dxa"/>
              <w:end w:w="120" w:type="dxa"/>
            </w:tcMar>
            <w:vAlign w:val="center"/>
          </w:tcPr>
          <w:p>
            <w:r>
              <w:rPr>
                <w:rFonts w:ascii="Calibri" w:hAnsi="Calibri"/>
                <w:b/>
                <w:color w:val="FFFFFF"/>
                <w:sz w:val="18"/>
              </w:rPr>
              <w:t>Key constraints</w:t>
            </w:r>
          </w:p>
        </w:tc>
      </w:tr>
      <w:tr>
        <w:tc>
          <w:tcPr>
            <w:tcW w:type="dxa" w:w="2250"/>
            <w:tcMar>
              <w:top w:w="80" w:type="dxa"/>
              <w:start w:w="120" w:type="dxa"/>
              <w:bottom w:w="80" w:type="dxa"/>
              <w:end w:w="120" w:type="dxa"/>
            </w:tcMar>
            <w:vAlign w:val="center"/>
          </w:tcPr>
          <w:p>
            <w:r>
              <w:rPr>
                <w:rFonts w:ascii="Calibri" w:hAnsi="Calibri"/>
                <w:color w:val="1F2937"/>
                <w:sz w:val="18"/>
              </w:rPr>
              <w:t>quickbooks_connections</w:t>
            </w:r>
          </w:p>
        </w:tc>
        <w:tc>
          <w:tcPr>
            <w:tcW w:type="dxa" w:w="3500"/>
            <w:tcMar>
              <w:top w:w="80" w:type="dxa"/>
              <w:start w:w="120" w:type="dxa"/>
              <w:bottom w:w="80" w:type="dxa"/>
              <w:end w:w="120" w:type="dxa"/>
            </w:tcMar>
            <w:vAlign w:val="center"/>
          </w:tcPr>
          <w:p>
            <w:r>
              <w:rPr>
                <w:rFonts w:ascii="Calibri" w:hAnsi="Calibri"/>
                <w:color w:val="1F2937"/>
                <w:sz w:val="18"/>
              </w:rPr>
              <w:t>Organization/company identity and connection state</w:t>
            </w:r>
          </w:p>
        </w:tc>
        <w:tc>
          <w:tcPr>
            <w:tcW w:type="dxa" w:w="3610"/>
            <w:tcMar>
              <w:top w:w="80" w:type="dxa"/>
              <w:start w:w="120" w:type="dxa"/>
              <w:bottom w:w="80" w:type="dxa"/>
              <w:end w:w="120" w:type="dxa"/>
            </w:tcMar>
            <w:vAlign w:val="center"/>
          </w:tcPr>
          <w:p>
            <w:r>
              <w:rPr>
                <w:rFonts w:ascii="Calibri" w:hAnsi="Calibri"/>
                <w:color w:val="1F2937"/>
                <w:sz w:val="18"/>
              </w:rPr>
              <w:t>Unique active realm per environment; organization foreign key; safe status fields</w:t>
            </w:r>
          </w:p>
        </w:tc>
      </w:tr>
      <w:tr>
        <w:tc>
          <w:tcPr>
            <w:tcW w:type="dxa" w:w="2250"/>
            <w:shd w:fill="F8FAFC"/>
            <w:tcMar>
              <w:top w:w="80" w:type="dxa"/>
              <w:start w:w="120" w:type="dxa"/>
              <w:bottom w:w="80" w:type="dxa"/>
              <w:end w:w="120" w:type="dxa"/>
            </w:tcMar>
            <w:vAlign w:val="center"/>
          </w:tcPr>
          <w:p>
            <w:r>
              <w:rPr>
                <w:rFonts w:ascii="Calibri" w:hAnsi="Calibri"/>
                <w:color w:val="1F2937"/>
                <w:sz w:val="18"/>
              </w:rPr>
              <w:t>quickbooks_credentials</w:t>
            </w:r>
          </w:p>
        </w:tc>
        <w:tc>
          <w:tcPr>
            <w:tcW w:type="dxa" w:w="3500"/>
            <w:shd w:fill="F8FAFC"/>
            <w:tcMar>
              <w:top w:w="80" w:type="dxa"/>
              <w:start w:w="120" w:type="dxa"/>
              <w:bottom w:w="80" w:type="dxa"/>
              <w:end w:w="120" w:type="dxa"/>
            </w:tcMar>
            <w:vAlign w:val="center"/>
          </w:tcPr>
          <w:p>
            <w:r>
              <w:rPr>
                <w:rFonts w:ascii="Calibri" w:hAnsi="Calibri"/>
                <w:color w:val="1F2937"/>
                <w:sz w:val="18"/>
              </w:rPr>
              <w:t>Encrypted OAuth credentials and expiry/version data</w:t>
            </w:r>
          </w:p>
        </w:tc>
        <w:tc>
          <w:tcPr>
            <w:tcW w:type="dxa" w:w="3610"/>
            <w:shd w:fill="F8FAFC"/>
            <w:tcMar>
              <w:top w:w="80" w:type="dxa"/>
              <w:start w:w="120" w:type="dxa"/>
              <w:bottom w:w="80" w:type="dxa"/>
              <w:end w:w="120" w:type="dxa"/>
            </w:tcMar>
            <w:vAlign w:val="center"/>
          </w:tcPr>
          <w:p>
            <w:r>
              <w:rPr>
                <w:rFonts w:ascii="Calibri" w:hAnsi="Calibri"/>
                <w:color w:val="1F2937"/>
                <w:sz w:val="18"/>
              </w:rPr>
              <w:t>One current credential row per connection; server-only access</w:t>
            </w:r>
          </w:p>
        </w:tc>
      </w:tr>
      <w:tr>
        <w:tc>
          <w:tcPr>
            <w:tcW w:type="dxa" w:w="2250"/>
            <w:tcMar>
              <w:top w:w="80" w:type="dxa"/>
              <w:start w:w="120" w:type="dxa"/>
              <w:bottom w:w="80" w:type="dxa"/>
              <w:end w:w="120" w:type="dxa"/>
            </w:tcMar>
            <w:vAlign w:val="center"/>
          </w:tcPr>
          <w:p>
            <w:r>
              <w:rPr>
                <w:rFonts w:ascii="Calibri" w:hAnsi="Calibri"/>
                <w:color w:val="1F2937"/>
                <w:sz w:val="18"/>
              </w:rPr>
              <w:t>quickbooks_oauth_states</w:t>
            </w:r>
          </w:p>
        </w:tc>
        <w:tc>
          <w:tcPr>
            <w:tcW w:type="dxa" w:w="3500"/>
            <w:tcMar>
              <w:top w:w="80" w:type="dxa"/>
              <w:start w:w="120" w:type="dxa"/>
              <w:bottom w:w="80" w:type="dxa"/>
              <w:end w:w="120" w:type="dxa"/>
            </w:tcMar>
            <w:vAlign w:val="center"/>
          </w:tcPr>
          <w:p>
            <w:r>
              <w:rPr>
                <w:rFonts w:ascii="Calibri" w:hAnsi="Calibri"/>
                <w:color w:val="1F2937"/>
                <w:sz w:val="18"/>
              </w:rPr>
              <w:t>Short-lived, single-use OAuth state</w:t>
            </w:r>
          </w:p>
        </w:tc>
        <w:tc>
          <w:tcPr>
            <w:tcW w:type="dxa" w:w="3610"/>
            <w:tcMar>
              <w:top w:w="80" w:type="dxa"/>
              <w:start w:w="120" w:type="dxa"/>
              <w:bottom w:w="80" w:type="dxa"/>
              <w:end w:w="120" w:type="dxa"/>
            </w:tcMar>
            <w:vAlign w:val="center"/>
          </w:tcPr>
          <w:p>
            <w:r>
              <w:rPr>
                <w:rFonts w:ascii="Calibri" w:hAnsi="Calibri"/>
                <w:color w:val="1F2937"/>
                <w:sz w:val="18"/>
              </w:rPr>
              <w:t>Unique state hash; expiry; used_at; initiating user and organization</w:t>
            </w:r>
          </w:p>
        </w:tc>
      </w:tr>
      <w:tr>
        <w:tc>
          <w:tcPr>
            <w:tcW w:type="dxa" w:w="2250"/>
            <w:shd w:fill="F8FAFC"/>
            <w:tcMar>
              <w:top w:w="80" w:type="dxa"/>
              <w:start w:w="120" w:type="dxa"/>
              <w:bottom w:w="80" w:type="dxa"/>
              <w:end w:w="120" w:type="dxa"/>
            </w:tcMar>
            <w:vAlign w:val="center"/>
          </w:tcPr>
          <w:p>
            <w:r>
              <w:rPr>
                <w:rFonts w:ascii="Calibri" w:hAnsi="Calibri"/>
                <w:color w:val="1F2937"/>
                <w:sz w:val="18"/>
              </w:rPr>
              <w:t>quickbooks_sync_jobs</w:t>
            </w:r>
          </w:p>
        </w:tc>
        <w:tc>
          <w:tcPr>
            <w:tcW w:type="dxa" w:w="3500"/>
            <w:shd w:fill="F8FAFC"/>
            <w:tcMar>
              <w:top w:w="80" w:type="dxa"/>
              <w:start w:w="120" w:type="dxa"/>
              <w:bottom w:w="80" w:type="dxa"/>
              <w:end w:w="120" w:type="dxa"/>
            </w:tcMar>
            <w:vAlign w:val="center"/>
          </w:tcPr>
          <w:p>
            <w:r>
              <w:rPr>
                <w:rFonts w:ascii="Calibri" w:hAnsi="Calibri"/>
                <w:color w:val="1F2937"/>
                <w:sz w:val="18"/>
              </w:rPr>
              <w:t>Durable asynchronous work and progress</w:t>
            </w:r>
          </w:p>
        </w:tc>
        <w:tc>
          <w:tcPr>
            <w:tcW w:type="dxa" w:w="3610"/>
            <w:shd w:fill="F8FAFC"/>
            <w:tcMar>
              <w:top w:w="80" w:type="dxa"/>
              <w:start w:w="120" w:type="dxa"/>
              <w:bottom w:w="80" w:type="dxa"/>
              <w:end w:w="120" w:type="dxa"/>
            </w:tcMar>
            <w:vAlign w:val="center"/>
          </w:tcPr>
          <w:p>
            <w:r>
              <w:rPr>
                <w:rFonts w:ascii="Calibri" w:hAnsi="Calibri"/>
                <w:color w:val="1F2937"/>
                <w:sz w:val="18"/>
              </w:rPr>
              <w:t>Idempotency key; lease/claim fields; bounded attempts; checkpoint cursor</w:t>
            </w:r>
          </w:p>
        </w:tc>
      </w:tr>
      <w:tr>
        <w:tc>
          <w:tcPr>
            <w:tcW w:type="dxa" w:w="2250"/>
            <w:tcMar>
              <w:top w:w="80" w:type="dxa"/>
              <w:start w:w="120" w:type="dxa"/>
              <w:bottom w:w="80" w:type="dxa"/>
              <w:end w:w="120" w:type="dxa"/>
            </w:tcMar>
            <w:vAlign w:val="center"/>
          </w:tcPr>
          <w:p>
            <w:r>
              <w:rPr>
                <w:rFonts w:ascii="Calibri" w:hAnsi="Calibri"/>
                <w:color w:val="1F2937"/>
                <w:sz w:val="18"/>
              </w:rPr>
              <w:t>quickbooks_sync_cursors</w:t>
            </w:r>
          </w:p>
        </w:tc>
        <w:tc>
          <w:tcPr>
            <w:tcW w:type="dxa" w:w="3500"/>
            <w:tcMar>
              <w:top w:w="80" w:type="dxa"/>
              <w:start w:w="120" w:type="dxa"/>
              <w:bottom w:w="80" w:type="dxa"/>
              <w:end w:w="120" w:type="dxa"/>
            </w:tcMar>
            <w:vAlign w:val="center"/>
          </w:tcPr>
          <w:p>
            <w:r>
              <w:rPr>
                <w:rFonts w:ascii="Calibri" w:hAnsi="Calibri"/>
                <w:color w:val="1F2937"/>
                <w:sz w:val="18"/>
              </w:rPr>
              <w:t>CDC and entity import cursors</w:t>
            </w:r>
          </w:p>
        </w:tc>
        <w:tc>
          <w:tcPr>
            <w:tcW w:type="dxa" w:w="3610"/>
            <w:tcMar>
              <w:top w:w="80" w:type="dxa"/>
              <w:start w:w="120" w:type="dxa"/>
              <w:bottom w:w="80" w:type="dxa"/>
              <w:end w:w="120" w:type="dxa"/>
            </w:tcMar>
            <w:vAlign w:val="center"/>
          </w:tcPr>
          <w:p>
            <w:r>
              <w:rPr>
                <w:rFonts w:ascii="Calibri" w:hAnsi="Calibri"/>
                <w:color w:val="1F2937"/>
                <w:sz w:val="18"/>
              </w:rPr>
              <w:t>Unique connection + entity group; advance only after complete success</w:t>
            </w:r>
          </w:p>
        </w:tc>
      </w:tr>
      <w:tr>
        <w:tc>
          <w:tcPr>
            <w:tcW w:type="dxa" w:w="2250"/>
            <w:shd w:fill="F8FAFC"/>
            <w:tcMar>
              <w:top w:w="80" w:type="dxa"/>
              <w:start w:w="120" w:type="dxa"/>
              <w:bottom w:w="80" w:type="dxa"/>
              <w:end w:w="120" w:type="dxa"/>
            </w:tcMar>
            <w:vAlign w:val="center"/>
          </w:tcPr>
          <w:p>
            <w:r>
              <w:rPr>
                <w:rFonts w:ascii="Calibri" w:hAnsi="Calibri"/>
                <w:color w:val="1F2937"/>
                <w:sz w:val="18"/>
              </w:rPr>
              <w:t>quickbooks_webhook_events</w:t>
            </w:r>
          </w:p>
        </w:tc>
        <w:tc>
          <w:tcPr>
            <w:tcW w:type="dxa" w:w="3500"/>
            <w:shd w:fill="F8FAFC"/>
            <w:tcMar>
              <w:top w:w="80" w:type="dxa"/>
              <w:start w:w="120" w:type="dxa"/>
              <w:bottom w:w="80" w:type="dxa"/>
              <w:end w:w="120" w:type="dxa"/>
            </w:tcMar>
            <w:vAlign w:val="center"/>
          </w:tcPr>
          <w:p>
            <w:r>
              <w:rPr>
                <w:rFonts w:ascii="Calibri" w:hAnsi="Calibri"/>
                <w:color w:val="1F2937"/>
                <w:sz w:val="18"/>
              </w:rPr>
              <w:t>Immutable verified webhook signals</w:t>
            </w:r>
          </w:p>
        </w:tc>
        <w:tc>
          <w:tcPr>
            <w:tcW w:type="dxa" w:w="3610"/>
            <w:shd w:fill="F8FAFC"/>
            <w:tcMar>
              <w:top w:w="80" w:type="dxa"/>
              <w:start w:w="120" w:type="dxa"/>
              <w:bottom w:w="80" w:type="dxa"/>
              <w:end w:w="120" w:type="dxa"/>
            </w:tcMar>
            <w:vAlign w:val="center"/>
          </w:tcPr>
          <w:p>
            <w:r>
              <w:rPr>
                <w:rFonts w:ascii="Calibri" w:hAnsi="Calibri"/>
                <w:color w:val="1F2937"/>
                <w:sz w:val="18"/>
              </w:rPr>
              <w:t>Unique event fingerprint; processing state; raw payload retention policy</w:t>
            </w:r>
          </w:p>
        </w:tc>
      </w:tr>
      <w:tr>
        <w:tc>
          <w:tcPr>
            <w:tcW w:type="dxa" w:w="2250"/>
            <w:tcMar>
              <w:top w:w="80" w:type="dxa"/>
              <w:start w:w="120" w:type="dxa"/>
              <w:bottom w:w="80" w:type="dxa"/>
              <w:end w:w="120" w:type="dxa"/>
            </w:tcMar>
            <w:vAlign w:val="center"/>
          </w:tcPr>
          <w:p>
            <w:r>
              <w:rPr>
                <w:rFonts w:ascii="Calibri" w:hAnsi="Calibri"/>
                <w:color w:val="1F2937"/>
                <w:sz w:val="18"/>
              </w:rPr>
              <w:t>quickbooks_entities</w:t>
            </w:r>
          </w:p>
        </w:tc>
        <w:tc>
          <w:tcPr>
            <w:tcW w:type="dxa" w:w="3500"/>
            <w:tcMar>
              <w:top w:w="80" w:type="dxa"/>
              <w:start w:w="120" w:type="dxa"/>
              <w:bottom w:w="80" w:type="dxa"/>
              <w:end w:w="120" w:type="dxa"/>
            </w:tcMar>
            <w:vAlign w:val="center"/>
          </w:tcPr>
          <w:p>
            <w:r>
              <w:rPr>
                <w:rFonts w:ascii="Calibri" w:hAnsi="Calibri"/>
                <w:color w:val="1F2937"/>
                <w:sz w:val="18"/>
              </w:rPr>
              <w:t>Canonical imported entity layer</w:t>
            </w:r>
          </w:p>
        </w:tc>
        <w:tc>
          <w:tcPr>
            <w:tcW w:type="dxa" w:w="3610"/>
            <w:tcMar>
              <w:top w:w="80" w:type="dxa"/>
              <w:start w:w="120" w:type="dxa"/>
              <w:bottom w:w="80" w:type="dxa"/>
              <w:end w:w="120" w:type="dxa"/>
            </w:tcMar>
            <w:vAlign w:val="center"/>
          </w:tcPr>
          <w:p>
            <w:r>
              <w:rPr>
                <w:rFonts w:ascii="Calibri" w:hAnsi="Calibri"/>
                <w:color w:val="1F2937"/>
                <w:sz w:val="18"/>
              </w:rPr>
              <w:t>Unique connection + entity type + QuickBooks ID; sync token and source timestamp</w:t>
            </w:r>
          </w:p>
        </w:tc>
      </w:tr>
      <w:tr>
        <w:tc>
          <w:tcPr>
            <w:tcW w:type="dxa" w:w="2250"/>
            <w:shd w:fill="F8FAFC"/>
            <w:tcMar>
              <w:top w:w="80" w:type="dxa"/>
              <w:start w:w="120" w:type="dxa"/>
              <w:bottom w:w="80" w:type="dxa"/>
              <w:end w:w="120" w:type="dxa"/>
            </w:tcMar>
            <w:vAlign w:val="center"/>
          </w:tcPr>
          <w:p>
            <w:r>
              <w:rPr>
                <w:rFonts w:ascii="Calibri" w:hAnsi="Calibri"/>
                <w:color w:val="1F2937"/>
                <w:sz w:val="18"/>
              </w:rPr>
              <w:t>quickbooks_report_snapshots</w:t>
            </w:r>
          </w:p>
        </w:tc>
        <w:tc>
          <w:tcPr>
            <w:tcW w:type="dxa" w:w="3500"/>
            <w:shd w:fill="F8FAFC"/>
            <w:tcMar>
              <w:top w:w="80" w:type="dxa"/>
              <w:start w:w="120" w:type="dxa"/>
              <w:bottom w:w="80" w:type="dxa"/>
              <w:end w:w="120" w:type="dxa"/>
            </w:tcMar>
            <w:vAlign w:val="center"/>
          </w:tcPr>
          <w:p>
            <w:r>
              <w:rPr>
                <w:rFonts w:ascii="Calibri" w:hAnsi="Calibri"/>
                <w:color w:val="1F2937"/>
                <w:sz w:val="18"/>
              </w:rPr>
              <w:t>Immutable parameterized reports</w:t>
            </w:r>
          </w:p>
        </w:tc>
        <w:tc>
          <w:tcPr>
            <w:tcW w:type="dxa" w:w="3610"/>
            <w:shd w:fill="F8FAFC"/>
            <w:tcMar>
              <w:top w:w="80" w:type="dxa"/>
              <w:start w:w="120" w:type="dxa"/>
              <w:bottom w:w="80" w:type="dxa"/>
              <w:end w:w="120" w:type="dxa"/>
            </w:tcMar>
            <w:vAlign w:val="center"/>
          </w:tcPr>
          <w:p>
            <w:r>
              <w:rPr>
                <w:rFonts w:ascii="Calibri" w:hAnsi="Calibri"/>
                <w:color w:val="1F2937"/>
                <w:sz w:val="18"/>
              </w:rPr>
              <w:t>Report type, basis, dates, filters, source payload, normalized rows, schema version</w:t>
            </w:r>
          </w:p>
        </w:tc>
      </w:tr>
      <w:tr>
        <w:tc>
          <w:tcPr>
            <w:tcW w:type="dxa" w:w="2250"/>
            <w:tcMar>
              <w:top w:w="80" w:type="dxa"/>
              <w:start w:w="120" w:type="dxa"/>
              <w:bottom w:w="80" w:type="dxa"/>
              <w:end w:w="120" w:type="dxa"/>
            </w:tcMar>
            <w:vAlign w:val="center"/>
          </w:tcPr>
          <w:p>
            <w:r>
              <w:rPr>
                <w:rFonts w:ascii="Calibri" w:hAnsi="Calibri"/>
                <w:color w:val="1F2937"/>
                <w:sz w:val="18"/>
              </w:rPr>
              <w:t>quickbooks_sync_failures</w:t>
            </w:r>
          </w:p>
        </w:tc>
        <w:tc>
          <w:tcPr>
            <w:tcW w:type="dxa" w:w="3500"/>
            <w:tcMar>
              <w:top w:w="80" w:type="dxa"/>
              <w:start w:w="120" w:type="dxa"/>
              <w:bottom w:w="80" w:type="dxa"/>
              <w:end w:w="120" w:type="dxa"/>
            </w:tcMar>
            <w:vAlign w:val="center"/>
          </w:tcPr>
          <w:p>
            <w:r>
              <w:rPr>
                <w:rFonts w:ascii="Calibri" w:hAnsi="Calibri"/>
                <w:color w:val="1F2937"/>
                <w:sz w:val="18"/>
              </w:rPr>
              <w:t>Entity/page failures and retry state</w:t>
            </w:r>
          </w:p>
        </w:tc>
        <w:tc>
          <w:tcPr>
            <w:tcW w:type="dxa" w:w="3610"/>
            <w:tcMar>
              <w:top w:w="80" w:type="dxa"/>
              <w:start w:w="120" w:type="dxa"/>
              <w:bottom w:w="80" w:type="dxa"/>
              <w:end w:w="120" w:type="dxa"/>
            </w:tcMar>
            <w:vAlign w:val="center"/>
          </w:tcPr>
          <w:p>
            <w:r>
              <w:rPr>
                <w:rFonts w:ascii="Calibri" w:hAnsi="Calibri"/>
                <w:color w:val="1F2937"/>
                <w:sz w:val="18"/>
              </w:rPr>
              <w:t>Job linkage, retry classification, safe diagnostic fields, resolution timestamp</w:t>
            </w:r>
          </w:p>
        </w:tc>
      </w:tr>
    </w:tbl>
    <w:p>
      <w:pPr>
        <w:spacing w:after="40"/>
      </w:pPr>
    </w:p>
    <w:p>
      <w:r>
        <w:t>Do not place invoices, payments, vendor records, or report structures directly into the existing BookSmart transactions table. Import them into the canonical layer first, then project only compatible financial activity into BookSmart transactions with source_system='quickbooks' and stable source identifiers.</w:t>
      </w:r>
    </w:p>
    <w:p>
      <w:pPr>
        <w:pStyle w:val="Heading1"/>
      </w:pPr>
      <w:r>
        <w:t>6. Backend and frontend work</w:t>
      </w:r>
    </w:p>
    <w:p>
      <w:pPr>
        <w:pStyle w:val="Heading2"/>
      </w:pPr>
      <w:r>
        <w:t>6.1 API endpoints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7365D"/>
            <w:tcMar>
              <w:top w:w="80" w:type="dxa"/>
              <w:start w:w="120" w:type="dxa"/>
              <w:bottom w:w="80" w:type="dxa"/>
              <w:end w:w="120" w:type="dxa"/>
            </w:tcMar>
            <w:vAlign w:val="center"/>
          </w:tcPr>
          <w:p>
            <w:r>
              <w:rPr>
                <w:rFonts w:ascii="Calibri" w:hAnsi="Calibri"/>
                <w:b/>
                <w:color w:val="FFFFFF"/>
                <w:sz w:val="18"/>
              </w:rPr>
              <w:t>Endpoint group</w:t>
            </w:r>
          </w:p>
        </w:tc>
        <w:tc>
          <w:tcPr>
            <w:tcW w:type="dxa" w:w="6960"/>
            <w:shd w:fill="17365D"/>
            <w:tcMar>
              <w:top w:w="80" w:type="dxa"/>
              <w:start w:w="120" w:type="dxa"/>
              <w:bottom w:w="80" w:type="dxa"/>
              <w:end w:w="120" w:type="dxa"/>
            </w:tcMar>
            <w:vAlign w:val="center"/>
          </w:tcPr>
          <w:p>
            <w:r>
              <w:rPr>
                <w:rFonts w:ascii="Calibri" w:hAnsi="Calibri"/>
                <w:b/>
                <w:color w:val="FFFFFF"/>
                <w:sz w:val="18"/>
              </w:rPr>
              <w:t>Initial endpoints</w:t>
            </w:r>
          </w:p>
        </w:tc>
      </w:tr>
      <w:tr>
        <w:tc>
          <w:tcPr>
            <w:tcW w:type="dxa" w:w="2400"/>
            <w:tcMar>
              <w:top w:w="80" w:type="dxa"/>
              <w:start w:w="120" w:type="dxa"/>
              <w:bottom w:w="80" w:type="dxa"/>
              <w:end w:w="120" w:type="dxa"/>
            </w:tcMar>
            <w:vAlign w:val="center"/>
          </w:tcPr>
          <w:p>
            <w:r>
              <w:rPr>
                <w:rFonts w:ascii="Calibri" w:hAnsi="Calibri"/>
                <w:color w:val="1F2937"/>
                <w:sz w:val="18"/>
              </w:rPr>
              <w:t>Connection</w:t>
            </w:r>
          </w:p>
        </w:tc>
        <w:tc>
          <w:tcPr>
            <w:tcW w:type="dxa" w:w="6960"/>
            <w:tcMar>
              <w:top w:w="80" w:type="dxa"/>
              <w:start w:w="120" w:type="dxa"/>
              <w:bottom w:w="80" w:type="dxa"/>
              <w:end w:w="120" w:type="dxa"/>
            </w:tcMar>
            <w:vAlign w:val="center"/>
          </w:tcPr>
          <w:p>
            <w:r>
              <w:rPr>
                <w:rFonts w:ascii="Calibri" w:hAnsi="Calibri"/>
                <w:color w:val="1F2937"/>
                <w:sz w:val="18"/>
              </w:rPr>
              <w:t>connect, callback, list connections, connection detail, reconnect, disconnect</w:t>
            </w:r>
          </w:p>
        </w:tc>
      </w:tr>
      <w:tr>
        <w:tc>
          <w:tcPr>
            <w:tcW w:type="dxa" w:w="2400"/>
            <w:shd w:fill="F8FAFC"/>
            <w:tcMar>
              <w:top w:w="80" w:type="dxa"/>
              <w:start w:w="120" w:type="dxa"/>
              <w:bottom w:w="80" w:type="dxa"/>
              <w:end w:w="120" w:type="dxa"/>
            </w:tcMar>
            <w:vAlign w:val="center"/>
          </w:tcPr>
          <w:p>
            <w:r>
              <w:rPr>
                <w:rFonts w:ascii="Calibri" w:hAnsi="Calibri"/>
                <w:color w:val="1F2937"/>
                <w:sz w:val="18"/>
              </w:rPr>
              <w:t>Import/sync</w:t>
            </w:r>
          </w:p>
        </w:tc>
        <w:tc>
          <w:tcPr>
            <w:tcW w:type="dxa" w:w="6960"/>
            <w:shd w:fill="F8FAFC"/>
            <w:tcMar>
              <w:top w:w="80" w:type="dxa"/>
              <w:start w:w="120" w:type="dxa"/>
              <w:bottom w:w="80" w:type="dxa"/>
              <w:end w:w="120" w:type="dxa"/>
            </w:tcMar>
            <w:vAlign w:val="center"/>
          </w:tcPr>
          <w:p>
            <w:r>
              <w:rPr>
                <w:rFonts w:ascii="Calibri" w:hAnsi="Calibri"/>
                <w:color w:val="1F2937"/>
                <w:sz w:val="18"/>
              </w:rPr>
              <w:t>start import, import status, manual sync, retry failures, sync-job detail</w:t>
            </w:r>
          </w:p>
        </w:tc>
      </w:tr>
      <w:tr>
        <w:tc>
          <w:tcPr>
            <w:tcW w:type="dxa" w:w="2400"/>
            <w:tcMar>
              <w:top w:w="80" w:type="dxa"/>
              <w:start w:w="120" w:type="dxa"/>
              <w:bottom w:w="80" w:type="dxa"/>
              <w:end w:w="120" w:type="dxa"/>
            </w:tcMar>
            <w:vAlign w:val="center"/>
          </w:tcPr>
          <w:p>
            <w:r>
              <w:rPr>
                <w:rFonts w:ascii="Calibri" w:hAnsi="Calibri"/>
                <w:color w:val="1F2937"/>
                <w:sz w:val="18"/>
              </w:rPr>
              <w:t>Reports</w:t>
            </w:r>
          </w:p>
        </w:tc>
        <w:tc>
          <w:tcPr>
            <w:tcW w:type="dxa" w:w="6960"/>
            <w:tcMar>
              <w:top w:w="80" w:type="dxa"/>
              <w:start w:w="120" w:type="dxa"/>
              <w:bottom w:w="80" w:type="dxa"/>
              <w:end w:w="120" w:type="dxa"/>
            </w:tcMar>
            <w:vAlign w:val="center"/>
          </w:tcPr>
          <w:p>
            <w:r>
              <w:rPr>
                <w:rFonts w:ascii="Calibri" w:hAnsi="Calibri"/>
                <w:color w:val="1F2937"/>
                <w:sz w:val="18"/>
              </w:rPr>
              <w:t>request snapshot, list snapshots, retrieve normalized snapshot</w:t>
            </w:r>
          </w:p>
        </w:tc>
      </w:tr>
      <w:tr>
        <w:tc>
          <w:tcPr>
            <w:tcW w:type="dxa" w:w="2400"/>
            <w:shd w:fill="F8FAFC"/>
            <w:tcMar>
              <w:top w:w="80" w:type="dxa"/>
              <w:start w:w="120" w:type="dxa"/>
              <w:bottom w:w="80" w:type="dxa"/>
              <w:end w:w="120" w:type="dxa"/>
            </w:tcMar>
            <w:vAlign w:val="center"/>
          </w:tcPr>
          <w:p>
            <w:r>
              <w:rPr>
                <w:rFonts w:ascii="Calibri" w:hAnsi="Calibri"/>
                <w:color w:val="1F2937"/>
                <w:sz w:val="18"/>
              </w:rPr>
              <w:t>Webhook</w:t>
            </w:r>
          </w:p>
        </w:tc>
        <w:tc>
          <w:tcPr>
            <w:tcW w:type="dxa" w:w="6960"/>
            <w:shd w:fill="F8FAFC"/>
            <w:tcMar>
              <w:top w:w="80" w:type="dxa"/>
              <w:start w:w="120" w:type="dxa"/>
              <w:bottom w:w="80" w:type="dxa"/>
              <w:end w:w="120" w:type="dxa"/>
            </w:tcMar>
            <w:vAlign w:val="center"/>
          </w:tcPr>
          <w:p>
            <w:r>
              <w:rPr>
                <w:rFonts w:ascii="Calibri" w:hAnsi="Calibri"/>
                <w:color w:val="1F2937"/>
                <w:sz w:val="18"/>
              </w:rPr>
              <w:t>POST /api/webhooks/quickbooks using the exact raw request body</w:t>
            </w:r>
          </w:p>
        </w:tc>
      </w:tr>
    </w:tbl>
    <w:p>
      <w:pPr>
        <w:spacing w:after="40"/>
      </w:pPr>
    </w:p>
    <w:p>
      <w:pPr>
        <w:pStyle w:val="Heading2"/>
      </w:pPr>
      <w:r>
        <w:t>6.2 Suggested server module layout</w:t>
      </w:r>
    </w:p>
    <w:p>
      <w:pPr>
        <w:pStyle w:val="ListBullet"/>
      </w:pPr>
      <w:r>
        <w:t>src/integrations/quickbooks/client.ts — authenticated requests, pagination, rate limiting, request IDs, error normalization.</w:t>
      </w:r>
    </w:p>
    <w:p>
      <w:pPr>
        <w:pStyle w:val="ListBullet"/>
      </w:pPr>
      <w:r>
        <w:t>src/integrations/quickbooks/oauth.ts — authorization URL, callback exchange, revoke, state validation.</w:t>
      </w:r>
    </w:p>
    <w:p>
      <w:pPr>
        <w:pStyle w:val="ListBullet"/>
      </w:pPr>
      <w:r>
        <w:t>src/integrations/quickbooks/credentials.ts — encryption, expiry checks, refresh rotation, locking.</w:t>
      </w:r>
    </w:p>
    <w:p>
      <w:pPr>
        <w:pStyle w:val="ListBullet"/>
      </w:pPr>
      <w:r>
        <w:t>src/integrations/quickbooks/importers/ — entity-specific query, normalization, and checkpoint handlers.</w:t>
      </w:r>
    </w:p>
    <w:p>
      <w:pPr>
        <w:pStyle w:val="ListBullet"/>
      </w:pPr>
      <w:r>
        <w:t>src/integrations/quickbooks/jobs.ts — enqueue, claim, retry, partial-completion, and cancellation behavior.</w:t>
      </w:r>
    </w:p>
    <w:p>
      <w:pPr>
        <w:pStyle w:val="ListBullet"/>
      </w:pPr>
      <w:r>
        <w:t>src/integrations/quickbooks/reconciliation.ts — counts, totals, CDC overlap, and drift checks.</w:t>
      </w:r>
    </w:p>
    <w:p>
      <w:pPr>
        <w:pStyle w:val="Heading2"/>
      </w:pPr>
      <w:r>
        <w:t>6.3 Product experience</w:t>
      </w:r>
    </w:p>
    <w:p>
      <w:r>
        <w:t>Add an Accounting Integrations section under organization settings. It should clearly distinguish Connecting, Importing, Connected, Partially completed, Action required, Reauthorization required, and Disconnected. Users should see entity-level progress and safe recovery actions, not raw Intuit errors.</w:t>
      </w:r>
    </w:p>
    <w:p>
      <w:pPr>
        <w:pStyle w:val="Heading1"/>
      </w:pPr>
      <w:r>
        <w:t>7. Phased delivery plan</w:t>
      </w:r>
    </w:p>
    <w:tbl>
      <w:tblPr>
        <w:tblStyle w:val="TableGrid"/>
        <w:tblW w:type="dxa" w:w="9360"/>
        <w:jc w:val="left"/>
        <w:tblLayout w:type="fixed"/>
        <w:tblLook w:firstColumn="1" w:firstRow="1" w:lastColumn="0" w:lastRow="0" w:noHBand="0" w:noVBand="1" w:val="04A0"/>
        <w:tblInd w:w="120" w:type="dxa"/>
      </w:tblPr>
      <w:tblGrid>
        <w:gridCol w:w="1150"/>
        <w:gridCol w:w="3350"/>
        <w:gridCol w:w="3210"/>
        <w:gridCol w:w="1650"/>
      </w:tblGrid>
      <w:tr>
        <w:trPr>
          <w:tblHeader w:val="true"/>
        </w:trPr>
        <w:tc>
          <w:tcPr>
            <w:tcW w:type="dxa" w:w="1150"/>
            <w:shd w:fill="17365D"/>
            <w:tcMar>
              <w:top w:w="80" w:type="dxa"/>
              <w:start w:w="120" w:type="dxa"/>
              <w:bottom w:w="80" w:type="dxa"/>
              <w:end w:w="120" w:type="dxa"/>
            </w:tcMar>
            <w:vAlign w:val="center"/>
          </w:tcPr>
          <w:p>
            <w:r>
              <w:rPr>
                <w:rFonts w:ascii="Calibri" w:hAnsi="Calibri"/>
                <w:b/>
                <w:color w:val="FFFFFF"/>
                <w:sz w:val="18"/>
              </w:rPr>
              <w:t>Phase</w:t>
            </w:r>
          </w:p>
        </w:tc>
        <w:tc>
          <w:tcPr>
            <w:tcW w:type="dxa" w:w="3350"/>
            <w:shd w:fill="17365D"/>
            <w:tcMar>
              <w:top w:w="80" w:type="dxa"/>
              <w:start w:w="120" w:type="dxa"/>
              <w:bottom w:w="80" w:type="dxa"/>
              <w:end w:w="120" w:type="dxa"/>
            </w:tcMar>
            <w:vAlign w:val="center"/>
          </w:tcPr>
          <w:p>
            <w:r>
              <w:rPr>
                <w:rFonts w:ascii="Calibri" w:hAnsi="Calibri"/>
                <w:b/>
                <w:color w:val="FFFFFF"/>
                <w:sz w:val="18"/>
              </w:rPr>
              <w:t>Scope</w:t>
            </w:r>
          </w:p>
        </w:tc>
        <w:tc>
          <w:tcPr>
            <w:tcW w:type="dxa" w:w="3210"/>
            <w:shd w:fill="17365D"/>
            <w:tcMar>
              <w:top w:w="80" w:type="dxa"/>
              <w:start w:w="120" w:type="dxa"/>
              <w:bottom w:w="80" w:type="dxa"/>
              <w:end w:w="120" w:type="dxa"/>
            </w:tcMar>
            <w:vAlign w:val="center"/>
          </w:tcPr>
          <w:p>
            <w:r>
              <w:rPr>
                <w:rFonts w:ascii="Calibri" w:hAnsi="Calibri"/>
                <w:b/>
                <w:color w:val="FFFFFF"/>
                <w:sz w:val="18"/>
              </w:rPr>
              <w:t>Exit gate</w:t>
            </w:r>
          </w:p>
        </w:tc>
        <w:tc>
          <w:tcPr>
            <w:tcW w:type="dxa" w:w="1650"/>
            <w:shd w:fill="17365D"/>
            <w:tcMar>
              <w:top w:w="80" w:type="dxa"/>
              <w:start w:w="120" w:type="dxa"/>
              <w:bottom w:w="80" w:type="dxa"/>
              <w:end w:w="120" w:type="dxa"/>
            </w:tcMar>
            <w:vAlign w:val="center"/>
          </w:tcPr>
          <w:p>
            <w:r>
              <w:rPr>
                <w:rFonts w:ascii="Calibri" w:hAnsi="Calibri"/>
                <w:b/>
                <w:color w:val="FFFFFF"/>
                <w:sz w:val="18"/>
              </w:rPr>
              <w:t>Indicative duration</w:t>
            </w:r>
          </w:p>
        </w:tc>
      </w:tr>
      <w:tr>
        <w:tc>
          <w:tcPr>
            <w:tcW w:type="dxa" w:w="1150"/>
            <w:tcMar>
              <w:top w:w="80" w:type="dxa"/>
              <w:start w:w="120" w:type="dxa"/>
              <w:bottom w:w="80" w:type="dxa"/>
              <w:end w:w="120" w:type="dxa"/>
            </w:tcMar>
            <w:vAlign w:val="center"/>
          </w:tcPr>
          <w:p>
            <w:r>
              <w:rPr>
                <w:rFonts w:ascii="Calibri" w:hAnsi="Calibri"/>
                <w:color w:val="1F2937"/>
                <w:sz w:val="18"/>
              </w:rPr>
              <w:t>0. Decisions</w:t>
            </w:r>
          </w:p>
        </w:tc>
        <w:tc>
          <w:tcPr>
            <w:tcW w:type="dxa" w:w="3350"/>
            <w:tcMar>
              <w:top w:w="80" w:type="dxa"/>
              <w:start w:w="120" w:type="dxa"/>
              <w:bottom w:w="80" w:type="dxa"/>
              <w:end w:w="120" w:type="dxa"/>
            </w:tcMar>
            <w:vAlign w:val="center"/>
          </w:tcPr>
          <w:p>
            <w:r>
              <w:rPr>
                <w:rFonts w:ascii="Calibri" w:hAnsi="Calibri"/>
                <w:color w:val="1F2937"/>
                <w:sz w:val="18"/>
              </w:rPr>
              <w:t>Confirm entities, reports, import ranges, retention, environment, and pilot organizations.</w:t>
            </w:r>
          </w:p>
        </w:tc>
        <w:tc>
          <w:tcPr>
            <w:tcW w:type="dxa" w:w="3210"/>
            <w:tcMar>
              <w:top w:w="80" w:type="dxa"/>
              <w:start w:w="120" w:type="dxa"/>
              <w:bottom w:w="80" w:type="dxa"/>
              <w:end w:w="120" w:type="dxa"/>
            </w:tcMar>
            <w:vAlign w:val="center"/>
          </w:tcPr>
          <w:p>
            <w:r>
              <w:rPr>
                <w:rFonts w:ascii="Calibri" w:hAnsi="Calibri"/>
                <w:color w:val="1F2937"/>
                <w:sz w:val="18"/>
              </w:rPr>
              <w:t>Approved MVP and Intuit app ownership.</w:t>
            </w:r>
          </w:p>
        </w:tc>
        <w:tc>
          <w:tcPr>
            <w:tcW w:type="dxa" w:w="1650"/>
            <w:tcMar>
              <w:top w:w="80" w:type="dxa"/>
              <w:start w:w="120" w:type="dxa"/>
              <w:bottom w:w="80" w:type="dxa"/>
              <w:end w:w="120" w:type="dxa"/>
            </w:tcMar>
            <w:vAlign w:val="center"/>
          </w:tcPr>
          <w:p>
            <w:r>
              <w:rPr>
                <w:rFonts w:ascii="Calibri" w:hAnsi="Calibri"/>
                <w:color w:val="1F2937"/>
                <w:sz w:val="18"/>
              </w:rPr>
              <w:t>1 week</w:t>
            </w:r>
          </w:p>
        </w:tc>
      </w:tr>
      <w:tr>
        <w:tc>
          <w:tcPr>
            <w:tcW w:type="dxa" w:w="1150"/>
            <w:shd w:fill="F8FAFC"/>
            <w:tcMar>
              <w:top w:w="80" w:type="dxa"/>
              <w:start w:w="120" w:type="dxa"/>
              <w:bottom w:w="80" w:type="dxa"/>
              <w:end w:w="120" w:type="dxa"/>
            </w:tcMar>
            <w:vAlign w:val="center"/>
          </w:tcPr>
          <w:p>
            <w:r>
              <w:rPr>
                <w:rFonts w:ascii="Calibri" w:hAnsi="Calibri"/>
                <w:color w:val="1F2937"/>
                <w:sz w:val="18"/>
              </w:rPr>
              <w:t>1. Foundation</w:t>
            </w:r>
          </w:p>
        </w:tc>
        <w:tc>
          <w:tcPr>
            <w:tcW w:type="dxa" w:w="3350"/>
            <w:shd w:fill="F8FAFC"/>
            <w:tcMar>
              <w:top w:w="80" w:type="dxa"/>
              <w:start w:w="120" w:type="dxa"/>
              <w:bottom w:w="80" w:type="dxa"/>
              <w:end w:w="120" w:type="dxa"/>
            </w:tcMar>
            <w:vAlign w:val="center"/>
          </w:tcPr>
          <w:p>
            <w:r>
              <w:rPr>
                <w:rFonts w:ascii="Calibri" w:hAnsi="Calibri"/>
                <w:color w:val="1F2937"/>
                <w:sz w:val="18"/>
              </w:rPr>
              <w:t>Schema, RLS, organization authorization, encryption, configuration, observability.</w:t>
            </w:r>
          </w:p>
        </w:tc>
        <w:tc>
          <w:tcPr>
            <w:tcW w:type="dxa" w:w="3210"/>
            <w:shd w:fill="F8FAFC"/>
            <w:tcMar>
              <w:top w:w="80" w:type="dxa"/>
              <w:start w:w="120" w:type="dxa"/>
              <w:bottom w:w="80" w:type="dxa"/>
              <w:end w:w="120" w:type="dxa"/>
            </w:tcMar>
            <w:vAlign w:val="center"/>
          </w:tcPr>
          <w:p>
            <w:r>
              <w:rPr>
                <w:rFonts w:ascii="Calibri" w:hAnsi="Calibri"/>
                <w:color w:val="1F2937"/>
                <w:sz w:val="18"/>
              </w:rPr>
              <w:t>Security unit tests and migration review pass.</w:t>
            </w:r>
          </w:p>
        </w:tc>
        <w:tc>
          <w:tcPr>
            <w:tcW w:type="dxa" w:w="1650"/>
            <w:shd w:fill="F8FAFC"/>
            <w:tcMar>
              <w:top w:w="80" w:type="dxa"/>
              <w:start w:w="120" w:type="dxa"/>
              <w:bottom w:w="80" w:type="dxa"/>
              <w:end w:w="120" w:type="dxa"/>
            </w:tcMar>
            <w:vAlign w:val="center"/>
          </w:tcPr>
          <w:p>
            <w:r>
              <w:rPr>
                <w:rFonts w:ascii="Calibri" w:hAnsi="Calibri"/>
                <w:color w:val="1F2937"/>
                <w:sz w:val="18"/>
              </w:rPr>
              <w:t>1–2 weeks</w:t>
            </w:r>
          </w:p>
        </w:tc>
      </w:tr>
      <w:tr>
        <w:tc>
          <w:tcPr>
            <w:tcW w:type="dxa" w:w="1150"/>
            <w:tcMar>
              <w:top w:w="80" w:type="dxa"/>
              <w:start w:w="120" w:type="dxa"/>
              <w:bottom w:w="80" w:type="dxa"/>
              <w:end w:w="120" w:type="dxa"/>
            </w:tcMar>
            <w:vAlign w:val="center"/>
          </w:tcPr>
          <w:p>
            <w:r>
              <w:rPr>
                <w:rFonts w:ascii="Calibri" w:hAnsi="Calibri"/>
                <w:color w:val="1F2937"/>
                <w:sz w:val="18"/>
              </w:rPr>
              <w:t>2. OAuth</w:t>
            </w:r>
          </w:p>
        </w:tc>
        <w:tc>
          <w:tcPr>
            <w:tcW w:type="dxa" w:w="3350"/>
            <w:tcMar>
              <w:top w:w="80" w:type="dxa"/>
              <w:start w:w="120" w:type="dxa"/>
              <w:bottom w:w="80" w:type="dxa"/>
              <w:end w:w="120" w:type="dxa"/>
            </w:tcMar>
            <w:vAlign w:val="center"/>
          </w:tcPr>
          <w:p>
            <w:r>
              <w:rPr>
                <w:rFonts w:ascii="Calibri" w:hAnsi="Calibri"/>
                <w:color w:val="1F2937"/>
                <w:sz w:val="18"/>
              </w:rPr>
              <w:t>Connect, callback, refresh, reconnect, disconnect, CompanyInfo, status API.</w:t>
            </w:r>
          </w:p>
        </w:tc>
        <w:tc>
          <w:tcPr>
            <w:tcW w:type="dxa" w:w="3210"/>
            <w:tcMar>
              <w:top w:w="80" w:type="dxa"/>
              <w:start w:w="120" w:type="dxa"/>
              <w:bottom w:w="80" w:type="dxa"/>
              <w:end w:w="120" w:type="dxa"/>
            </w:tcMar>
            <w:vAlign w:val="center"/>
          </w:tcPr>
          <w:p>
            <w:r>
              <w:rPr>
                <w:rFonts w:ascii="Calibri" w:hAnsi="Calibri"/>
                <w:color w:val="1F2937"/>
                <w:sz w:val="18"/>
              </w:rPr>
              <w:t>Sandbox lifecycle works; refresh races are safe.</w:t>
            </w:r>
          </w:p>
        </w:tc>
        <w:tc>
          <w:tcPr>
            <w:tcW w:type="dxa" w:w="1650"/>
            <w:tcMar>
              <w:top w:w="80" w:type="dxa"/>
              <w:start w:w="120" w:type="dxa"/>
              <w:bottom w:w="80" w:type="dxa"/>
              <w:end w:w="120" w:type="dxa"/>
            </w:tcMar>
            <w:vAlign w:val="center"/>
          </w:tcPr>
          <w:p>
            <w:r>
              <w:rPr>
                <w:rFonts w:ascii="Calibri" w:hAnsi="Calibri"/>
                <w:color w:val="1F2937"/>
                <w:sz w:val="18"/>
              </w:rPr>
              <w:t>1–2 weeks</w:t>
            </w:r>
          </w:p>
        </w:tc>
      </w:tr>
      <w:tr>
        <w:tc>
          <w:tcPr>
            <w:tcW w:type="dxa" w:w="1150"/>
            <w:shd w:fill="F8FAFC"/>
            <w:tcMar>
              <w:top w:w="80" w:type="dxa"/>
              <w:start w:w="120" w:type="dxa"/>
              <w:bottom w:w="80" w:type="dxa"/>
              <w:end w:w="120" w:type="dxa"/>
            </w:tcMar>
            <w:vAlign w:val="center"/>
          </w:tcPr>
          <w:p>
            <w:r>
              <w:rPr>
                <w:rFonts w:ascii="Calibri" w:hAnsi="Calibri"/>
                <w:color w:val="1F2937"/>
                <w:sz w:val="18"/>
              </w:rPr>
              <w:t>3. Worker/import</w:t>
            </w:r>
          </w:p>
        </w:tc>
        <w:tc>
          <w:tcPr>
            <w:tcW w:type="dxa" w:w="3350"/>
            <w:shd w:fill="F8FAFC"/>
            <w:tcMar>
              <w:top w:w="80" w:type="dxa"/>
              <w:start w:w="120" w:type="dxa"/>
              <w:bottom w:w="80" w:type="dxa"/>
              <w:end w:w="120" w:type="dxa"/>
            </w:tcMar>
            <w:vAlign w:val="center"/>
          </w:tcPr>
          <w:p>
            <w:r>
              <w:rPr>
                <w:rFonts w:ascii="Calibri" w:hAnsi="Calibri"/>
                <w:color w:val="1F2937"/>
                <w:sz w:val="18"/>
              </w:rPr>
              <w:t>Database queue, checkpoints, accounts, customers, vendors, progress and retry.</w:t>
            </w:r>
          </w:p>
        </w:tc>
        <w:tc>
          <w:tcPr>
            <w:tcW w:type="dxa" w:w="3210"/>
            <w:shd w:fill="F8FAFC"/>
            <w:tcMar>
              <w:top w:w="80" w:type="dxa"/>
              <w:start w:w="120" w:type="dxa"/>
              <w:bottom w:w="80" w:type="dxa"/>
              <w:end w:w="120" w:type="dxa"/>
            </w:tcMar>
            <w:vAlign w:val="center"/>
          </w:tcPr>
          <w:p>
            <w:r>
              <w:rPr>
                <w:rFonts w:ascii="Calibri" w:hAnsi="Calibri"/>
                <w:color w:val="1F2937"/>
                <w:sz w:val="18"/>
              </w:rPr>
              <w:t>Interrupted import resumes without duplicates.</w:t>
            </w:r>
          </w:p>
        </w:tc>
        <w:tc>
          <w:tcPr>
            <w:tcW w:type="dxa" w:w="1650"/>
            <w:shd w:fill="F8FAFC"/>
            <w:tcMar>
              <w:top w:w="80" w:type="dxa"/>
              <w:start w:w="120" w:type="dxa"/>
              <w:bottom w:w="80" w:type="dxa"/>
              <w:end w:w="120" w:type="dxa"/>
            </w:tcMar>
            <w:vAlign w:val="center"/>
          </w:tcPr>
          <w:p>
            <w:r>
              <w:rPr>
                <w:rFonts w:ascii="Calibri" w:hAnsi="Calibri"/>
                <w:color w:val="1F2937"/>
                <w:sz w:val="18"/>
              </w:rPr>
              <w:t>2–3 weeks</w:t>
            </w:r>
          </w:p>
        </w:tc>
      </w:tr>
      <w:tr>
        <w:tc>
          <w:tcPr>
            <w:tcW w:type="dxa" w:w="1150"/>
            <w:tcMar>
              <w:top w:w="80" w:type="dxa"/>
              <w:start w:w="120" w:type="dxa"/>
              <w:bottom w:w="80" w:type="dxa"/>
              <w:end w:w="120" w:type="dxa"/>
            </w:tcMar>
            <w:vAlign w:val="center"/>
          </w:tcPr>
          <w:p>
            <w:r>
              <w:rPr>
                <w:rFonts w:ascii="Calibri" w:hAnsi="Calibri"/>
                <w:color w:val="1F2937"/>
                <w:sz w:val="18"/>
              </w:rPr>
              <w:t>4. Transactions</w:t>
            </w:r>
          </w:p>
        </w:tc>
        <w:tc>
          <w:tcPr>
            <w:tcW w:type="dxa" w:w="3350"/>
            <w:tcMar>
              <w:top w:w="80" w:type="dxa"/>
              <w:start w:w="120" w:type="dxa"/>
              <w:bottom w:w="80" w:type="dxa"/>
              <w:end w:w="120" w:type="dxa"/>
            </w:tcMar>
            <w:vAlign w:val="center"/>
          </w:tcPr>
          <w:p>
            <w:r>
              <w:rPr>
                <w:rFonts w:ascii="Calibri" w:hAnsi="Calibri"/>
                <w:color w:val="1F2937"/>
                <w:sz w:val="18"/>
              </w:rPr>
              <w:t>Purchases, expenses, deposits, transfers, sales transactions and projection.</w:t>
            </w:r>
          </w:p>
        </w:tc>
        <w:tc>
          <w:tcPr>
            <w:tcW w:type="dxa" w:w="3210"/>
            <w:tcMar>
              <w:top w:w="80" w:type="dxa"/>
              <w:start w:w="120" w:type="dxa"/>
              <w:bottom w:w="80" w:type="dxa"/>
              <w:end w:w="120" w:type="dxa"/>
            </w:tcMar>
            <w:vAlign w:val="center"/>
          </w:tcPr>
          <w:p>
            <w:r>
              <w:rPr>
                <w:rFonts w:ascii="Calibri" w:hAnsi="Calibri"/>
                <w:color w:val="1F2937"/>
                <w:sz w:val="18"/>
              </w:rPr>
              <w:t>Sample counts/totals reconcile for configured period.</w:t>
            </w:r>
          </w:p>
        </w:tc>
        <w:tc>
          <w:tcPr>
            <w:tcW w:type="dxa" w:w="1650"/>
            <w:tcMar>
              <w:top w:w="80" w:type="dxa"/>
              <w:start w:w="120" w:type="dxa"/>
              <w:bottom w:w="80" w:type="dxa"/>
              <w:end w:w="120" w:type="dxa"/>
            </w:tcMar>
            <w:vAlign w:val="center"/>
          </w:tcPr>
          <w:p>
            <w:r>
              <w:rPr>
                <w:rFonts w:ascii="Calibri" w:hAnsi="Calibri"/>
                <w:color w:val="1F2937"/>
                <w:sz w:val="18"/>
              </w:rPr>
              <w:t>2–3 weeks</w:t>
            </w:r>
          </w:p>
        </w:tc>
      </w:tr>
      <w:tr>
        <w:tc>
          <w:tcPr>
            <w:tcW w:type="dxa" w:w="1150"/>
            <w:shd w:fill="F8FAFC"/>
            <w:tcMar>
              <w:top w:w="80" w:type="dxa"/>
              <w:start w:w="120" w:type="dxa"/>
              <w:bottom w:w="80" w:type="dxa"/>
              <w:end w:w="120" w:type="dxa"/>
            </w:tcMar>
            <w:vAlign w:val="center"/>
          </w:tcPr>
          <w:p>
            <w:r>
              <w:rPr>
                <w:rFonts w:ascii="Calibri" w:hAnsi="Calibri"/>
                <w:color w:val="1F2937"/>
                <w:sz w:val="18"/>
              </w:rPr>
              <w:t>5. Reports/UI</w:t>
            </w:r>
          </w:p>
        </w:tc>
        <w:tc>
          <w:tcPr>
            <w:tcW w:type="dxa" w:w="3350"/>
            <w:shd w:fill="F8FAFC"/>
            <w:tcMar>
              <w:top w:w="80" w:type="dxa"/>
              <w:start w:w="120" w:type="dxa"/>
              <w:bottom w:w="80" w:type="dxa"/>
              <w:end w:w="120" w:type="dxa"/>
            </w:tcMar>
            <w:vAlign w:val="center"/>
          </w:tcPr>
          <w:p>
            <w:r>
              <w:rPr>
                <w:rFonts w:ascii="Calibri" w:hAnsi="Calibri"/>
                <w:color w:val="1F2937"/>
                <w:sz w:val="18"/>
              </w:rPr>
              <w:t>P&amp;L, Balance Sheet, settings UI, progress, errors, retry, disconnect.</w:t>
            </w:r>
          </w:p>
        </w:tc>
        <w:tc>
          <w:tcPr>
            <w:tcW w:type="dxa" w:w="3210"/>
            <w:shd w:fill="F8FAFC"/>
            <w:tcMar>
              <w:top w:w="80" w:type="dxa"/>
              <w:start w:w="120" w:type="dxa"/>
              <w:bottom w:w="80" w:type="dxa"/>
              <w:end w:w="120" w:type="dxa"/>
            </w:tcMar>
            <w:vAlign w:val="center"/>
          </w:tcPr>
          <w:p>
            <w:r>
              <w:rPr>
                <w:rFonts w:ascii="Calibri" w:hAnsi="Calibri"/>
                <w:color w:val="1F2937"/>
                <w:sz w:val="18"/>
              </w:rPr>
              <w:t>Cash/accrual snapshots reconcile in sandbox.</w:t>
            </w:r>
          </w:p>
        </w:tc>
        <w:tc>
          <w:tcPr>
            <w:tcW w:type="dxa" w:w="1650"/>
            <w:shd w:fill="F8FAFC"/>
            <w:tcMar>
              <w:top w:w="80" w:type="dxa"/>
              <w:start w:w="120" w:type="dxa"/>
              <w:bottom w:w="80" w:type="dxa"/>
              <w:end w:w="120" w:type="dxa"/>
            </w:tcMar>
            <w:vAlign w:val="center"/>
          </w:tcPr>
          <w:p>
            <w:r>
              <w:rPr>
                <w:rFonts w:ascii="Calibri" w:hAnsi="Calibri"/>
                <w:color w:val="1F2937"/>
                <w:sz w:val="18"/>
              </w:rPr>
              <w:t>2 weeks</w:t>
            </w:r>
          </w:p>
        </w:tc>
      </w:tr>
      <w:tr>
        <w:tc>
          <w:tcPr>
            <w:tcW w:type="dxa" w:w="1150"/>
            <w:tcMar>
              <w:top w:w="80" w:type="dxa"/>
              <w:start w:w="120" w:type="dxa"/>
              <w:bottom w:w="80" w:type="dxa"/>
              <w:end w:w="120" w:type="dxa"/>
            </w:tcMar>
            <w:vAlign w:val="center"/>
          </w:tcPr>
          <w:p>
            <w:r>
              <w:rPr>
                <w:rFonts w:ascii="Calibri" w:hAnsi="Calibri"/>
                <w:color w:val="1F2937"/>
                <w:sz w:val="18"/>
              </w:rPr>
              <w:t>6. Webhooks/CDC</w:t>
            </w:r>
          </w:p>
        </w:tc>
        <w:tc>
          <w:tcPr>
            <w:tcW w:type="dxa" w:w="3350"/>
            <w:tcMar>
              <w:top w:w="80" w:type="dxa"/>
              <w:start w:w="120" w:type="dxa"/>
              <w:bottom w:w="80" w:type="dxa"/>
              <w:end w:w="120" w:type="dxa"/>
            </w:tcMar>
            <w:vAlign w:val="center"/>
          </w:tcPr>
          <w:p>
            <w:r>
              <w:rPr>
                <w:rFonts w:ascii="Calibri" w:hAnsi="Calibri"/>
                <w:color w:val="1F2937"/>
                <w:sz w:val="18"/>
              </w:rPr>
              <w:t>Signature verification, event queue, CDC overlap, health checks, schedules.</w:t>
            </w:r>
          </w:p>
        </w:tc>
        <w:tc>
          <w:tcPr>
            <w:tcW w:type="dxa" w:w="3210"/>
            <w:tcMar>
              <w:top w:w="80" w:type="dxa"/>
              <w:start w:w="120" w:type="dxa"/>
              <w:bottom w:w="80" w:type="dxa"/>
              <w:end w:w="120" w:type="dxa"/>
            </w:tcMar>
            <w:vAlign w:val="center"/>
          </w:tcPr>
          <w:p>
            <w:r>
              <w:rPr>
                <w:rFonts w:ascii="Calibri" w:hAnsi="Calibri"/>
                <w:color w:val="1F2937"/>
                <w:sz w:val="18"/>
              </w:rPr>
              <w:t>Duplicates, missed and out-of-order events are safe.</w:t>
            </w:r>
          </w:p>
        </w:tc>
        <w:tc>
          <w:tcPr>
            <w:tcW w:type="dxa" w:w="1650"/>
            <w:tcMar>
              <w:top w:w="80" w:type="dxa"/>
              <w:start w:w="120" w:type="dxa"/>
              <w:bottom w:w="80" w:type="dxa"/>
              <w:end w:w="120" w:type="dxa"/>
            </w:tcMar>
            <w:vAlign w:val="center"/>
          </w:tcPr>
          <w:p>
            <w:r>
              <w:rPr>
                <w:rFonts w:ascii="Calibri" w:hAnsi="Calibri"/>
                <w:color w:val="1F2937"/>
                <w:sz w:val="18"/>
              </w:rPr>
              <w:t>2–3 weeks</w:t>
            </w:r>
          </w:p>
        </w:tc>
      </w:tr>
      <w:tr>
        <w:tc>
          <w:tcPr>
            <w:tcW w:type="dxa" w:w="1150"/>
            <w:shd w:fill="F8FAFC"/>
            <w:tcMar>
              <w:top w:w="80" w:type="dxa"/>
              <w:start w:w="120" w:type="dxa"/>
              <w:bottom w:w="80" w:type="dxa"/>
              <w:end w:w="120" w:type="dxa"/>
            </w:tcMar>
            <w:vAlign w:val="center"/>
          </w:tcPr>
          <w:p>
            <w:r>
              <w:rPr>
                <w:rFonts w:ascii="Calibri" w:hAnsi="Calibri"/>
                <w:color w:val="1F2937"/>
                <w:sz w:val="18"/>
              </w:rPr>
              <w:t>7. Hardening</w:t>
            </w:r>
          </w:p>
        </w:tc>
        <w:tc>
          <w:tcPr>
            <w:tcW w:type="dxa" w:w="3350"/>
            <w:shd w:fill="F8FAFC"/>
            <w:tcMar>
              <w:top w:w="80" w:type="dxa"/>
              <w:start w:w="120" w:type="dxa"/>
              <w:bottom w:w="80" w:type="dxa"/>
              <w:end w:w="120" w:type="dxa"/>
            </w:tcMar>
            <w:vAlign w:val="center"/>
          </w:tcPr>
          <w:p>
            <w:r>
              <w:rPr>
                <w:rFonts w:ascii="Calibri" w:hAnsi="Calibri"/>
                <w:color w:val="1F2937"/>
                <w:sz w:val="18"/>
              </w:rPr>
              <w:t>Load/failure testing, alerts, runbooks, pilot and production review.</w:t>
            </w:r>
          </w:p>
        </w:tc>
        <w:tc>
          <w:tcPr>
            <w:tcW w:type="dxa" w:w="3210"/>
            <w:shd w:fill="F8FAFC"/>
            <w:tcMar>
              <w:top w:w="80" w:type="dxa"/>
              <w:start w:w="120" w:type="dxa"/>
              <w:bottom w:w="80" w:type="dxa"/>
              <w:end w:w="120" w:type="dxa"/>
            </w:tcMar>
            <w:vAlign w:val="center"/>
          </w:tcPr>
          <w:p>
            <w:r>
              <w:rPr>
                <w:rFonts w:ascii="Calibri" w:hAnsi="Calibri"/>
                <w:color w:val="1F2937"/>
                <w:sz w:val="18"/>
              </w:rPr>
              <w:t>Two pilot companies reconcile and support approves rollout.</w:t>
            </w:r>
          </w:p>
        </w:tc>
        <w:tc>
          <w:tcPr>
            <w:tcW w:type="dxa" w:w="1650"/>
            <w:shd w:fill="F8FAFC"/>
            <w:tcMar>
              <w:top w:w="80" w:type="dxa"/>
              <w:start w:w="120" w:type="dxa"/>
              <w:bottom w:w="80" w:type="dxa"/>
              <w:end w:w="120" w:type="dxa"/>
            </w:tcMar>
            <w:vAlign w:val="center"/>
          </w:tcPr>
          <w:p>
            <w:r>
              <w:rPr>
                <w:rFonts w:ascii="Calibri" w:hAnsi="Calibri"/>
                <w:color w:val="1F2937"/>
                <w:sz w:val="18"/>
              </w:rPr>
              <w:t>2 weeks</w:t>
            </w:r>
          </w:p>
        </w:tc>
      </w:tr>
    </w:tbl>
    <w:p>
      <w:pPr>
        <w:spacing w:after="40"/>
      </w:pPr>
    </w:p>
    <w:p>
      <w:r>
        <w:t>Expected elapsed time: approximately 12–16 weeks for a small focused team, assuming Intuit app access, a representative sandbox company, and timely product decisions. A narrower connect-and-reference-data prototype can be demonstrated in roughly 3–5 weeks, but it should not be called production-ready.</w:t>
      </w:r>
    </w:p>
    <w:p>
      <w:pPr>
        <w:pStyle w:val="Heading1"/>
      </w:pPr>
      <w:r>
        <w:t>8. Team and effort estimate</w:t>
      </w:r>
    </w:p>
    <w:tbl>
      <w:tblPr>
        <w:tblStyle w:val="TableGrid"/>
        <w:tblW w:type="dxa" w:w="9360"/>
        <w:jc w:val="left"/>
        <w:tblLayout w:type="fixed"/>
        <w:tblLook w:firstColumn="1" w:firstRow="1" w:lastColumn="0" w:lastRow="0" w:noHBand="0" w:noVBand="1" w:val="04A0"/>
        <w:tblInd w:w="120" w:type="dxa"/>
      </w:tblPr>
      <w:tblGrid>
        <w:gridCol w:w="2250"/>
        <w:gridCol w:w="2600"/>
        <w:gridCol w:w="4510"/>
      </w:tblGrid>
      <w:tr>
        <w:trPr>
          <w:tblHeader w:val="true"/>
        </w:trPr>
        <w:tc>
          <w:tcPr>
            <w:tcW w:type="dxa" w:w="2250"/>
            <w:shd w:fill="17365D"/>
            <w:tcMar>
              <w:top w:w="80" w:type="dxa"/>
              <w:start w:w="120" w:type="dxa"/>
              <w:bottom w:w="80" w:type="dxa"/>
              <w:end w:w="120" w:type="dxa"/>
            </w:tcMar>
            <w:vAlign w:val="center"/>
          </w:tcPr>
          <w:p>
            <w:r>
              <w:rPr>
                <w:rFonts w:ascii="Calibri" w:hAnsi="Calibri"/>
                <w:b/>
                <w:color w:val="FFFFFF"/>
                <w:sz w:val="18"/>
              </w:rPr>
              <w:t>Role</w:t>
            </w:r>
          </w:p>
        </w:tc>
        <w:tc>
          <w:tcPr>
            <w:tcW w:type="dxa" w:w="2600"/>
            <w:shd w:fill="17365D"/>
            <w:tcMar>
              <w:top w:w="80" w:type="dxa"/>
              <w:start w:w="120" w:type="dxa"/>
              <w:bottom w:w="80" w:type="dxa"/>
              <w:end w:w="120" w:type="dxa"/>
            </w:tcMar>
            <w:vAlign w:val="center"/>
          </w:tcPr>
          <w:p>
            <w:r>
              <w:rPr>
                <w:rFonts w:ascii="Calibri" w:hAnsi="Calibri"/>
                <w:b/>
                <w:color w:val="FFFFFF"/>
                <w:sz w:val="18"/>
              </w:rPr>
              <w:t>Expected involvement</w:t>
            </w:r>
          </w:p>
        </w:tc>
        <w:tc>
          <w:tcPr>
            <w:tcW w:type="dxa" w:w="4510"/>
            <w:shd w:fill="17365D"/>
            <w:tcMar>
              <w:top w:w="80" w:type="dxa"/>
              <w:start w:w="120" w:type="dxa"/>
              <w:bottom w:w="80" w:type="dxa"/>
              <w:end w:w="120" w:type="dxa"/>
            </w:tcMar>
            <w:vAlign w:val="center"/>
          </w:tcPr>
          <w:p>
            <w:r>
              <w:rPr>
                <w:rFonts w:ascii="Calibri" w:hAnsi="Calibri"/>
                <w:b/>
                <w:color w:val="FFFFFF"/>
                <w:sz w:val="18"/>
              </w:rPr>
              <w:t>Primary responsibility</w:t>
            </w:r>
          </w:p>
        </w:tc>
      </w:tr>
      <w:tr>
        <w:tc>
          <w:tcPr>
            <w:tcW w:type="dxa" w:w="2250"/>
            <w:tcMar>
              <w:top w:w="80" w:type="dxa"/>
              <w:start w:w="120" w:type="dxa"/>
              <w:bottom w:w="80" w:type="dxa"/>
              <w:end w:w="120" w:type="dxa"/>
            </w:tcMar>
            <w:vAlign w:val="center"/>
          </w:tcPr>
          <w:p>
            <w:r>
              <w:rPr>
                <w:rFonts w:ascii="Calibri" w:hAnsi="Calibri"/>
                <w:color w:val="1F2937"/>
                <w:sz w:val="18"/>
              </w:rPr>
              <w:t>Senior backend engineer</w:t>
            </w:r>
          </w:p>
        </w:tc>
        <w:tc>
          <w:tcPr>
            <w:tcW w:type="dxa" w:w="2600"/>
            <w:tcMar>
              <w:top w:w="80" w:type="dxa"/>
              <w:start w:w="120" w:type="dxa"/>
              <w:bottom w:w="80" w:type="dxa"/>
              <w:end w:w="120" w:type="dxa"/>
            </w:tcMar>
            <w:vAlign w:val="center"/>
          </w:tcPr>
          <w:p>
            <w:r>
              <w:rPr>
                <w:rFonts w:ascii="Calibri" w:hAnsi="Calibri"/>
                <w:color w:val="1F2937"/>
                <w:sz w:val="18"/>
              </w:rPr>
              <w:t>Full-time</w:t>
            </w:r>
          </w:p>
        </w:tc>
        <w:tc>
          <w:tcPr>
            <w:tcW w:type="dxa" w:w="4510"/>
            <w:tcMar>
              <w:top w:w="80" w:type="dxa"/>
              <w:start w:w="120" w:type="dxa"/>
              <w:bottom w:w="80" w:type="dxa"/>
              <w:end w:w="120" w:type="dxa"/>
            </w:tcMar>
            <w:vAlign w:val="center"/>
          </w:tcPr>
          <w:p>
            <w:r>
              <w:rPr>
                <w:rFonts w:ascii="Calibri" w:hAnsi="Calibri"/>
                <w:color w:val="1F2937"/>
                <w:sz w:val="18"/>
              </w:rPr>
              <w:t>OAuth, token safety, API client, worker, imports, CDC, reconciliation</w:t>
            </w:r>
          </w:p>
        </w:tc>
      </w:tr>
      <w:tr>
        <w:tc>
          <w:tcPr>
            <w:tcW w:type="dxa" w:w="2250"/>
            <w:shd w:fill="F8FAFC"/>
            <w:tcMar>
              <w:top w:w="80" w:type="dxa"/>
              <w:start w:w="120" w:type="dxa"/>
              <w:bottom w:w="80" w:type="dxa"/>
              <w:end w:w="120" w:type="dxa"/>
            </w:tcMar>
            <w:vAlign w:val="center"/>
          </w:tcPr>
          <w:p>
            <w:r>
              <w:rPr>
                <w:rFonts w:ascii="Calibri" w:hAnsi="Calibri"/>
                <w:color w:val="1F2937"/>
                <w:sz w:val="18"/>
              </w:rPr>
              <w:t>Backend/data engineer</w:t>
            </w:r>
          </w:p>
        </w:tc>
        <w:tc>
          <w:tcPr>
            <w:tcW w:type="dxa" w:w="2600"/>
            <w:shd w:fill="F8FAFC"/>
            <w:tcMar>
              <w:top w:w="80" w:type="dxa"/>
              <w:start w:w="120" w:type="dxa"/>
              <w:bottom w:w="80" w:type="dxa"/>
              <w:end w:w="120" w:type="dxa"/>
            </w:tcMar>
            <w:vAlign w:val="center"/>
          </w:tcPr>
          <w:p>
            <w:r>
              <w:rPr>
                <w:rFonts w:ascii="Calibri" w:hAnsi="Calibri"/>
                <w:color w:val="1F2937"/>
                <w:sz w:val="18"/>
              </w:rPr>
              <w:t>Full-time for core phases</w:t>
            </w:r>
          </w:p>
        </w:tc>
        <w:tc>
          <w:tcPr>
            <w:tcW w:type="dxa" w:w="4510"/>
            <w:shd w:fill="F8FAFC"/>
            <w:tcMar>
              <w:top w:w="80" w:type="dxa"/>
              <w:start w:w="120" w:type="dxa"/>
              <w:bottom w:w="80" w:type="dxa"/>
              <w:end w:w="120" w:type="dxa"/>
            </w:tcMar>
            <w:vAlign w:val="center"/>
          </w:tcPr>
          <w:p>
            <w:r>
              <w:rPr>
                <w:rFonts w:ascii="Calibri" w:hAnsi="Calibri"/>
                <w:color w:val="1F2937"/>
                <w:sz w:val="18"/>
              </w:rPr>
              <w:t>Schema, normalization, projections, reports, performance, migrations</w:t>
            </w:r>
          </w:p>
        </w:tc>
      </w:tr>
      <w:tr>
        <w:tc>
          <w:tcPr>
            <w:tcW w:type="dxa" w:w="2250"/>
            <w:tcMar>
              <w:top w:w="80" w:type="dxa"/>
              <w:start w:w="120" w:type="dxa"/>
              <w:bottom w:w="80" w:type="dxa"/>
              <w:end w:w="120" w:type="dxa"/>
            </w:tcMar>
            <w:vAlign w:val="center"/>
          </w:tcPr>
          <w:p>
            <w:r>
              <w:rPr>
                <w:rFonts w:ascii="Calibri" w:hAnsi="Calibri"/>
                <w:color w:val="1F2937"/>
                <w:sz w:val="18"/>
              </w:rPr>
              <w:t>Frontend engineer</w:t>
            </w:r>
          </w:p>
        </w:tc>
        <w:tc>
          <w:tcPr>
            <w:tcW w:type="dxa" w:w="2600"/>
            <w:tcMar>
              <w:top w:w="80" w:type="dxa"/>
              <w:start w:w="120" w:type="dxa"/>
              <w:bottom w:w="80" w:type="dxa"/>
              <w:end w:w="120" w:type="dxa"/>
            </w:tcMar>
            <w:vAlign w:val="center"/>
          </w:tcPr>
          <w:p>
            <w:r>
              <w:rPr>
                <w:rFonts w:ascii="Calibri" w:hAnsi="Calibri"/>
                <w:color w:val="1F2937"/>
                <w:sz w:val="18"/>
              </w:rPr>
              <w:t>Part-time then full-time for UI phase</w:t>
            </w:r>
          </w:p>
        </w:tc>
        <w:tc>
          <w:tcPr>
            <w:tcW w:type="dxa" w:w="4510"/>
            <w:tcMar>
              <w:top w:w="80" w:type="dxa"/>
              <w:start w:w="120" w:type="dxa"/>
              <w:bottom w:w="80" w:type="dxa"/>
              <w:end w:w="120" w:type="dxa"/>
            </w:tcMar>
            <w:vAlign w:val="center"/>
          </w:tcPr>
          <w:p>
            <w:r>
              <w:rPr>
                <w:rFonts w:ascii="Calibri" w:hAnsi="Calibri"/>
                <w:color w:val="1F2937"/>
                <w:sz w:val="18"/>
              </w:rPr>
              <w:t>Connection UX, progress, recovery, report integration</w:t>
            </w:r>
          </w:p>
        </w:tc>
      </w:tr>
      <w:tr>
        <w:tc>
          <w:tcPr>
            <w:tcW w:type="dxa" w:w="2250"/>
            <w:shd w:fill="F8FAFC"/>
            <w:tcMar>
              <w:top w:w="80" w:type="dxa"/>
              <w:start w:w="120" w:type="dxa"/>
              <w:bottom w:w="80" w:type="dxa"/>
              <w:end w:w="120" w:type="dxa"/>
            </w:tcMar>
            <w:vAlign w:val="center"/>
          </w:tcPr>
          <w:p>
            <w:r>
              <w:rPr>
                <w:rFonts w:ascii="Calibri" w:hAnsi="Calibri"/>
                <w:color w:val="1F2937"/>
                <w:sz w:val="18"/>
              </w:rPr>
              <w:t>QA engineer</w:t>
            </w:r>
          </w:p>
        </w:tc>
        <w:tc>
          <w:tcPr>
            <w:tcW w:type="dxa" w:w="2600"/>
            <w:shd w:fill="F8FAFC"/>
            <w:tcMar>
              <w:top w:w="80" w:type="dxa"/>
              <w:start w:w="120" w:type="dxa"/>
              <w:bottom w:w="80" w:type="dxa"/>
              <w:end w:w="120" w:type="dxa"/>
            </w:tcMar>
            <w:vAlign w:val="center"/>
          </w:tcPr>
          <w:p>
            <w:r>
              <w:rPr>
                <w:rFonts w:ascii="Calibri" w:hAnsi="Calibri"/>
                <w:color w:val="1F2937"/>
                <w:sz w:val="18"/>
              </w:rPr>
              <w:t>Part-time from phase 1; heavier for phases 5–7</w:t>
            </w:r>
          </w:p>
        </w:tc>
        <w:tc>
          <w:tcPr>
            <w:tcW w:type="dxa" w:w="4510"/>
            <w:shd w:fill="F8FAFC"/>
            <w:tcMar>
              <w:top w:w="80" w:type="dxa"/>
              <w:start w:w="120" w:type="dxa"/>
              <w:bottom w:w="80" w:type="dxa"/>
              <w:end w:w="120" w:type="dxa"/>
            </w:tcMar>
            <w:vAlign w:val="center"/>
          </w:tcPr>
          <w:p>
            <w:r>
              <w:rPr>
                <w:rFonts w:ascii="Calibri" w:hAnsi="Calibri"/>
                <w:color w:val="1F2937"/>
                <w:sz w:val="18"/>
              </w:rPr>
              <w:t>Sandbox fixtures, failure injection, reconciliation, regression</w:t>
            </w:r>
          </w:p>
        </w:tc>
      </w:tr>
      <w:tr>
        <w:tc>
          <w:tcPr>
            <w:tcW w:type="dxa" w:w="2250"/>
            <w:tcMar>
              <w:top w:w="80" w:type="dxa"/>
              <w:start w:w="120" w:type="dxa"/>
              <w:bottom w:w="80" w:type="dxa"/>
              <w:end w:w="120" w:type="dxa"/>
            </w:tcMar>
            <w:vAlign w:val="center"/>
          </w:tcPr>
          <w:p>
            <w:r>
              <w:rPr>
                <w:rFonts w:ascii="Calibri" w:hAnsi="Calibri"/>
                <w:color w:val="1F2937"/>
                <w:sz w:val="18"/>
              </w:rPr>
              <w:t>DevOps/security</w:t>
            </w:r>
          </w:p>
        </w:tc>
        <w:tc>
          <w:tcPr>
            <w:tcW w:type="dxa" w:w="2600"/>
            <w:tcMar>
              <w:top w:w="80" w:type="dxa"/>
              <w:start w:w="120" w:type="dxa"/>
              <w:bottom w:w="80" w:type="dxa"/>
              <w:end w:w="120" w:type="dxa"/>
            </w:tcMar>
            <w:vAlign w:val="center"/>
          </w:tcPr>
          <w:p>
            <w:r>
              <w:rPr>
                <w:rFonts w:ascii="Calibri" w:hAnsi="Calibri"/>
                <w:color w:val="1F2937"/>
                <w:sz w:val="18"/>
              </w:rPr>
              <w:t>Part-time</w:t>
            </w:r>
          </w:p>
        </w:tc>
        <w:tc>
          <w:tcPr>
            <w:tcW w:type="dxa" w:w="4510"/>
            <w:tcMar>
              <w:top w:w="80" w:type="dxa"/>
              <w:start w:w="120" w:type="dxa"/>
              <w:bottom w:w="80" w:type="dxa"/>
              <w:end w:w="120" w:type="dxa"/>
            </w:tcMar>
            <w:vAlign w:val="center"/>
          </w:tcPr>
          <w:p>
            <w:r>
              <w:rPr>
                <w:rFonts w:ascii="Calibri" w:hAnsi="Calibri"/>
                <w:color w:val="1F2937"/>
                <w:sz w:val="18"/>
              </w:rPr>
              <w:t>Secrets, scheduler/worker deployment, alerting, security review, runbooks</w:t>
            </w:r>
          </w:p>
        </w:tc>
      </w:tr>
      <w:tr>
        <w:tc>
          <w:tcPr>
            <w:tcW w:type="dxa" w:w="2250"/>
            <w:shd w:fill="F8FAFC"/>
            <w:tcMar>
              <w:top w:w="80" w:type="dxa"/>
              <w:start w:w="120" w:type="dxa"/>
              <w:bottom w:w="80" w:type="dxa"/>
              <w:end w:w="120" w:type="dxa"/>
            </w:tcMar>
            <w:vAlign w:val="center"/>
          </w:tcPr>
          <w:p>
            <w:r>
              <w:rPr>
                <w:rFonts w:ascii="Calibri" w:hAnsi="Calibri"/>
                <w:color w:val="1F2937"/>
                <w:sz w:val="18"/>
              </w:rPr>
              <w:t>Product/accounting SME</w:t>
            </w:r>
          </w:p>
        </w:tc>
        <w:tc>
          <w:tcPr>
            <w:tcW w:type="dxa" w:w="2600"/>
            <w:shd w:fill="F8FAFC"/>
            <w:tcMar>
              <w:top w:w="80" w:type="dxa"/>
              <w:start w:w="120" w:type="dxa"/>
              <w:bottom w:w="80" w:type="dxa"/>
              <w:end w:w="120" w:type="dxa"/>
            </w:tcMar>
            <w:vAlign w:val="center"/>
          </w:tcPr>
          <w:p>
            <w:r>
              <w:rPr>
                <w:rFonts w:ascii="Calibri" w:hAnsi="Calibri"/>
                <w:color w:val="1F2937"/>
                <w:sz w:val="18"/>
              </w:rPr>
              <w:t>Regular checkpoints</w:t>
            </w:r>
          </w:p>
        </w:tc>
        <w:tc>
          <w:tcPr>
            <w:tcW w:type="dxa" w:w="4510"/>
            <w:shd w:fill="F8FAFC"/>
            <w:tcMar>
              <w:top w:w="80" w:type="dxa"/>
              <w:start w:w="120" w:type="dxa"/>
              <w:bottom w:w="80" w:type="dxa"/>
              <w:end w:w="120" w:type="dxa"/>
            </w:tcMar>
            <w:vAlign w:val="center"/>
          </w:tcPr>
          <w:p>
            <w:r>
              <w:rPr>
                <w:rFonts w:ascii="Calibri" w:hAnsi="Calibri"/>
                <w:color w:val="1F2937"/>
                <w:sz w:val="18"/>
              </w:rPr>
              <w:t>Entity scope, accounting interpretation, reconciliation acceptance</w:t>
            </w:r>
          </w:p>
        </w:tc>
      </w:tr>
    </w:tbl>
    <w:p>
      <w:pPr>
        <w:spacing w:after="40"/>
      </w:pPr>
    </w:p>
    <w:p>
      <w:r>
        <w:t>Planning range: approximately 20–28 engineering weeks plus QA, product/accounting validation, security review, and rollout support. This is a directional estimate and should be re-baselined after the Phase 0 decisions and a sandbox API spike.</w:t>
      </w:r>
    </w:p>
    <w:p>
      <w:pPr>
        <w:pStyle w:val="Heading1"/>
      </w:pPr>
      <w:r>
        <w:t>9. Security and compliance requirements</w:t>
      </w:r>
    </w:p>
    <w:p>
      <w:pPr>
        <w:pStyle w:val="ListBullet"/>
      </w:pPr>
      <w:r>
        <w:t>Never expose Intuit access tokens, refresh tokens, client secrets, authorization codes, or webhook verifier material to the browser or logs.</w:t>
      </w:r>
    </w:p>
    <w:p>
      <w:pPr>
        <w:pStyle w:val="ListBullet"/>
      </w:pPr>
      <w:r>
        <w:t>Hash OAuth state at rest; enforce cryptographic randomness, short expiry, exact organization/user context, and one-time use.</w:t>
      </w:r>
    </w:p>
    <w:p>
      <w:pPr>
        <w:pStyle w:val="ListBullet"/>
      </w:pPr>
      <w:r>
        <w:t>Encrypt credentials with authenticated encryption and key versioning; define a tested key-rotation procedure.</w:t>
      </w:r>
    </w:p>
    <w:p>
      <w:pPr>
        <w:pStyle w:val="ListBullet"/>
      </w:pPr>
      <w:r>
        <w:t>Enforce organization access for every connection, job, report, retry, reconciliation, and disconnect action.</w:t>
      </w:r>
    </w:p>
    <w:p>
      <w:pPr>
        <w:pStyle w:val="ListBullet"/>
      </w:pPr>
      <w:r>
        <w:t>Verify webhook signatures against the exact raw body, limit payload size, persist an event fingerprint, and acknowledge promptly.</w:t>
      </w:r>
    </w:p>
    <w:p>
      <w:pPr>
        <w:pStyle w:val="ListBullet"/>
      </w:pPr>
      <w:r>
        <w:t>Define raw-payload retention, masking, deletion, backup, and support-access policies before production.</w:t>
      </w:r>
    </w:p>
    <w:p>
      <w:pPr>
        <w:pStyle w:val="ListBullet"/>
      </w:pPr>
      <w:r>
        <w:t>Audit connection lifecycle actions, manual sync/retry, report access, mapping changes, and support interventions.</w:t>
      </w:r>
    </w:p>
    <w:p>
      <w:pPr>
        <w:pStyle w:val="Heading1"/>
      </w:pPr>
      <w:r>
        <w:t>10. Testing and acceptance gates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17365D"/>
            <w:tcMar>
              <w:top w:w="80" w:type="dxa"/>
              <w:start w:w="120" w:type="dxa"/>
              <w:bottom w:w="80" w:type="dxa"/>
              <w:end w:w="120" w:type="dxa"/>
            </w:tcMar>
            <w:vAlign w:val="center"/>
          </w:tcPr>
          <w:p>
            <w:r>
              <w:rPr>
                <w:rFonts w:ascii="Calibri" w:hAnsi="Calibri"/>
                <w:b/>
                <w:color w:val="FFFFFF"/>
                <w:sz w:val="18"/>
              </w:rPr>
              <w:t>Gate</w:t>
            </w:r>
          </w:p>
        </w:tc>
        <w:tc>
          <w:tcPr>
            <w:tcW w:type="dxa" w:w="7110"/>
            <w:shd w:fill="17365D"/>
            <w:tcMar>
              <w:top w:w="80" w:type="dxa"/>
              <w:start w:w="120" w:type="dxa"/>
              <w:bottom w:w="80" w:type="dxa"/>
              <w:end w:w="120" w:type="dxa"/>
            </w:tcMar>
            <w:vAlign w:val="center"/>
          </w:tcPr>
          <w:p>
            <w:r>
              <w:rPr>
                <w:rFonts w:ascii="Calibri" w:hAnsi="Calibri"/>
                <w:b/>
                <w:color w:val="FFFFFF"/>
                <w:sz w:val="18"/>
              </w:rPr>
              <w:t>Required evidence</w:t>
            </w:r>
          </w:p>
        </w:tc>
      </w:tr>
      <w:tr>
        <w:tc>
          <w:tcPr>
            <w:tcW w:type="dxa" w:w="2250"/>
            <w:tcMar>
              <w:top w:w="80" w:type="dxa"/>
              <w:start w:w="120" w:type="dxa"/>
              <w:bottom w:w="80" w:type="dxa"/>
              <w:end w:w="120" w:type="dxa"/>
            </w:tcMar>
            <w:vAlign w:val="center"/>
          </w:tcPr>
          <w:p>
            <w:r>
              <w:rPr>
                <w:rFonts w:ascii="Calibri" w:hAnsi="Calibri"/>
                <w:color w:val="1F2937"/>
                <w:sz w:val="18"/>
              </w:rPr>
              <w:t>OAuth security</w:t>
            </w:r>
          </w:p>
        </w:tc>
        <w:tc>
          <w:tcPr>
            <w:tcW w:type="dxa" w:w="7110"/>
            <w:tcMar>
              <w:top w:w="80" w:type="dxa"/>
              <w:start w:w="120" w:type="dxa"/>
              <w:bottom w:w="80" w:type="dxa"/>
              <w:end w:w="120" w:type="dxa"/>
            </w:tcMar>
            <w:vAlign w:val="center"/>
          </w:tcPr>
          <w:p>
            <w:r>
              <w:rPr>
                <w:rFonts w:ascii="Calibri" w:hAnsi="Calibri"/>
                <w:color w:val="1F2937"/>
                <w:sz w:val="18"/>
              </w:rPr>
              <w:t>Invalid, expired, replayed, and cross-organization states are rejected; redirect URLs are exact.</w:t>
            </w:r>
          </w:p>
        </w:tc>
      </w:tr>
      <w:tr>
        <w:tc>
          <w:tcPr>
            <w:tcW w:type="dxa" w:w="2250"/>
            <w:shd w:fill="F8FAFC"/>
            <w:tcMar>
              <w:top w:w="80" w:type="dxa"/>
              <w:start w:w="120" w:type="dxa"/>
              <w:bottom w:w="80" w:type="dxa"/>
              <w:end w:w="120" w:type="dxa"/>
            </w:tcMar>
            <w:vAlign w:val="center"/>
          </w:tcPr>
          <w:p>
            <w:r>
              <w:rPr>
                <w:rFonts w:ascii="Calibri" w:hAnsi="Calibri"/>
                <w:color w:val="1F2937"/>
                <w:sz w:val="18"/>
              </w:rPr>
              <w:t>Token lifecycle</w:t>
            </w:r>
          </w:p>
        </w:tc>
        <w:tc>
          <w:tcPr>
            <w:tcW w:type="dxa" w:w="7110"/>
            <w:shd w:fill="F8FAFC"/>
            <w:tcMar>
              <w:top w:w="80" w:type="dxa"/>
              <w:start w:w="120" w:type="dxa"/>
              <w:bottom w:w="80" w:type="dxa"/>
              <w:end w:w="120" w:type="dxa"/>
            </w:tcMar>
            <w:vAlign w:val="center"/>
          </w:tcPr>
          <w:p>
            <w:r>
              <w:rPr>
                <w:rFonts w:ascii="Calibri" w:hAnsi="Calibri"/>
                <w:color w:val="1F2937"/>
                <w:sz w:val="18"/>
              </w:rPr>
              <w:t>Access expiry refreshes once; concurrent refreshes cannot overwrite a newer refresh token; revoked tokens require reconnect.</w:t>
            </w:r>
          </w:p>
        </w:tc>
      </w:tr>
      <w:tr>
        <w:tc>
          <w:tcPr>
            <w:tcW w:type="dxa" w:w="2250"/>
            <w:tcMar>
              <w:top w:w="80" w:type="dxa"/>
              <w:start w:w="120" w:type="dxa"/>
              <w:bottom w:w="80" w:type="dxa"/>
              <w:end w:w="120" w:type="dxa"/>
            </w:tcMar>
            <w:vAlign w:val="center"/>
          </w:tcPr>
          <w:p>
            <w:r>
              <w:rPr>
                <w:rFonts w:ascii="Calibri" w:hAnsi="Calibri"/>
                <w:color w:val="1F2937"/>
                <w:sz w:val="18"/>
              </w:rPr>
              <w:t>Import resilience</w:t>
            </w:r>
          </w:p>
        </w:tc>
        <w:tc>
          <w:tcPr>
            <w:tcW w:type="dxa" w:w="7110"/>
            <w:tcMar>
              <w:top w:w="80" w:type="dxa"/>
              <w:start w:w="120" w:type="dxa"/>
              <w:bottom w:w="80" w:type="dxa"/>
              <w:end w:w="120" w:type="dxa"/>
            </w:tcMar>
            <w:vAlign w:val="center"/>
          </w:tcPr>
          <w:p>
            <w:r>
              <w:rPr>
                <w:rFonts w:ascii="Calibri" w:hAnsi="Calibri"/>
                <w:color w:val="1F2937"/>
                <w:sz w:val="18"/>
              </w:rPr>
              <w:t>A worker can stop mid-page or mid-entity and resume from the last committed checkpoint without duplicates.</w:t>
            </w:r>
          </w:p>
        </w:tc>
      </w:tr>
      <w:tr>
        <w:tc>
          <w:tcPr>
            <w:tcW w:type="dxa" w:w="2250"/>
            <w:shd w:fill="F8FAFC"/>
            <w:tcMar>
              <w:top w:w="80" w:type="dxa"/>
              <w:start w:w="120" w:type="dxa"/>
              <w:bottom w:w="80" w:type="dxa"/>
              <w:end w:w="120" w:type="dxa"/>
            </w:tcMar>
            <w:vAlign w:val="center"/>
          </w:tcPr>
          <w:p>
            <w:r>
              <w:rPr>
                <w:rFonts w:ascii="Calibri" w:hAnsi="Calibri"/>
                <w:color w:val="1F2937"/>
                <w:sz w:val="18"/>
              </w:rPr>
              <w:t>Idempotency</w:t>
            </w:r>
          </w:p>
        </w:tc>
        <w:tc>
          <w:tcPr>
            <w:tcW w:type="dxa" w:w="7110"/>
            <w:shd w:fill="F8FAFC"/>
            <w:tcMar>
              <w:top w:w="80" w:type="dxa"/>
              <w:start w:w="120" w:type="dxa"/>
              <w:bottom w:w="80" w:type="dxa"/>
              <w:end w:w="120" w:type="dxa"/>
            </w:tcMar>
            <w:vAlign w:val="center"/>
          </w:tcPr>
          <w:p>
            <w:r>
              <w:rPr>
                <w:rFonts w:ascii="Calibri" w:hAnsi="Calibri"/>
                <w:color w:val="1F2937"/>
                <w:sz w:val="18"/>
              </w:rPr>
              <w:t>Repeated imports, jobs, and webhook events do not create duplicate canonical or projected records.</w:t>
            </w:r>
          </w:p>
        </w:tc>
      </w:tr>
      <w:tr>
        <w:tc>
          <w:tcPr>
            <w:tcW w:type="dxa" w:w="2250"/>
            <w:tcMar>
              <w:top w:w="80" w:type="dxa"/>
              <w:start w:w="120" w:type="dxa"/>
              <w:bottom w:w="80" w:type="dxa"/>
              <w:end w:w="120" w:type="dxa"/>
            </w:tcMar>
            <w:vAlign w:val="center"/>
          </w:tcPr>
          <w:p>
            <w:r>
              <w:rPr>
                <w:rFonts w:ascii="Calibri" w:hAnsi="Calibri"/>
                <w:color w:val="1F2937"/>
                <w:sz w:val="18"/>
              </w:rPr>
              <w:t>Failure handling</w:t>
            </w:r>
          </w:p>
        </w:tc>
        <w:tc>
          <w:tcPr>
            <w:tcW w:type="dxa" w:w="7110"/>
            <w:tcMar>
              <w:top w:w="80" w:type="dxa"/>
              <w:start w:w="120" w:type="dxa"/>
              <w:bottom w:w="80" w:type="dxa"/>
              <w:end w:w="120" w:type="dxa"/>
            </w:tcMar>
            <w:vAlign w:val="center"/>
          </w:tcPr>
          <w:p>
            <w:r>
              <w:rPr>
                <w:rFonts w:ascii="Calibri" w:hAnsi="Calibri"/>
                <w:color w:val="1F2937"/>
                <w:sz w:val="18"/>
              </w:rPr>
              <w:t>401, 429, 5xx, timeout, malformed record, database interruption, and worker restart scenarios behave as designed.</w:t>
            </w:r>
          </w:p>
        </w:tc>
      </w:tr>
      <w:tr>
        <w:tc>
          <w:tcPr>
            <w:tcW w:type="dxa" w:w="2250"/>
            <w:shd w:fill="F8FAFC"/>
            <w:tcMar>
              <w:top w:w="80" w:type="dxa"/>
              <w:start w:w="120" w:type="dxa"/>
              <w:bottom w:w="80" w:type="dxa"/>
              <w:end w:w="120" w:type="dxa"/>
            </w:tcMar>
            <w:vAlign w:val="center"/>
          </w:tcPr>
          <w:p>
            <w:r>
              <w:rPr>
                <w:rFonts w:ascii="Calibri" w:hAnsi="Calibri"/>
                <w:color w:val="1F2937"/>
                <w:sz w:val="18"/>
              </w:rPr>
              <w:t>Reconciliation</w:t>
            </w:r>
          </w:p>
        </w:tc>
        <w:tc>
          <w:tcPr>
            <w:tcW w:type="dxa" w:w="7110"/>
            <w:shd w:fill="F8FAFC"/>
            <w:tcMar>
              <w:top w:w="80" w:type="dxa"/>
              <w:start w:w="120" w:type="dxa"/>
              <w:bottom w:w="80" w:type="dxa"/>
              <w:end w:w="120" w:type="dxa"/>
            </w:tcMar>
            <w:vAlign w:val="center"/>
          </w:tcPr>
          <w:p>
            <w:r>
              <w:rPr>
                <w:rFonts w:ascii="Calibri" w:hAnsi="Calibri"/>
                <w:color w:val="1F2937"/>
                <w:sz w:val="18"/>
              </w:rPr>
              <w:t>Entity counts and agreed financial totals match QuickBooks for identical dates, basis, filters, and company settings.</w:t>
            </w:r>
          </w:p>
        </w:tc>
      </w:tr>
      <w:tr>
        <w:tc>
          <w:tcPr>
            <w:tcW w:type="dxa" w:w="2250"/>
            <w:tcMar>
              <w:top w:w="80" w:type="dxa"/>
              <w:start w:w="120" w:type="dxa"/>
              <w:bottom w:w="80" w:type="dxa"/>
              <w:end w:w="120" w:type="dxa"/>
            </w:tcMar>
            <w:vAlign w:val="center"/>
          </w:tcPr>
          <w:p>
            <w:r>
              <w:rPr>
                <w:rFonts w:ascii="Calibri" w:hAnsi="Calibri"/>
                <w:color w:val="1F2937"/>
                <w:sz w:val="18"/>
              </w:rPr>
              <w:t>Tenant isolation</w:t>
            </w:r>
          </w:p>
        </w:tc>
        <w:tc>
          <w:tcPr>
            <w:tcW w:type="dxa" w:w="7110"/>
            <w:tcMar>
              <w:top w:w="80" w:type="dxa"/>
              <w:start w:w="120" w:type="dxa"/>
              <w:bottom w:w="80" w:type="dxa"/>
              <w:end w:w="120" w:type="dxa"/>
            </w:tcMar>
            <w:vAlign w:val="center"/>
          </w:tcPr>
          <w:p>
            <w:r>
              <w:rPr>
                <w:rFonts w:ascii="Calibri" w:hAnsi="Calibri"/>
                <w:color w:val="1F2937"/>
                <w:sz w:val="18"/>
              </w:rPr>
              <w:t>Users cannot inspect or mutate connections, jobs, reports, or imported data belonging to another organization.</w:t>
            </w:r>
          </w:p>
        </w:tc>
      </w:tr>
      <w:tr>
        <w:tc>
          <w:tcPr>
            <w:tcW w:type="dxa" w:w="2250"/>
            <w:shd w:fill="F8FAFC"/>
            <w:tcMar>
              <w:top w:w="80" w:type="dxa"/>
              <w:start w:w="120" w:type="dxa"/>
              <w:bottom w:w="80" w:type="dxa"/>
              <w:end w:w="120" w:type="dxa"/>
            </w:tcMar>
            <w:vAlign w:val="center"/>
          </w:tcPr>
          <w:p>
            <w:r>
              <w:rPr>
                <w:rFonts w:ascii="Calibri" w:hAnsi="Calibri"/>
                <w:color w:val="1F2937"/>
                <w:sz w:val="18"/>
              </w:rPr>
              <w:t>Operational readiness</w:t>
            </w:r>
          </w:p>
        </w:tc>
        <w:tc>
          <w:tcPr>
            <w:tcW w:type="dxa" w:w="7110"/>
            <w:shd w:fill="F8FAFC"/>
            <w:tcMar>
              <w:top w:w="80" w:type="dxa"/>
              <w:start w:w="120" w:type="dxa"/>
              <w:bottom w:w="80" w:type="dxa"/>
              <w:end w:w="120" w:type="dxa"/>
            </w:tcMar>
            <w:vAlign w:val="center"/>
          </w:tcPr>
          <w:p>
            <w:r>
              <w:rPr>
                <w:rFonts w:ascii="Calibri" w:hAnsi="Calibri"/>
                <w:color w:val="1F2937"/>
                <w:sz w:val="18"/>
              </w:rPr>
              <w:t>Alerts, dashboards, reconnect instructions, job retry procedures, and connection-disable runbook are tested.</w:t>
            </w:r>
          </w:p>
        </w:tc>
      </w:tr>
    </w:tbl>
    <w:p>
      <w:pPr>
        <w:spacing w:after="40"/>
      </w:pPr>
    </w:p>
    <w:p>
      <w:pPr>
        <w:pStyle w:val="Heading1"/>
      </w:pPr>
      <w:r>
        <w:t>11. Principal risks and mitigations</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tblHeader w:val="true"/>
        </w:trPr>
        <w:tc>
          <w:tcPr>
            <w:tcW w:type="dxa" w:w="2500"/>
            <w:shd w:fill="17365D"/>
            <w:tcMar>
              <w:top w:w="80" w:type="dxa"/>
              <w:start w:w="120" w:type="dxa"/>
              <w:bottom w:w="80" w:type="dxa"/>
              <w:end w:w="120" w:type="dxa"/>
            </w:tcMar>
            <w:vAlign w:val="center"/>
          </w:tcPr>
          <w:p>
            <w:r>
              <w:rPr>
                <w:rFonts w:ascii="Calibri" w:hAnsi="Calibri"/>
                <w:b/>
                <w:color w:val="FFFFFF"/>
                <w:sz w:val="18"/>
              </w:rPr>
              <w:t>Risk</w:t>
            </w:r>
          </w:p>
        </w:tc>
        <w:tc>
          <w:tcPr>
            <w:tcW w:type="dxa" w:w="2500"/>
            <w:shd w:fill="17365D"/>
            <w:tcMar>
              <w:top w:w="80" w:type="dxa"/>
              <w:start w:w="120" w:type="dxa"/>
              <w:bottom w:w="80" w:type="dxa"/>
              <w:end w:w="120" w:type="dxa"/>
            </w:tcMar>
            <w:vAlign w:val="center"/>
          </w:tcPr>
          <w:p>
            <w:r>
              <w:rPr>
                <w:rFonts w:ascii="Calibri" w:hAnsi="Calibri"/>
                <w:b/>
                <w:color w:val="FFFFFF"/>
                <w:sz w:val="18"/>
              </w:rPr>
              <w:t>Impact</w:t>
            </w:r>
          </w:p>
        </w:tc>
        <w:tc>
          <w:tcPr>
            <w:tcW w:type="dxa" w:w="4360"/>
            <w:shd w:fill="17365D"/>
            <w:tcMar>
              <w:top w:w="80" w:type="dxa"/>
              <w:start w:w="120" w:type="dxa"/>
              <w:bottom w:w="80" w:type="dxa"/>
              <w:end w:w="120" w:type="dxa"/>
            </w:tcMar>
            <w:vAlign w:val="center"/>
          </w:tcPr>
          <w:p>
            <w:r>
              <w:rPr>
                <w:rFonts w:ascii="Calibri" w:hAnsi="Calibri"/>
                <w:b/>
                <w:color w:val="FFFFFF"/>
                <w:sz w:val="18"/>
              </w:rPr>
              <w:t>Mitigation</w:t>
            </w:r>
          </w:p>
        </w:tc>
      </w:tr>
      <w:tr>
        <w:tc>
          <w:tcPr>
            <w:tcW w:type="dxa" w:w="2500"/>
            <w:tcMar>
              <w:top w:w="80" w:type="dxa"/>
              <w:start w:w="120" w:type="dxa"/>
              <w:bottom w:w="80" w:type="dxa"/>
              <w:end w:w="120" w:type="dxa"/>
            </w:tcMar>
            <w:vAlign w:val="center"/>
          </w:tcPr>
          <w:p>
            <w:r>
              <w:rPr>
                <w:rFonts w:ascii="Calibri" w:hAnsi="Calibri"/>
                <w:color w:val="1F2937"/>
                <w:sz w:val="18"/>
              </w:rPr>
              <w:t>Scope expansion</w:t>
            </w:r>
          </w:p>
        </w:tc>
        <w:tc>
          <w:tcPr>
            <w:tcW w:type="dxa" w:w="2500"/>
            <w:tcMar>
              <w:top w:w="80" w:type="dxa"/>
              <w:start w:w="120" w:type="dxa"/>
              <w:bottom w:w="80" w:type="dxa"/>
              <w:end w:w="120" w:type="dxa"/>
            </w:tcMar>
            <w:vAlign w:val="center"/>
          </w:tcPr>
          <w:p>
            <w:r>
              <w:rPr>
                <w:rFonts w:ascii="Calibri" w:hAnsi="Calibri"/>
                <w:color w:val="1F2937"/>
                <w:sz w:val="18"/>
              </w:rPr>
              <w:t>Schedule and quality degradation</w:t>
            </w:r>
          </w:p>
        </w:tc>
        <w:tc>
          <w:tcPr>
            <w:tcW w:type="dxa" w:w="4360"/>
            <w:tcMar>
              <w:top w:w="80" w:type="dxa"/>
              <w:start w:w="120" w:type="dxa"/>
              <w:bottom w:w="80" w:type="dxa"/>
              <w:end w:w="120" w:type="dxa"/>
            </w:tcMar>
            <w:vAlign w:val="center"/>
          </w:tcPr>
          <w:p>
            <w:r>
              <w:rPr>
                <w:rFonts w:ascii="Calibri" w:hAnsi="Calibri"/>
                <w:color w:val="1F2937"/>
                <w:sz w:val="18"/>
              </w:rPr>
              <w:t>Freeze the first-release entity/report list and treat writes as a separate project.</w:t>
            </w:r>
          </w:p>
        </w:tc>
      </w:tr>
      <w:tr>
        <w:tc>
          <w:tcPr>
            <w:tcW w:type="dxa" w:w="2500"/>
            <w:shd w:fill="F8FAFC"/>
            <w:tcMar>
              <w:top w:w="80" w:type="dxa"/>
              <w:start w:w="120" w:type="dxa"/>
              <w:bottom w:w="80" w:type="dxa"/>
              <w:end w:w="120" w:type="dxa"/>
            </w:tcMar>
            <w:vAlign w:val="center"/>
          </w:tcPr>
          <w:p>
            <w:r>
              <w:rPr>
                <w:rFonts w:ascii="Calibri" w:hAnsi="Calibri"/>
                <w:color w:val="1F2937"/>
                <w:sz w:val="18"/>
              </w:rPr>
              <w:t>Accounting model mismatch</w:t>
            </w:r>
          </w:p>
        </w:tc>
        <w:tc>
          <w:tcPr>
            <w:tcW w:type="dxa" w:w="2500"/>
            <w:shd w:fill="F8FAFC"/>
            <w:tcMar>
              <w:top w:w="80" w:type="dxa"/>
              <w:start w:w="120" w:type="dxa"/>
              <w:bottom w:w="80" w:type="dxa"/>
              <w:end w:w="120" w:type="dxa"/>
            </w:tcMar>
            <w:vAlign w:val="center"/>
          </w:tcPr>
          <w:p>
            <w:r>
              <w:rPr>
                <w:rFonts w:ascii="Calibri" w:hAnsi="Calibri"/>
                <w:color w:val="1F2937"/>
                <w:sz w:val="18"/>
              </w:rPr>
              <w:t>Incorrect BookSmart projections</w:t>
            </w:r>
          </w:p>
        </w:tc>
        <w:tc>
          <w:tcPr>
            <w:tcW w:type="dxa" w:w="4360"/>
            <w:shd w:fill="F8FAFC"/>
            <w:tcMar>
              <w:top w:w="80" w:type="dxa"/>
              <w:start w:w="120" w:type="dxa"/>
              <w:bottom w:w="80" w:type="dxa"/>
              <w:end w:w="120" w:type="dxa"/>
            </w:tcMar>
            <w:vAlign w:val="center"/>
          </w:tcPr>
          <w:p>
            <w:r>
              <w:rPr>
                <w:rFonts w:ascii="Calibri" w:hAnsi="Calibri"/>
                <w:color w:val="1F2937"/>
                <w:sz w:val="18"/>
              </w:rPr>
              <w:t>Preserve canonical source records; project deliberately; validate with an accounting SME.</w:t>
            </w:r>
          </w:p>
        </w:tc>
      </w:tr>
      <w:tr>
        <w:tc>
          <w:tcPr>
            <w:tcW w:type="dxa" w:w="2500"/>
            <w:tcMar>
              <w:top w:w="80" w:type="dxa"/>
              <w:start w:w="120" w:type="dxa"/>
              <w:bottom w:w="80" w:type="dxa"/>
              <w:end w:w="120" w:type="dxa"/>
            </w:tcMar>
            <w:vAlign w:val="center"/>
          </w:tcPr>
          <w:p>
            <w:r>
              <w:rPr>
                <w:rFonts w:ascii="Calibri" w:hAnsi="Calibri"/>
                <w:color w:val="1F2937"/>
                <w:sz w:val="18"/>
              </w:rPr>
              <w:t>Refresh-token race</w:t>
            </w:r>
          </w:p>
        </w:tc>
        <w:tc>
          <w:tcPr>
            <w:tcW w:type="dxa" w:w="2500"/>
            <w:tcMar>
              <w:top w:w="80" w:type="dxa"/>
              <w:start w:w="120" w:type="dxa"/>
              <w:bottom w:w="80" w:type="dxa"/>
              <w:end w:w="120" w:type="dxa"/>
            </w:tcMar>
            <w:vAlign w:val="center"/>
          </w:tcPr>
          <w:p>
            <w:r>
              <w:rPr>
                <w:rFonts w:ascii="Calibri" w:hAnsi="Calibri"/>
                <w:color w:val="1F2937"/>
                <w:sz w:val="18"/>
              </w:rPr>
              <w:t>Connection becomes unusable</w:t>
            </w:r>
          </w:p>
        </w:tc>
        <w:tc>
          <w:tcPr>
            <w:tcW w:type="dxa" w:w="4360"/>
            <w:tcMar>
              <w:top w:w="80" w:type="dxa"/>
              <w:start w:w="120" w:type="dxa"/>
              <w:bottom w:w="80" w:type="dxa"/>
              <w:end w:w="120" w:type="dxa"/>
            </w:tcMar>
            <w:vAlign w:val="center"/>
          </w:tcPr>
          <w:p>
            <w:r>
              <w:rPr>
                <w:rFonts w:ascii="Calibri" w:hAnsi="Calibri"/>
                <w:color w:val="1F2937"/>
                <w:sz w:val="18"/>
              </w:rPr>
              <w:t>Database lock, token version, atomic credential replacement, and concurrency tests.</w:t>
            </w:r>
          </w:p>
        </w:tc>
      </w:tr>
      <w:tr>
        <w:tc>
          <w:tcPr>
            <w:tcW w:type="dxa" w:w="2500"/>
            <w:shd w:fill="F8FAFC"/>
            <w:tcMar>
              <w:top w:w="80" w:type="dxa"/>
              <w:start w:w="120" w:type="dxa"/>
              <w:bottom w:w="80" w:type="dxa"/>
              <w:end w:w="120" w:type="dxa"/>
            </w:tcMar>
            <w:vAlign w:val="center"/>
          </w:tcPr>
          <w:p>
            <w:r>
              <w:rPr>
                <w:rFonts w:ascii="Calibri" w:hAnsi="Calibri"/>
                <w:color w:val="1F2937"/>
                <w:sz w:val="18"/>
              </w:rPr>
              <w:t>Missed/duplicate webhooks</w:t>
            </w:r>
          </w:p>
        </w:tc>
        <w:tc>
          <w:tcPr>
            <w:tcW w:type="dxa" w:w="2500"/>
            <w:shd w:fill="F8FAFC"/>
            <w:tcMar>
              <w:top w:w="80" w:type="dxa"/>
              <w:start w:w="120" w:type="dxa"/>
              <w:bottom w:w="80" w:type="dxa"/>
              <w:end w:w="120" w:type="dxa"/>
            </w:tcMar>
            <w:vAlign w:val="center"/>
          </w:tcPr>
          <w:p>
            <w:r>
              <w:rPr>
                <w:rFonts w:ascii="Calibri" w:hAnsi="Calibri"/>
                <w:color w:val="1F2937"/>
                <w:sz w:val="18"/>
              </w:rPr>
              <w:t>Drift or repeated work</w:t>
            </w:r>
          </w:p>
        </w:tc>
        <w:tc>
          <w:tcPr>
            <w:tcW w:type="dxa" w:w="4360"/>
            <w:shd w:fill="F8FAFC"/>
            <w:tcMar>
              <w:top w:w="80" w:type="dxa"/>
              <w:start w:w="120" w:type="dxa"/>
              <w:bottom w:w="80" w:type="dxa"/>
              <w:end w:w="120" w:type="dxa"/>
            </w:tcMar>
            <w:vAlign w:val="center"/>
          </w:tcPr>
          <w:p>
            <w:r>
              <w:rPr>
                <w:rFonts w:ascii="Calibri" w:hAnsi="Calibri"/>
                <w:color w:val="1F2937"/>
                <w:sz w:val="18"/>
              </w:rPr>
              <w:t>Idempotent handlers, fingerprints, CDC overlap, and weekly reconciliation.</w:t>
            </w:r>
          </w:p>
        </w:tc>
      </w:tr>
      <w:tr>
        <w:tc>
          <w:tcPr>
            <w:tcW w:type="dxa" w:w="2500"/>
            <w:tcMar>
              <w:top w:w="80" w:type="dxa"/>
              <w:start w:w="120" w:type="dxa"/>
              <w:bottom w:w="80" w:type="dxa"/>
              <w:end w:w="120" w:type="dxa"/>
            </w:tcMar>
            <w:vAlign w:val="center"/>
          </w:tcPr>
          <w:p>
            <w:r>
              <w:rPr>
                <w:rFonts w:ascii="Calibri" w:hAnsi="Calibri"/>
                <w:color w:val="1F2937"/>
                <w:sz w:val="18"/>
              </w:rPr>
              <w:t>Large imports/rate limits</w:t>
            </w:r>
          </w:p>
        </w:tc>
        <w:tc>
          <w:tcPr>
            <w:tcW w:type="dxa" w:w="2500"/>
            <w:tcMar>
              <w:top w:w="80" w:type="dxa"/>
              <w:start w:w="120" w:type="dxa"/>
              <w:bottom w:w="80" w:type="dxa"/>
              <w:end w:w="120" w:type="dxa"/>
            </w:tcMar>
            <w:vAlign w:val="center"/>
          </w:tcPr>
          <w:p>
            <w:r>
              <w:rPr>
                <w:rFonts w:ascii="Calibri" w:hAnsi="Calibri"/>
                <w:color w:val="1F2937"/>
                <w:sz w:val="18"/>
              </w:rPr>
              <w:t>Slow or failed onboarding</w:t>
            </w:r>
          </w:p>
        </w:tc>
        <w:tc>
          <w:tcPr>
            <w:tcW w:type="dxa" w:w="4360"/>
            <w:tcMar>
              <w:top w:w="80" w:type="dxa"/>
              <w:start w:w="120" w:type="dxa"/>
              <w:bottom w:w="80" w:type="dxa"/>
              <w:end w:w="120" w:type="dxa"/>
            </w:tcMar>
            <w:vAlign w:val="center"/>
          </w:tcPr>
          <w:p>
            <w:r>
              <w:rPr>
                <w:rFonts w:ascii="Calibri" w:hAnsi="Calibri"/>
                <w:color w:val="1F2937"/>
                <w:sz w:val="18"/>
              </w:rPr>
              <w:t>Import-range choices, checkpoints, per-company throttling, Retry-After, and progress visibility.</w:t>
            </w:r>
          </w:p>
        </w:tc>
      </w:tr>
      <w:tr>
        <w:tc>
          <w:tcPr>
            <w:tcW w:type="dxa" w:w="2500"/>
            <w:shd w:fill="F8FAFC"/>
            <w:tcMar>
              <w:top w:w="80" w:type="dxa"/>
              <w:start w:w="120" w:type="dxa"/>
              <w:bottom w:w="80" w:type="dxa"/>
              <w:end w:w="120" w:type="dxa"/>
            </w:tcMar>
            <w:vAlign w:val="center"/>
          </w:tcPr>
          <w:p>
            <w:r>
              <w:rPr>
                <w:rFonts w:ascii="Calibri" w:hAnsi="Calibri"/>
                <w:color w:val="1F2937"/>
                <w:sz w:val="18"/>
              </w:rPr>
              <w:t>Ambiguous existing matches</w:t>
            </w:r>
          </w:p>
        </w:tc>
        <w:tc>
          <w:tcPr>
            <w:tcW w:type="dxa" w:w="2500"/>
            <w:shd w:fill="F8FAFC"/>
            <w:tcMar>
              <w:top w:w="80" w:type="dxa"/>
              <w:start w:w="120" w:type="dxa"/>
              <w:bottom w:w="80" w:type="dxa"/>
              <w:end w:w="120" w:type="dxa"/>
            </w:tcMar>
            <w:vAlign w:val="center"/>
          </w:tcPr>
          <w:p>
            <w:r>
              <w:rPr>
                <w:rFonts w:ascii="Calibri" w:hAnsi="Calibri"/>
                <w:color w:val="1F2937"/>
                <w:sz w:val="18"/>
              </w:rPr>
              <w:t>Duplicate or incorrectly merged transactions</w:t>
            </w:r>
          </w:p>
        </w:tc>
        <w:tc>
          <w:tcPr>
            <w:tcW w:type="dxa" w:w="4360"/>
            <w:shd w:fill="F8FAFC"/>
            <w:tcMar>
              <w:top w:w="80" w:type="dxa"/>
              <w:start w:w="120" w:type="dxa"/>
              <w:bottom w:w="80" w:type="dxa"/>
              <w:end w:w="120" w:type="dxa"/>
            </w:tcMar>
            <w:vAlign w:val="center"/>
          </w:tcPr>
          <w:p>
            <w:r>
              <w:rPr>
                <w:rFonts w:ascii="Calibri" w:hAnsi="Calibri"/>
                <w:color w:val="1F2937"/>
                <w:sz w:val="18"/>
              </w:rPr>
              <w:t>Canonical-first import; confidence-based review; no destructive automatic merge.</w:t>
            </w:r>
          </w:p>
        </w:tc>
      </w:tr>
      <w:tr>
        <w:tc>
          <w:tcPr>
            <w:tcW w:type="dxa" w:w="2500"/>
            <w:tcMar>
              <w:top w:w="80" w:type="dxa"/>
              <w:start w:w="120" w:type="dxa"/>
              <w:bottom w:w="80" w:type="dxa"/>
              <w:end w:w="120" w:type="dxa"/>
            </w:tcMar>
            <w:vAlign w:val="center"/>
          </w:tcPr>
          <w:p>
            <w:r>
              <w:rPr>
                <w:rFonts w:ascii="Calibri" w:hAnsi="Calibri"/>
                <w:color w:val="1F2937"/>
                <w:sz w:val="18"/>
              </w:rPr>
              <w:t>Insufficient migration baseline</w:t>
            </w:r>
          </w:p>
        </w:tc>
        <w:tc>
          <w:tcPr>
            <w:tcW w:type="dxa" w:w="2500"/>
            <w:tcMar>
              <w:top w:w="80" w:type="dxa"/>
              <w:start w:w="120" w:type="dxa"/>
              <w:bottom w:w="80" w:type="dxa"/>
              <w:end w:w="120" w:type="dxa"/>
            </w:tcMar>
            <w:vAlign w:val="center"/>
          </w:tcPr>
          <w:p>
            <w:r>
              <w:rPr>
                <w:rFonts w:ascii="Calibri" w:hAnsi="Calibri"/>
                <w:color w:val="1F2937"/>
                <w:sz w:val="18"/>
              </w:rPr>
              <w:t>Deployment inconsistency</w:t>
            </w:r>
          </w:p>
        </w:tc>
        <w:tc>
          <w:tcPr>
            <w:tcW w:type="dxa" w:w="4360"/>
            <w:tcMar>
              <w:top w:w="80" w:type="dxa"/>
              <w:start w:w="120" w:type="dxa"/>
              <w:bottom w:w="80" w:type="dxa"/>
              <w:end w:w="120" w:type="dxa"/>
            </w:tcMar>
            <w:vAlign w:val="center"/>
          </w:tcPr>
          <w:p>
            <w:r>
              <w:rPr>
                <w:rFonts w:ascii="Calibri" w:hAnsi="Calibri"/>
                <w:color w:val="1F2937"/>
                <w:sz w:val="18"/>
              </w:rPr>
              <w:t>Create ordered, reversible QuickBooks migrations and verify clean bootstrap in non-production.</w:t>
            </w:r>
          </w:p>
        </w:tc>
      </w:tr>
      <w:tr>
        <w:tc>
          <w:tcPr>
            <w:tcW w:type="dxa" w:w="2500"/>
            <w:shd w:fill="F8FAFC"/>
            <w:tcMar>
              <w:top w:w="80" w:type="dxa"/>
              <w:start w:w="120" w:type="dxa"/>
              <w:bottom w:w="80" w:type="dxa"/>
              <w:end w:w="120" w:type="dxa"/>
            </w:tcMar>
            <w:vAlign w:val="center"/>
          </w:tcPr>
          <w:p>
            <w:r>
              <w:rPr>
                <w:rFonts w:ascii="Calibri" w:hAnsi="Calibri"/>
                <w:color w:val="1F2937"/>
                <w:sz w:val="18"/>
              </w:rPr>
              <w:t>Operational gap</w:t>
            </w:r>
          </w:p>
        </w:tc>
        <w:tc>
          <w:tcPr>
            <w:tcW w:type="dxa" w:w="2500"/>
            <w:shd w:fill="F8FAFC"/>
            <w:tcMar>
              <w:top w:w="80" w:type="dxa"/>
              <w:start w:w="120" w:type="dxa"/>
              <w:bottom w:w="80" w:type="dxa"/>
              <w:end w:w="120" w:type="dxa"/>
            </w:tcMar>
            <w:vAlign w:val="center"/>
          </w:tcPr>
          <w:p>
            <w:r>
              <w:rPr>
                <w:rFonts w:ascii="Calibri" w:hAnsi="Calibri"/>
                <w:color w:val="1F2937"/>
                <w:sz w:val="18"/>
              </w:rPr>
              <w:t>Failures remain unnoticed</w:t>
            </w:r>
          </w:p>
        </w:tc>
        <w:tc>
          <w:tcPr>
            <w:tcW w:type="dxa" w:w="4360"/>
            <w:shd w:fill="F8FAFC"/>
            <w:tcMar>
              <w:top w:w="80" w:type="dxa"/>
              <w:start w:w="120" w:type="dxa"/>
              <w:bottom w:w="80" w:type="dxa"/>
              <w:end w:w="120" w:type="dxa"/>
            </w:tcMar>
            <w:vAlign w:val="center"/>
          </w:tcPr>
          <w:p>
            <w:r>
              <w:rPr>
                <w:rFonts w:ascii="Calibri" w:hAnsi="Calibri"/>
                <w:color w:val="1F2937"/>
                <w:sz w:val="18"/>
              </w:rPr>
              <w:t>Connection health checks, queue alerts, safe errors, retry UI, and support runbooks.</w:t>
            </w:r>
          </w:p>
        </w:tc>
      </w:tr>
    </w:tbl>
    <w:p>
      <w:pPr>
        <w:spacing w:after="40"/>
      </w:pPr>
    </w:p>
    <w:p>
      <w:pPr>
        <w:pStyle w:val="Heading1"/>
      </w:pPr>
      <w:r>
        <w:t>12. Decisions required before coding</w:t>
      </w:r>
    </w:p>
    <w:p>
      <w:pPr>
        <w:pStyle w:val="ListNumber"/>
      </w:pPr>
      <w:r>
        <w:t>Confirm whether the MVP supports exactly one QuickBooks company per BookSmart organization.</w:t>
      </w:r>
    </w:p>
    <w:p>
      <w:pPr>
        <w:pStyle w:val="ListNumber"/>
      </w:pPr>
      <w:r>
        <w:t>Approve the exact transaction entities and the two initial reports.</w:t>
      </w:r>
    </w:p>
    <w:p>
      <w:pPr>
        <w:pStyle w:val="ListNumber"/>
      </w:pPr>
      <w:r>
        <w:t>Choose default and maximum historical import ranges.</w:t>
      </w:r>
    </w:p>
    <w:p>
      <w:pPr>
        <w:pStyle w:val="ListNumber"/>
      </w:pPr>
      <w:r>
        <w:t>Define how QuickBooks-derived transactions coexist with Plaid and manual/uploaded transactions.</w:t>
      </w:r>
    </w:p>
    <w:p>
      <w:pPr>
        <w:pStyle w:val="ListNumber"/>
      </w:pPr>
      <w:r>
        <w:t>Define retention behavior after disconnect and user-requested deletion.</w:t>
      </w:r>
    </w:p>
    <w:p>
      <w:pPr>
        <w:pStyle w:val="ListNumber"/>
      </w:pPr>
      <w:r>
        <w:t>Select production secret/KMS, worker hosting, and scheduler mechanisms.</w:t>
      </w:r>
    </w:p>
    <w:p>
      <w:pPr>
        <w:pStyle w:val="ListNumber"/>
      </w:pPr>
      <w:r>
        <w:t>Identify two representative pilot companies and the reconciliation owner.</w:t>
      </w:r>
    </w:p>
    <w:p>
      <w:pPr>
        <w:pStyle w:val="ListNumber"/>
      </w:pPr>
      <w:r>
        <w:t>Confirm whether CPA users may view imported QuickBooks data and under which organization permissions.</w:t>
      </w:r>
    </w:p>
    <w:p>
      <w:pPr>
        <w:pStyle w:val="Heading1"/>
      </w:pPr>
      <w:r>
        <w:t>13. Go/no-go checklist</w:t>
      </w:r>
    </w:p>
    <w:tbl>
      <w:tblPr>
        <w:tblStyle w:val="TableGrid"/>
        <w:tblW w:type="dxa" w:w="9360"/>
        <w:jc w:val="left"/>
        <w:tblLayout w:type="fixed"/>
        <w:tblLook w:firstColumn="1" w:firstRow="1" w:lastColumn="0" w:lastRow="0" w:noHBand="0" w:noVBand="1" w:val="04A0"/>
        <w:tblInd w:w="120" w:type="dxa"/>
      </w:tblPr>
      <w:tblGrid>
        <w:gridCol w:w="4200"/>
        <w:gridCol w:w="2600"/>
        <w:gridCol w:w="2560"/>
      </w:tblGrid>
      <w:tr>
        <w:trPr>
          <w:tblHeader w:val="true"/>
        </w:trPr>
        <w:tc>
          <w:tcPr>
            <w:tcW w:type="dxa" w:w="4200"/>
            <w:shd w:fill="17365D"/>
            <w:tcMar>
              <w:top w:w="80" w:type="dxa"/>
              <w:start w:w="120" w:type="dxa"/>
              <w:bottom w:w="80" w:type="dxa"/>
              <w:end w:w="120" w:type="dxa"/>
            </w:tcMar>
            <w:vAlign w:val="center"/>
          </w:tcPr>
          <w:p>
            <w:r>
              <w:rPr>
                <w:rFonts w:ascii="Calibri" w:hAnsi="Calibri"/>
                <w:b/>
                <w:color w:val="FFFFFF"/>
                <w:sz w:val="18"/>
              </w:rPr>
              <w:t>Readiness item</w:t>
            </w:r>
          </w:p>
        </w:tc>
        <w:tc>
          <w:tcPr>
            <w:tcW w:type="dxa" w:w="2600"/>
            <w:shd w:fill="17365D"/>
            <w:tcMar>
              <w:top w:w="80" w:type="dxa"/>
              <w:start w:w="120" w:type="dxa"/>
              <w:bottom w:w="80" w:type="dxa"/>
              <w:end w:w="120" w:type="dxa"/>
            </w:tcMar>
            <w:vAlign w:val="center"/>
          </w:tcPr>
          <w:p>
            <w:r>
              <w:rPr>
                <w:rFonts w:ascii="Calibri" w:hAnsi="Calibri"/>
                <w:b/>
                <w:color w:val="FFFFFF"/>
                <w:sz w:val="18"/>
              </w:rPr>
              <w:t>Required before implementation</w:t>
            </w:r>
          </w:p>
        </w:tc>
        <w:tc>
          <w:tcPr>
            <w:tcW w:type="dxa" w:w="2560"/>
            <w:shd w:fill="17365D"/>
            <w:tcMar>
              <w:top w:w="80" w:type="dxa"/>
              <w:start w:w="120" w:type="dxa"/>
              <w:bottom w:w="80" w:type="dxa"/>
              <w:end w:w="120" w:type="dxa"/>
            </w:tcMar>
            <w:vAlign w:val="center"/>
          </w:tcPr>
          <w:p>
            <w:r>
              <w:rPr>
                <w:rFonts w:ascii="Calibri" w:hAnsi="Calibri"/>
                <w:b/>
                <w:color w:val="FFFFFF"/>
                <w:sz w:val="18"/>
              </w:rPr>
              <w:t>Current status</w:t>
            </w:r>
          </w:p>
        </w:tc>
      </w:tr>
      <w:tr>
        <w:tc>
          <w:tcPr>
            <w:tcW w:type="dxa" w:w="4200"/>
            <w:tcMar>
              <w:top w:w="80" w:type="dxa"/>
              <w:start w:w="120" w:type="dxa"/>
              <w:bottom w:w="80" w:type="dxa"/>
              <w:end w:w="120" w:type="dxa"/>
            </w:tcMar>
            <w:vAlign w:val="center"/>
          </w:tcPr>
          <w:p>
            <w:r>
              <w:rPr>
                <w:rFonts w:ascii="Calibri" w:hAnsi="Calibri"/>
                <w:color w:val="1F2937"/>
                <w:sz w:val="18"/>
              </w:rPr>
              <w:t>Intuit developer account and sandbox company</w:t>
            </w:r>
          </w:p>
        </w:tc>
        <w:tc>
          <w:tcPr>
            <w:tcW w:type="dxa" w:w="2600"/>
            <w:tcMar>
              <w:top w:w="80" w:type="dxa"/>
              <w:start w:w="120" w:type="dxa"/>
              <w:bottom w:w="80" w:type="dxa"/>
              <w:end w:w="120" w:type="dxa"/>
            </w:tcMar>
            <w:vAlign w:val="center"/>
          </w:tcPr>
          <w:p>
            <w:r>
              <w:rPr>
                <w:rFonts w:ascii="Calibri" w:hAnsi="Calibri"/>
                <w:color w:val="1F2937"/>
                <w:sz w:val="18"/>
              </w:rPr>
              <w:t>Yes</w:t>
            </w:r>
          </w:p>
        </w:tc>
        <w:tc>
          <w:tcPr>
            <w:tcW w:type="dxa" w:w="2560"/>
            <w:tcMar>
              <w:top w:w="80" w:type="dxa"/>
              <w:start w:w="120" w:type="dxa"/>
              <w:bottom w:w="80" w:type="dxa"/>
              <w:end w:w="120" w:type="dxa"/>
            </w:tcMar>
            <w:vAlign w:val="center"/>
          </w:tcPr>
          <w:p>
            <w:r>
              <w:rPr>
                <w:rFonts w:ascii="Calibri" w:hAnsi="Calibri"/>
                <w:color w:val="1F2937"/>
                <w:sz w:val="18"/>
              </w:rPr>
              <w:t>To confirm</w:t>
            </w:r>
          </w:p>
        </w:tc>
      </w:tr>
      <w:tr>
        <w:tc>
          <w:tcPr>
            <w:tcW w:type="dxa" w:w="4200"/>
            <w:shd w:fill="F8FAFC"/>
            <w:tcMar>
              <w:top w:w="80" w:type="dxa"/>
              <w:start w:w="120" w:type="dxa"/>
              <w:bottom w:w="80" w:type="dxa"/>
              <w:end w:w="120" w:type="dxa"/>
            </w:tcMar>
            <w:vAlign w:val="center"/>
          </w:tcPr>
          <w:p>
            <w:r>
              <w:rPr>
                <w:rFonts w:ascii="Calibri" w:hAnsi="Calibri"/>
                <w:color w:val="1F2937"/>
                <w:sz w:val="18"/>
              </w:rPr>
              <w:t>MVP entity and report scope approved</w:t>
            </w:r>
          </w:p>
        </w:tc>
        <w:tc>
          <w:tcPr>
            <w:tcW w:type="dxa" w:w="2600"/>
            <w:shd w:fill="F8FAFC"/>
            <w:tcMar>
              <w:top w:w="80" w:type="dxa"/>
              <w:start w:w="120" w:type="dxa"/>
              <w:bottom w:w="80" w:type="dxa"/>
              <w:end w:w="120" w:type="dxa"/>
            </w:tcMar>
            <w:vAlign w:val="center"/>
          </w:tcPr>
          <w:p>
            <w:r>
              <w:rPr>
                <w:rFonts w:ascii="Calibri" w:hAnsi="Calibri"/>
                <w:color w:val="1F2937"/>
                <w:sz w:val="18"/>
              </w:rPr>
              <w:t>Yes</w:t>
            </w:r>
          </w:p>
        </w:tc>
        <w:tc>
          <w:tcPr>
            <w:tcW w:type="dxa" w:w="2560"/>
            <w:shd w:fill="F8FAFC"/>
            <w:tcMar>
              <w:top w:w="80" w:type="dxa"/>
              <w:start w:w="120" w:type="dxa"/>
              <w:bottom w:w="80" w:type="dxa"/>
              <w:end w:w="120" w:type="dxa"/>
            </w:tcMar>
            <w:vAlign w:val="center"/>
          </w:tcPr>
          <w:p>
            <w:r>
              <w:rPr>
                <w:rFonts w:ascii="Calibri" w:hAnsi="Calibri"/>
                <w:color w:val="1F2937"/>
                <w:sz w:val="18"/>
              </w:rPr>
              <w:t>Decision required</w:t>
            </w:r>
          </w:p>
        </w:tc>
      </w:tr>
      <w:tr>
        <w:tc>
          <w:tcPr>
            <w:tcW w:type="dxa" w:w="4200"/>
            <w:tcMar>
              <w:top w:w="80" w:type="dxa"/>
              <w:start w:w="120" w:type="dxa"/>
              <w:bottom w:w="80" w:type="dxa"/>
              <w:end w:w="120" w:type="dxa"/>
            </w:tcMar>
            <w:vAlign w:val="center"/>
          </w:tcPr>
          <w:p>
            <w:r>
              <w:rPr>
                <w:rFonts w:ascii="Calibri" w:hAnsi="Calibri"/>
                <w:color w:val="1F2937"/>
                <w:sz w:val="18"/>
              </w:rPr>
              <w:t>Data retention and disconnect policy</w:t>
            </w:r>
          </w:p>
        </w:tc>
        <w:tc>
          <w:tcPr>
            <w:tcW w:type="dxa" w:w="2600"/>
            <w:tcMar>
              <w:top w:w="80" w:type="dxa"/>
              <w:start w:w="120" w:type="dxa"/>
              <w:bottom w:w="80" w:type="dxa"/>
              <w:end w:w="120" w:type="dxa"/>
            </w:tcMar>
            <w:vAlign w:val="center"/>
          </w:tcPr>
          <w:p>
            <w:r>
              <w:rPr>
                <w:rFonts w:ascii="Calibri" w:hAnsi="Calibri"/>
                <w:color w:val="1F2937"/>
                <w:sz w:val="18"/>
              </w:rPr>
              <w:t>Yes</w:t>
            </w:r>
          </w:p>
        </w:tc>
        <w:tc>
          <w:tcPr>
            <w:tcW w:type="dxa" w:w="2560"/>
            <w:tcMar>
              <w:top w:w="80" w:type="dxa"/>
              <w:start w:w="120" w:type="dxa"/>
              <w:bottom w:w="80" w:type="dxa"/>
              <w:end w:w="120" w:type="dxa"/>
            </w:tcMar>
            <w:vAlign w:val="center"/>
          </w:tcPr>
          <w:p>
            <w:r>
              <w:rPr>
                <w:rFonts w:ascii="Calibri" w:hAnsi="Calibri"/>
                <w:color w:val="1F2937"/>
                <w:sz w:val="18"/>
              </w:rPr>
              <w:t>Decision required</w:t>
            </w:r>
          </w:p>
        </w:tc>
      </w:tr>
      <w:tr>
        <w:tc>
          <w:tcPr>
            <w:tcW w:type="dxa" w:w="4200"/>
            <w:shd w:fill="F8FAFC"/>
            <w:tcMar>
              <w:top w:w="80" w:type="dxa"/>
              <w:start w:w="120" w:type="dxa"/>
              <w:bottom w:w="80" w:type="dxa"/>
              <w:end w:w="120" w:type="dxa"/>
            </w:tcMar>
            <w:vAlign w:val="center"/>
          </w:tcPr>
          <w:p>
            <w:r>
              <w:rPr>
                <w:rFonts w:ascii="Calibri" w:hAnsi="Calibri"/>
                <w:color w:val="1F2937"/>
                <w:sz w:val="18"/>
              </w:rPr>
              <w:t>Worker and scheduler deployment approach</w:t>
            </w:r>
          </w:p>
        </w:tc>
        <w:tc>
          <w:tcPr>
            <w:tcW w:type="dxa" w:w="2600"/>
            <w:shd w:fill="F8FAFC"/>
            <w:tcMar>
              <w:top w:w="80" w:type="dxa"/>
              <w:start w:w="120" w:type="dxa"/>
              <w:bottom w:w="80" w:type="dxa"/>
              <w:end w:w="120" w:type="dxa"/>
            </w:tcMar>
            <w:vAlign w:val="center"/>
          </w:tcPr>
          <w:p>
            <w:r>
              <w:rPr>
                <w:rFonts w:ascii="Calibri" w:hAnsi="Calibri"/>
                <w:color w:val="1F2937"/>
                <w:sz w:val="18"/>
              </w:rPr>
              <w:t>Yes</w:t>
            </w:r>
          </w:p>
        </w:tc>
        <w:tc>
          <w:tcPr>
            <w:tcW w:type="dxa" w:w="2560"/>
            <w:shd w:fill="F8FAFC"/>
            <w:tcMar>
              <w:top w:w="80" w:type="dxa"/>
              <w:start w:w="120" w:type="dxa"/>
              <w:bottom w:w="80" w:type="dxa"/>
              <w:end w:w="120" w:type="dxa"/>
            </w:tcMar>
            <w:vAlign w:val="center"/>
          </w:tcPr>
          <w:p>
            <w:r>
              <w:rPr>
                <w:rFonts w:ascii="Calibri" w:hAnsi="Calibri"/>
                <w:color w:val="1F2937"/>
                <w:sz w:val="18"/>
              </w:rPr>
              <w:t>Recommendation available</w:t>
            </w:r>
          </w:p>
        </w:tc>
      </w:tr>
      <w:tr>
        <w:tc>
          <w:tcPr>
            <w:tcW w:type="dxa" w:w="4200"/>
            <w:tcMar>
              <w:top w:w="80" w:type="dxa"/>
              <w:start w:w="120" w:type="dxa"/>
              <w:bottom w:w="80" w:type="dxa"/>
              <w:end w:w="120" w:type="dxa"/>
            </w:tcMar>
            <w:vAlign w:val="center"/>
          </w:tcPr>
          <w:p>
            <w:r>
              <w:rPr>
                <w:rFonts w:ascii="Calibri" w:hAnsi="Calibri"/>
                <w:color w:val="1F2937"/>
                <w:sz w:val="18"/>
              </w:rPr>
              <w:t>Production encryption/secret ownership</w:t>
            </w:r>
          </w:p>
        </w:tc>
        <w:tc>
          <w:tcPr>
            <w:tcW w:type="dxa" w:w="2600"/>
            <w:tcMar>
              <w:top w:w="80" w:type="dxa"/>
              <w:start w:w="120" w:type="dxa"/>
              <w:bottom w:w="80" w:type="dxa"/>
              <w:end w:w="120" w:type="dxa"/>
            </w:tcMar>
            <w:vAlign w:val="center"/>
          </w:tcPr>
          <w:p>
            <w:r>
              <w:rPr>
                <w:rFonts w:ascii="Calibri" w:hAnsi="Calibri"/>
                <w:color w:val="1F2937"/>
                <w:sz w:val="18"/>
              </w:rPr>
              <w:t>Before production</w:t>
            </w:r>
          </w:p>
        </w:tc>
        <w:tc>
          <w:tcPr>
            <w:tcW w:type="dxa" w:w="2560"/>
            <w:tcMar>
              <w:top w:w="80" w:type="dxa"/>
              <w:start w:w="120" w:type="dxa"/>
              <w:bottom w:w="80" w:type="dxa"/>
              <w:end w:w="120" w:type="dxa"/>
            </w:tcMar>
            <w:vAlign w:val="center"/>
          </w:tcPr>
          <w:p>
            <w:r>
              <w:rPr>
                <w:rFonts w:ascii="Calibri" w:hAnsi="Calibri"/>
                <w:color w:val="1F2937"/>
                <w:sz w:val="18"/>
              </w:rPr>
              <w:t>Decision required</w:t>
            </w:r>
          </w:p>
        </w:tc>
      </w:tr>
      <w:tr>
        <w:tc>
          <w:tcPr>
            <w:tcW w:type="dxa" w:w="4200"/>
            <w:shd w:fill="F8FAFC"/>
            <w:tcMar>
              <w:top w:w="80" w:type="dxa"/>
              <w:start w:w="120" w:type="dxa"/>
              <w:bottom w:w="80" w:type="dxa"/>
              <w:end w:w="120" w:type="dxa"/>
            </w:tcMar>
            <w:vAlign w:val="center"/>
          </w:tcPr>
          <w:p>
            <w:r>
              <w:rPr>
                <w:rFonts w:ascii="Calibri" w:hAnsi="Calibri"/>
                <w:color w:val="1F2937"/>
                <w:sz w:val="18"/>
              </w:rPr>
              <w:t>Accounting reconciliation owner</w:t>
            </w:r>
          </w:p>
        </w:tc>
        <w:tc>
          <w:tcPr>
            <w:tcW w:type="dxa" w:w="2600"/>
            <w:shd w:fill="F8FAFC"/>
            <w:tcMar>
              <w:top w:w="80" w:type="dxa"/>
              <w:start w:w="120" w:type="dxa"/>
              <w:bottom w:w="80" w:type="dxa"/>
              <w:end w:w="120" w:type="dxa"/>
            </w:tcMar>
            <w:vAlign w:val="center"/>
          </w:tcPr>
          <w:p>
            <w:r>
              <w:rPr>
                <w:rFonts w:ascii="Calibri" w:hAnsi="Calibri"/>
                <w:color w:val="1F2937"/>
                <w:sz w:val="18"/>
              </w:rPr>
              <w:t>Before transaction phase</w:t>
            </w:r>
          </w:p>
        </w:tc>
        <w:tc>
          <w:tcPr>
            <w:tcW w:type="dxa" w:w="2560"/>
            <w:shd w:fill="F8FAFC"/>
            <w:tcMar>
              <w:top w:w="80" w:type="dxa"/>
              <w:start w:w="120" w:type="dxa"/>
              <w:bottom w:w="80" w:type="dxa"/>
              <w:end w:w="120" w:type="dxa"/>
            </w:tcMar>
            <w:vAlign w:val="center"/>
          </w:tcPr>
          <w:p>
            <w:r>
              <w:rPr>
                <w:rFonts w:ascii="Calibri" w:hAnsi="Calibri"/>
                <w:color w:val="1F2937"/>
                <w:sz w:val="18"/>
              </w:rPr>
              <w:t>To assign</w:t>
            </w:r>
          </w:p>
        </w:tc>
      </w:tr>
      <w:tr>
        <w:tc>
          <w:tcPr>
            <w:tcW w:type="dxa" w:w="4200"/>
            <w:tcMar>
              <w:top w:w="80" w:type="dxa"/>
              <w:start w:w="120" w:type="dxa"/>
              <w:bottom w:w="80" w:type="dxa"/>
              <w:end w:w="120" w:type="dxa"/>
            </w:tcMar>
            <w:vAlign w:val="center"/>
          </w:tcPr>
          <w:p>
            <w:r>
              <w:rPr>
                <w:rFonts w:ascii="Calibri" w:hAnsi="Calibri"/>
                <w:color w:val="1F2937"/>
                <w:sz w:val="18"/>
              </w:rPr>
              <w:t>Pilot organizations</w:t>
            </w:r>
          </w:p>
        </w:tc>
        <w:tc>
          <w:tcPr>
            <w:tcW w:type="dxa" w:w="2600"/>
            <w:tcMar>
              <w:top w:w="80" w:type="dxa"/>
              <w:start w:w="120" w:type="dxa"/>
              <w:bottom w:w="80" w:type="dxa"/>
              <w:end w:w="120" w:type="dxa"/>
            </w:tcMar>
            <w:vAlign w:val="center"/>
          </w:tcPr>
          <w:p>
            <w:r>
              <w:rPr>
                <w:rFonts w:ascii="Calibri" w:hAnsi="Calibri"/>
                <w:color w:val="1F2937"/>
                <w:sz w:val="18"/>
              </w:rPr>
              <w:t>Before production hardening</w:t>
            </w:r>
          </w:p>
        </w:tc>
        <w:tc>
          <w:tcPr>
            <w:tcW w:type="dxa" w:w="2560"/>
            <w:tcMar>
              <w:top w:w="80" w:type="dxa"/>
              <w:start w:w="120" w:type="dxa"/>
              <w:bottom w:w="80" w:type="dxa"/>
              <w:end w:w="120" w:type="dxa"/>
            </w:tcMar>
            <w:vAlign w:val="center"/>
          </w:tcPr>
          <w:p>
            <w:r>
              <w:rPr>
                <w:rFonts w:ascii="Calibri" w:hAnsi="Calibri"/>
                <w:color w:val="1F2937"/>
                <w:sz w:val="18"/>
              </w:rPr>
              <w:t>To identify</w:t>
            </w:r>
          </w:p>
        </w:tc>
      </w:tr>
    </w:tbl>
    <w:p>
      <w:pPr>
        <w:spacing w:after="40"/>
      </w:pPr>
    </w:p>
    <w:p>
      <w:pPr>
        <w:pStyle w:val="Heading1"/>
      </w:pPr>
      <w:r>
        <w:t>14. Final recommendation</w:t>
      </w:r>
    </w:p>
    <w:p>
      <w:r>
        <w:t>Proceed with implementation, beginning with a one-week discovery and sandbox spike. Keep the production design read-only, organization-scoped, asynchronous, idempotent, and reconciliation-driven. The project should not advance from reference data to financial transactions until interruption recovery and duplicate prevention are demonstrated, and it should not advance to broad production rollout until pilot companies reconcile against QuickBooks under identical report parameters.</w:t>
      </w:r>
    </w:p>
    <w:p>
      <w:r>
        <w:t>The document's broader architecture remains the long-term target. The recommended delivery path reduces early complexity by using a PostgreSQL-backed queue, a canonical entity layer, a deliberately limited MVP, and explicit acceptance gates before webhooks, CDC, or expanded accounting coverage are enabled.</w:t>
      </w:r>
    </w:p>
    <w:p>
      <w:pPr>
        <w:pStyle w:val="Heading1"/>
      </w:pPr>
      <w:r>
        <w:t>Appendix A — Source and repository evidence</w:t>
      </w:r>
    </w:p>
    <w:p>
      <w:pPr>
        <w:pStyle w:val="ListBullet"/>
      </w:pPr>
      <w:r>
        <w:t>QuickBooks plan: C:\Users\Admin\Downloads\QuickBooks_Online_Integration_Implementation_Plan (1).docx</w:t>
      </w:r>
    </w:p>
    <w:p>
      <w:pPr>
        <w:pStyle w:val="ListBullet"/>
      </w:pPr>
      <w:r>
        <w:t>API composition: artifacts\api-server\src\routes\index.ts</w:t>
      </w:r>
    </w:p>
    <w:p>
      <w:pPr>
        <w:pStyle w:val="ListBullet"/>
      </w:pPr>
      <w:r>
        <w:t>Raw-body webhook pattern: artifacts\api-server\src\app.ts and routes\stripe-webhook.ts</w:t>
      </w:r>
    </w:p>
    <w:p>
      <w:pPr>
        <w:pStyle w:val="ListBullet"/>
      </w:pPr>
      <w:r>
        <w:t>Existing bank synchronization: artifacts\api-server\src\routes\plaid.ts</w:t>
      </w:r>
    </w:p>
    <w:p>
      <w:pPr>
        <w:pStyle w:val="ListBullet"/>
      </w:pPr>
      <w:r>
        <w:t>Organization selection: artifacts\booksmart\src\lib\active-organization.ts</w:t>
      </w:r>
    </w:p>
    <w:p>
      <w:pPr>
        <w:pStyle w:val="ListBullet"/>
      </w:pPr>
      <w:r>
        <w:t>Database migrations: artifacts\booksmart\supabase</w:t>
      </w:r>
    </w:p>
    <w:p>
      <w:pPr>
        <w:pStyle w:val="ListBullet"/>
      </w:pPr>
      <w:r>
        <w:t>Existing report UI and transaction workflows: artifacts\booksmart\src\pages\user\reports.tsx</w:t>
      </w:r>
    </w:p>
    <w:p>
      <w:r>
        <w:t>Repository review was read-only. No application source, configuration, migration, or reference document was changed to produce this report.</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7"/>
      </w:rPr>
      <w:t xml:space="preserve">Implementation Readiness Report  •  August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BOOKSMART  |  QUICKBOOKS ONLINE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llout">
    <w:name w:val="Report Callout"/>
    <w:pPr>
      <w:spacing w:before="120" w:after="200"/>
      <w:ind w:left="259" w:right="259"/>
    </w:pPr>
    <w:rPr>
      <w:rFonts w:ascii="Calibri" w:hAnsi="Calibri"/>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QuickBooks Online Integration — Implementation Readiness Report</dc:title>
  <dc:subject>BookSmart QuickBooks Online architecture, phased delivery, risks, and acceptance gates</dc:subject>
  <dc:creator>Codex</dc:creator>
  <cp:keywords>BookSmart, QuickBooks Online, implementation plan, OAuth, synchronization, Supabase</cp:keywords>
  <dc:description>generated by python-docx</dc:description>
  <cp:lastModifiedBy/>
  <cp:revision>1</cp:revision>
  <dcterms:created xsi:type="dcterms:W3CDTF">2013-12-23T23:15:00Z</dcterms:created>
  <dcterms:modified xsi:type="dcterms:W3CDTF">2013-12-23T23:15:00Z</dcterms:modified>
  <cp:category/>
</cp:coreProperties>
</file>