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7FAE1" w14:textId="77777777" w:rsidR="00970E85" w:rsidRPr="00586DD7" w:rsidRDefault="00970E85" w:rsidP="00970E85">
      <w:pPr>
        <w:tabs>
          <w:tab w:val="clear" w:pos="8640"/>
        </w:tabs>
        <w:spacing w:line="480" w:lineRule="auto"/>
        <w:jc w:val="center"/>
        <w:rPr>
          <w:rFonts w:ascii="Arial" w:hAnsi="Arial" w:cs="Arial"/>
          <w:spacing w:val="0"/>
          <w:sz w:val="40"/>
          <w:szCs w:val="40"/>
        </w:rPr>
      </w:pPr>
      <w:bookmarkStart w:id="0" w:name="_GoBack"/>
      <w:bookmarkEnd w:id="0"/>
      <w:r w:rsidRPr="00586DD7">
        <w:rPr>
          <w:rFonts w:ascii="Arial" w:hAnsi="Arial" w:cs="Arial"/>
          <w:color w:val="000000"/>
          <w:spacing w:val="0"/>
          <w:sz w:val="40"/>
          <w:szCs w:val="40"/>
        </w:rPr>
        <w:t>Culture with Isoproterenol and Gonadotropins Restores Aspects of Steroidogenesis in Photoregressed Ovaries</w:t>
      </w:r>
    </w:p>
    <w:p w14:paraId="13E03486" w14:textId="77777777" w:rsidR="00970E85" w:rsidRPr="00AA329B" w:rsidRDefault="00970E85" w:rsidP="00970E85">
      <w:pPr>
        <w:pStyle w:val="PageTitle"/>
        <w:spacing w:line="480" w:lineRule="auto"/>
        <w:rPr>
          <w:rFonts w:ascii="Arial" w:hAnsi="Arial" w:cs="Arial"/>
          <w:b w:val="0"/>
        </w:rPr>
      </w:pPr>
    </w:p>
    <w:p w14:paraId="45373CBE" w14:textId="77777777" w:rsidR="00970E85" w:rsidRPr="00AA329B" w:rsidRDefault="00970E85" w:rsidP="00970E85">
      <w:pPr>
        <w:spacing w:line="480" w:lineRule="auto"/>
        <w:jc w:val="center"/>
        <w:rPr>
          <w:rFonts w:ascii="Arial" w:hAnsi="Arial" w:cs="Arial"/>
          <w:sz w:val="22"/>
          <w:szCs w:val="22"/>
        </w:rPr>
      </w:pPr>
    </w:p>
    <w:p w14:paraId="73220E27" w14:textId="77777777" w:rsidR="00970E85" w:rsidRPr="00AA329B" w:rsidRDefault="00970E85" w:rsidP="00970E85">
      <w:pPr>
        <w:spacing w:line="480" w:lineRule="auto"/>
        <w:jc w:val="center"/>
        <w:rPr>
          <w:rFonts w:ascii="Arial" w:hAnsi="Arial" w:cs="Arial"/>
          <w:sz w:val="22"/>
          <w:szCs w:val="22"/>
        </w:rPr>
      </w:pPr>
      <w:r w:rsidRPr="00AA329B">
        <w:rPr>
          <w:rFonts w:ascii="Arial" w:hAnsi="Arial" w:cs="Arial"/>
          <w:sz w:val="22"/>
          <w:szCs w:val="22"/>
        </w:rPr>
        <w:t>California State University, Long Beach</w:t>
      </w:r>
    </w:p>
    <w:p w14:paraId="7C85D2CB" w14:textId="77777777" w:rsidR="00970E85" w:rsidRPr="00AA329B" w:rsidRDefault="00970E85" w:rsidP="00970E85">
      <w:pPr>
        <w:pStyle w:val="BodyText"/>
        <w:spacing w:line="480" w:lineRule="auto"/>
        <w:rPr>
          <w:rFonts w:ascii="Arial" w:hAnsi="Arial" w:cs="Arial"/>
          <w:sz w:val="22"/>
          <w:szCs w:val="22"/>
        </w:rPr>
      </w:pPr>
    </w:p>
    <w:p w14:paraId="34F4B3DA" w14:textId="6F467CEB" w:rsidR="00970E85" w:rsidRDefault="00970E85" w:rsidP="00970E85">
      <w:pPr>
        <w:pStyle w:val="BodyText"/>
        <w:spacing w:line="480" w:lineRule="auto"/>
      </w:pPr>
    </w:p>
    <w:p w14:paraId="7E333230" w14:textId="77777777" w:rsidR="00CD5A31" w:rsidRDefault="00CD5A31" w:rsidP="00970E85">
      <w:pPr>
        <w:pStyle w:val="BodyText"/>
        <w:spacing w:line="480" w:lineRule="auto"/>
      </w:pPr>
    </w:p>
    <w:p w14:paraId="2AA480A6" w14:textId="77777777" w:rsidR="00970E85" w:rsidRPr="00AA329B" w:rsidRDefault="00970E85" w:rsidP="00970E85">
      <w:pPr>
        <w:pStyle w:val="BodyText"/>
        <w:spacing w:after="0" w:line="480" w:lineRule="auto"/>
        <w:jc w:val="center"/>
        <w:rPr>
          <w:rFonts w:ascii="Arial" w:hAnsi="Arial" w:cs="Arial"/>
          <w:sz w:val="22"/>
          <w:szCs w:val="22"/>
        </w:rPr>
      </w:pPr>
      <w:r w:rsidRPr="00AA329B">
        <w:rPr>
          <w:rFonts w:ascii="Arial" w:hAnsi="Arial" w:cs="Arial"/>
          <w:sz w:val="22"/>
          <w:szCs w:val="22"/>
        </w:rPr>
        <w:t>ENGR 361 Scientific Communication</w:t>
      </w:r>
    </w:p>
    <w:p w14:paraId="03E81A9A" w14:textId="2D940C5F" w:rsidR="00970E85" w:rsidRPr="00AA329B" w:rsidRDefault="00970E85" w:rsidP="00970E85">
      <w:pPr>
        <w:pStyle w:val="BodyText"/>
        <w:spacing w:after="0" w:line="480" w:lineRule="auto"/>
        <w:jc w:val="center"/>
        <w:rPr>
          <w:rFonts w:ascii="Arial" w:hAnsi="Arial" w:cs="Arial"/>
          <w:sz w:val="22"/>
          <w:szCs w:val="22"/>
        </w:rPr>
      </w:pPr>
      <w:r w:rsidRPr="00AA329B">
        <w:rPr>
          <w:rFonts w:ascii="Arial" w:hAnsi="Arial" w:cs="Arial"/>
          <w:sz w:val="22"/>
          <w:szCs w:val="22"/>
        </w:rPr>
        <w:t xml:space="preserve">Assignment </w:t>
      </w:r>
      <w:r w:rsidR="00CC577E">
        <w:rPr>
          <w:rFonts w:ascii="Arial" w:hAnsi="Arial" w:cs="Arial"/>
          <w:sz w:val="22"/>
          <w:szCs w:val="22"/>
        </w:rPr>
        <w:t>4</w:t>
      </w:r>
      <w:r w:rsidRPr="00AA329B">
        <w:rPr>
          <w:rFonts w:ascii="Arial" w:hAnsi="Arial" w:cs="Arial"/>
          <w:sz w:val="22"/>
          <w:szCs w:val="22"/>
        </w:rPr>
        <w:t>: Research Paper</w:t>
      </w:r>
    </w:p>
    <w:p w14:paraId="7A51458E" w14:textId="77777777" w:rsidR="00970E85" w:rsidRPr="00AA329B" w:rsidRDefault="00970E85" w:rsidP="00970E85">
      <w:pPr>
        <w:pStyle w:val="BodyText"/>
        <w:spacing w:after="0" w:line="480" w:lineRule="auto"/>
        <w:jc w:val="center"/>
        <w:rPr>
          <w:rFonts w:ascii="Arial" w:hAnsi="Arial" w:cs="Arial"/>
          <w:sz w:val="22"/>
          <w:szCs w:val="22"/>
        </w:rPr>
      </w:pPr>
    </w:p>
    <w:p w14:paraId="132260F6" w14:textId="5D2D973B" w:rsidR="00970E85" w:rsidRDefault="00970E85" w:rsidP="00970E85">
      <w:pPr>
        <w:spacing w:line="480" w:lineRule="auto"/>
        <w:jc w:val="center"/>
        <w:rPr>
          <w:rFonts w:ascii="Arial" w:hAnsi="Arial" w:cs="Arial"/>
          <w:sz w:val="22"/>
          <w:szCs w:val="22"/>
        </w:rPr>
      </w:pPr>
    </w:p>
    <w:p w14:paraId="390F9005" w14:textId="77777777" w:rsidR="00CC577E" w:rsidRDefault="00CC577E" w:rsidP="00970E85">
      <w:pPr>
        <w:spacing w:line="480" w:lineRule="auto"/>
        <w:jc w:val="center"/>
        <w:rPr>
          <w:rFonts w:ascii="Times New Roman" w:hAnsi="Times New Roman"/>
        </w:rPr>
      </w:pPr>
    </w:p>
    <w:p w14:paraId="28EE7B8F" w14:textId="77777777" w:rsidR="00970E85" w:rsidRPr="00AA329B" w:rsidRDefault="00970E85" w:rsidP="00970E85">
      <w:pPr>
        <w:spacing w:line="480" w:lineRule="auto"/>
        <w:jc w:val="center"/>
        <w:rPr>
          <w:rFonts w:ascii="Arial" w:hAnsi="Arial" w:cs="Arial"/>
          <w:sz w:val="22"/>
          <w:szCs w:val="22"/>
        </w:rPr>
      </w:pPr>
      <w:r w:rsidRPr="00AA329B">
        <w:rPr>
          <w:rFonts w:ascii="Arial" w:hAnsi="Arial" w:cs="Arial"/>
          <w:sz w:val="22"/>
          <w:szCs w:val="22"/>
        </w:rPr>
        <w:t>03/</w:t>
      </w:r>
      <w:r w:rsidR="00001A07">
        <w:rPr>
          <w:rFonts w:ascii="Arial" w:hAnsi="Arial" w:cs="Arial"/>
          <w:sz w:val="22"/>
          <w:szCs w:val="22"/>
        </w:rPr>
        <w:t>27</w:t>
      </w:r>
      <w:r w:rsidRPr="00AA329B">
        <w:rPr>
          <w:rFonts w:ascii="Arial" w:hAnsi="Arial" w:cs="Arial"/>
          <w:sz w:val="22"/>
          <w:szCs w:val="22"/>
        </w:rPr>
        <w:t>/2020</w:t>
      </w:r>
    </w:p>
    <w:p w14:paraId="6006EDA5" w14:textId="77777777" w:rsidR="00970E85" w:rsidRDefault="00970E85" w:rsidP="00D97457">
      <w:pPr>
        <w:pStyle w:val="Heading1"/>
      </w:pPr>
      <w:r>
        <w:br w:type="page"/>
      </w:r>
    </w:p>
    <w:p w14:paraId="04D7C4D6" w14:textId="77777777" w:rsidR="00C160C4" w:rsidRPr="00D97457" w:rsidRDefault="00C160C4" w:rsidP="00D97457">
      <w:pPr>
        <w:pStyle w:val="Heading1"/>
      </w:pPr>
      <w:r w:rsidRPr="00D97457">
        <w:lastRenderedPageBreak/>
        <w:t>Abstract</w:t>
      </w:r>
    </w:p>
    <w:p w14:paraId="64A6FCD0" w14:textId="77777777" w:rsidR="00C160C4" w:rsidRDefault="00D97457" w:rsidP="00BE230B">
      <w:pPr>
        <w:rPr>
          <w:rFonts w:ascii="Arial" w:hAnsi="Arial" w:cs="Arial"/>
          <w:spacing w:val="0"/>
          <w:sz w:val="22"/>
          <w:szCs w:val="22"/>
        </w:rPr>
      </w:pPr>
      <w:r>
        <w:rPr>
          <w:rFonts w:ascii="Arial" w:hAnsi="Arial" w:cs="Arial"/>
          <w:spacing w:val="0"/>
          <w:sz w:val="22"/>
          <w:szCs w:val="22"/>
        </w:rPr>
        <w:tab/>
        <w:t xml:space="preserve">         </w:t>
      </w:r>
      <w:r w:rsidR="00C160C4" w:rsidRPr="00586DD7">
        <w:rPr>
          <w:rFonts w:ascii="Arial" w:hAnsi="Arial" w:cs="Arial"/>
          <w:spacing w:val="0"/>
          <w:sz w:val="22"/>
          <w:szCs w:val="22"/>
        </w:rPr>
        <w:t xml:space="preserve">Adrenergic activation in the ovary is involved in the secretion of sex steroids as well as folliculogenesis.  Culture of ovaries with isoproterenol, a β-adrenergic receptor agonist, increases follicle stimulating hormone receptor and progesterone production, and </w:t>
      </w:r>
      <w:r w:rsidR="00C160C4" w:rsidRPr="00586DD7">
        <w:rPr>
          <w:rFonts w:ascii="Arial" w:hAnsi="Arial" w:cs="Arial"/>
          <w:i/>
          <w:iCs/>
          <w:spacing w:val="0"/>
          <w:sz w:val="22"/>
          <w:szCs w:val="22"/>
        </w:rPr>
        <w:t>in vivo</w:t>
      </w:r>
      <w:r w:rsidR="00C160C4" w:rsidRPr="00586DD7">
        <w:rPr>
          <w:rFonts w:ascii="Arial" w:hAnsi="Arial" w:cs="Arial"/>
          <w:spacing w:val="0"/>
          <w:sz w:val="22"/>
          <w:szCs w:val="22"/>
        </w:rPr>
        <w:t xml:space="preserve"> exposure to isoproterenol can also increase androgen secretion. While the role for adrenergic stimulation in active and neonatal ovaries has been examined, the impact of adrenergic activity in the return to function of photoregressed ovaries in seasonally-breeding animals is not fully understood.  In photoperiodic Siberian hamsters (</w:t>
      </w:r>
      <w:r w:rsidR="00C160C4" w:rsidRPr="00586DD7">
        <w:rPr>
          <w:rFonts w:ascii="Arial" w:hAnsi="Arial" w:cs="Arial"/>
          <w:i/>
          <w:iCs/>
          <w:spacing w:val="0"/>
          <w:sz w:val="22"/>
          <w:szCs w:val="22"/>
        </w:rPr>
        <w:t>Phodopus sungous</w:t>
      </w:r>
      <w:r w:rsidR="00C160C4" w:rsidRPr="00586DD7">
        <w:rPr>
          <w:rFonts w:ascii="Arial" w:hAnsi="Arial" w:cs="Arial"/>
          <w:spacing w:val="0"/>
          <w:sz w:val="22"/>
          <w:szCs w:val="22"/>
        </w:rPr>
        <w:t>), exposure to long photoperiods</w:t>
      </w:r>
      <w:r w:rsidR="00001A07">
        <w:rPr>
          <w:rFonts w:ascii="Arial" w:hAnsi="Arial" w:cs="Arial"/>
          <w:spacing w:val="0"/>
          <w:sz w:val="22"/>
          <w:szCs w:val="22"/>
        </w:rPr>
        <w:t xml:space="preserve"> </w:t>
      </w:r>
      <w:r w:rsidR="00C160C4" w:rsidRPr="00586DD7">
        <w:rPr>
          <w:rFonts w:ascii="Arial" w:hAnsi="Arial" w:cs="Arial"/>
          <w:spacing w:val="0"/>
          <w:sz w:val="22"/>
          <w:szCs w:val="22"/>
        </w:rPr>
        <w:t xml:space="preserve">stimulates and maintains ovarian function, whereas exposure to short photoperiods induces reduction in antral follicle formation, ovulation, and plasma estradiol concentrations. </w:t>
      </w:r>
      <w:r w:rsidR="00C160C4" w:rsidRPr="00586DD7">
        <w:rPr>
          <w:rFonts w:ascii="Arial" w:hAnsi="Arial" w:cs="Arial"/>
          <w:color w:val="000000"/>
          <w:spacing w:val="0"/>
          <w:sz w:val="22"/>
          <w:szCs w:val="22"/>
        </w:rPr>
        <w:t xml:space="preserve">We hypothesized that stimulating photoregressed ovaries </w:t>
      </w:r>
      <w:r w:rsidR="00C160C4" w:rsidRPr="00586DD7">
        <w:rPr>
          <w:rFonts w:ascii="Arial" w:hAnsi="Arial" w:cs="Arial"/>
          <w:i/>
          <w:iCs/>
          <w:color w:val="000000"/>
          <w:spacing w:val="0"/>
          <w:sz w:val="22"/>
          <w:szCs w:val="22"/>
        </w:rPr>
        <w:t>in vitro</w:t>
      </w:r>
      <w:r w:rsidR="00C160C4" w:rsidRPr="00586DD7">
        <w:rPr>
          <w:rFonts w:ascii="Arial" w:hAnsi="Arial" w:cs="Arial"/>
          <w:color w:val="000000"/>
          <w:spacing w:val="0"/>
          <w:sz w:val="22"/>
          <w:szCs w:val="22"/>
        </w:rPr>
        <w:t xml:space="preserve"> with isoproterenol with or without gonadotropins would potentially recapitulate aspects of photostimulated recrudescence as opposed to untreated ovaries; specifically impacting estradiol production as well as the expression of genes associated with the return of folliculogenesis and steroidogenesis. Isolated ovaries were then cultured for 10 days in one of four treatment groups: standard media (no treatment, NT); gonadotropins (GT); isoproterenol (20mM,</w:t>
      </w:r>
      <w:r w:rsidR="00001A07">
        <w:rPr>
          <w:rFonts w:ascii="Arial" w:hAnsi="Arial" w:cs="Arial"/>
          <w:color w:val="000000"/>
          <w:spacing w:val="0"/>
          <w:sz w:val="22"/>
          <w:szCs w:val="22"/>
        </w:rPr>
        <w:t xml:space="preserve"> </w:t>
      </w:r>
      <w:r w:rsidR="00C160C4" w:rsidRPr="00586DD7">
        <w:rPr>
          <w:rFonts w:ascii="Arial" w:hAnsi="Arial" w:cs="Arial"/>
          <w:color w:val="000000"/>
          <w:spacing w:val="0"/>
          <w:sz w:val="22"/>
          <w:szCs w:val="22"/>
        </w:rPr>
        <w:t>ISO); or isoproterenol plus gonadotropins (ISO+GT).</w:t>
      </w:r>
      <w:r w:rsidR="00C160C4" w:rsidRPr="007A6292">
        <w:rPr>
          <w:rFonts w:ascii="Arial" w:hAnsi="Arial" w:cs="Arial"/>
          <w:color w:val="000000"/>
          <w:spacing w:val="0"/>
          <w:sz w:val="22"/>
          <w:szCs w:val="22"/>
        </w:rPr>
        <w:t xml:space="preserve"> </w:t>
      </w:r>
      <w:r w:rsidR="00C160C4" w:rsidRPr="00586DD7">
        <w:rPr>
          <w:rFonts w:ascii="Arial" w:hAnsi="Arial" w:cs="Arial"/>
          <w:spacing w:val="0"/>
          <w:sz w:val="22"/>
          <w:szCs w:val="22"/>
        </w:rPr>
        <w:t xml:space="preserve">Culture with isoproterenol stimulated expression of genes involved with both steroidogenesis and folliculogenesis, along with increasing estradiol production and prostaglandins, </w:t>
      </w:r>
      <w:r w:rsidR="00C160C4" w:rsidRPr="00586DD7">
        <w:rPr>
          <w:rFonts w:ascii="Arial" w:hAnsi="Arial" w:cs="Arial"/>
          <w:color w:val="000000"/>
          <w:spacing w:val="0"/>
          <w:sz w:val="22"/>
          <w:szCs w:val="22"/>
        </w:rPr>
        <w:t>critical for multiple aspects of ovarian function</w:t>
      </w:r>
      <w:r w:rsidR="00C160C4" w:rsidRPr="00586DD7">
        <w:rPr>
          <w:rFonts w:ascii="Arial" w:hAnsi="Arial" w:cs="Arial"/>
          <w:spacing w:val="0"/>
          <w:sz w:val="22"/>
          <w:szCs w:val="22"/>
        </w:rPr>
        <w:t>. Culture with ISO, regardless of GT exposure, increased mRNA expression of early steroidogenic enzymes (</w:t>
      </w:r>
      <w:r w:rsidR="00C160C4" w:rsidRPr="00586DD7">
        <w:rPr>
          <w:rFonts w:ascii="Arial" w:hAnsi="Arial" w:cs="Arial"/>
          <w:i/>
          <w:iCs/>
          <w:spacing w:val="0"/>
          <w:sz w:val="22"/>
          <w:szCs w:val="22"/>
        </w:rPr>
        <w:t>StAR</w:t>
      </w:r>
      <w:r w:rsidR="00C160C4" w:rsidRPr="00586DD7">
        <w:rPr>
          <w:rFonts w:ascii="Arial" w:hAnsi="Arial" w:cs="Arial"/>
          <w:spacing w:val="0"/>
          <w:sz w:val="22"/>
          <w:szCs w:val="22"/>
        </w:rPr>
        <w:t xml:space="preserve"> and 3b</w:t>
      </w:r>
      <w:r w:rsidR="00C160C4" w:rsidRPr="00586DD7">
        <w:rPr>
          <w:rFonts w:ascii="Arial" w:hAnsi="Arial" w:cs="Arial"/>
          <w:i/>
          <w:iCs/>
          <w:spacing w:val="0"/>
          <w:sz w:val="22"/>
          <w:szCs w:val="22"/>
        </w:rPr>
        <w:t>Hsd)</w:t>
      </w:r>
      <w:r w:rsidR="00C160C4" w:rsidRPr="00586DD7">
        <w:rPr>
          <w:rFonts w:ascii="Arial" w:hAnsi="Arial" w:cs="Arial"/>
          <w:spacing w:val="0"/>
          <w:sz w:val="22"/>
          <w:szCs w:val="22"/>
        </w:rPr>
        <w:t xml:space="preserve"> along with folliculogenic</w:t>
      </w:r>
      <w:r w:rsidR="00C160C4">
        <w:rPr>
          <w:rFonts w:ascii="Arial" w:hAnsi="Arial" w:cs="Arial"/>
          <w:spacing w:val="0"/>
          <w:sz w:val="22"/>
          <w:szCs w:val="22"/>
        </w:rPr>
        <w:t xml:space="preserve"> </w:t>
      </w:r>
      <w:r w:rsidR="00C160C4" w:rsidRPr="00586DD7">
        <w:rPr>
          <w:rFonts w:ascii="Arial" w:hAnsi="Arial" w:cs="Arial"/>
          <w:spacing w:val="0"/>
          <w:sz w:val="22"/>
          <w:szCs w:val="22"/>
        </w:rPr>
        <w:t>factors (</w:t>
      </w:r>
      <w:r w:rsidR="00C160C4" w:rsidRPr="00586DD7">
        <w:rPr>
          <w:rFonts w:ascii="Arial" w:hAnsi="Arial" w:cs="Arial"/>
          <w:i/>
          <w:iCs/>
          <w:spacing w:val="0"/>
          <w:sz w:val="22"/>
          <w:szCs w:val="22"/>
        </w:rPr>
        <w:t>G</w:t>
      </w:r>
      <w:r w:rsidR="00C160C4" w:rsidRPr="007A6292">
        <w:rPr>
          <w:rFonts w:ascii="Arial" w:hAnsi="Arial" w:cs="Arial"/>
          <w:i/>
          <w:iCs/>
          <w:spacing w:val="0"/>
          <w:sz w:val="22"/>
          <w:szCs w:val="22"/>
        </w:rPr>
        <w:t>df</w:t>
      </w:r>
      <w:r w:rsidR="00C160C4" w:rsidRPr="00586DD7">
        <w:rPr>
          <w:rFonts w:ascii="Arial" w:hAnsi="Arial" w:cs="Arial"/>
          <w:i/>
          <w:iCs/>
          <w:spacing w:val="0"/>
          <w:sz w:val="22"/>
          <w:szCs w:val="22"/>
        </w:rPr>
        <w:t xml:space="preserve">-9 </w:t>
      </w:r>
      <w:r w:rsidR="00C160C4" w:rsidRPr="00586DD7">
        <w:rPr>
          <w:rFonts w:ascii="Arial" w:hAnsi="Arial" w:cs="Arial"/>
          <w:spacing w:val="0"/>
          <w:sz w:val="22"/>
          <w:szCs w:val="22"/>
        </w:rPr>
        <w:t>and</w:t>
      </w:r>
      <w:r w:rsidR="00C160C4" w:rsidRPr="00586DD7">
        <w:rPr>
          <w:rFonts w:ascii="Arial" w:hAnsi="Arial" w:cs="Arial"/>
          <w:i/>
          <w:iCs/>
          <w:spacing w:val="0"/>
          <w:sz w:val="22"/>
          <w:szCs w:val="22"/>
        </w:rPr>
        <w:t xml:space="preserve"> Cox-2</w:t>
      </w:r>
      <w:r w:rsidR="00C160C4" w:rsidRPr="00586DD7">
        <w:rPr>
          <w:rFonts w:ascii="Arial" w:hAnsi="Arial" w:cs="Arial"/>
          <w:spacing w:val="0"/>
          <w:sz w:val="22"/>
          <w:szCs w:val="22"/>
        </w:rPr>
        <w:t>). These data suggest that photoregressed ovaries are able to respond to β-adrenergic stimulation alone, particularly in aspects of steroidogenesis; however, the additional stimulation of gonadotropins is needed to restore actual production of estradiol and ovarian growth</w:t>
      </w:r>
      <w:r w:rsidR="00001A07">
        <w:rPr>
          <w:rFonts w:ascii="Arial" w:hAnsi="Arial" w:cs="Arial"/>
          <w:spacing w:val="0"/>
          <w:sz w:val="22"/>
          <w:szCs w:val="22"/>
        </w:rPr>
        <w:t xml:space="preserve"> in photoregressed ovaries</w:t>
      </w:r>
      <w:r w:rsidR="00C160C4" w:rsidRPr="00586DD7">
        <w:rPr>
          <w:rFonts w:ascii="Arial" w:hAnsi="Arial" w:cs="Arial"/>
          <w:spacing w:val="0"/>
          <w:sz w:val="22"/>
          <w:szCs w:val="22"/>
        </w:rPr>
        <w:t>.</w:t>
      </w:r>
      <w:r w:rsidR="00203A58">
        <w:rPr>
          <w:rFonts w:ascii="Arial" w:hAnsi="Arial" w:cs="Arial"/>
          <w:spacing w:val="0"/>
          <w:sz w:val="22"/>
          <w:szCs w:val="22"/>
        </w:rPr>
        <w:t xml:space="preserve"> </w:t>
      </w:r>
    </w:p>
    <w:p w14:paraId="753DA4CE" w14:textId="77777777" w:rsidR="00C160C4" w:rsidRDefault="00C160C4" w:rsidP="00970E85">
      <w:pPr>
        <w:spacing w:line="480" w:lineRule="auto"/>
        <w:rPr>
          <w:rFonts w:ascii="Arial" w:hAnsi="Arial" w:cs="Arial"/>
          <w:spacing w:val="0"/>
          <w:sz w:val="22"/>
          <w:szCs w:val="22"/>
        </w:rPr>
      </w:pPr>
    </w:p>
    <w:p w14:paraId="1ED80B9B" w14:textId="77777777" w:rsidR="00CD5A31" w:rsidRDefault="00CD5A31">
      <w:pPr>
        <w:tabs>
          <w:tab w:val="clear" w:pos="8640"/>
        </w:tabs>
        <w:jc w:val="left"/>
        <w:rPr>
          <w:rFonts w:ascii="Arial" w:eastAsiaTheme="majorEastAsia" w:hAnsi="Arial" w:cs="Arial"/>
          <w:b/>
          <w:bCs/>
          <w:sz w:val="22"/>
          <w:szCs w:val="22"/>
        </w:rPr>
      </w:pPr>
      <w:r>
        <w:rPr>
          <w:rFonts w:ascii="Arial" w:eastAsiaTheme="majorEastAsia" w:hAnsi="Arial" w:cs="Arial"/>
          <w:b/>
          <w:bCs/>
          <w:sz w:val="22"/>
          <w:szCs w:val="22"/>
        </w:rPr>
        <w:br w:type="page"/>
      </w:r>
    </w:p>
    <w:p w14:paraId="58E86C98" w14:textId="0D194E28" w:rsidR="00001A07" w:rsidRPr="00001A07" w:rsidRDefault="00C160C4" w:rsidP="00001A07">
      <w:pPr>
        <w:pStyle w:val="ListParagraph"/>
        <w:numPr>
          <w:ilvl w:val="0"/>
          <w:numId w:val="2"/>
        </w:numPr>
        <w:spacing w:line="480" w:lineRule="auto"/>
        <w:rPr>
          <w:rFonts w:ascii="Arial" w:hAnsi="Arial" w:cs="Arial"/>
          <w:b/>
          <w:bCs/>
          <w:sz w:val="22"/>
          <w:szCs w:val="22"/>
        </w:rPr>
      </w:pPr>
      <w:r w:rsidRPr="00001A07">
        <w:rPr>
          <w:rFonts w:ascii="Arial" w:eastAsiaTheme="majorEastAsia" w:hAnsi="Arial" w:cs="Arial"/>
          <w:b/>
          <w:bCs/>
          <w:sz w:val="22"/>
          <w:szCs w:val="22"/>
        </w:rPr>
        <w:lastRenderedPageBreak/>
        <w:t>Introduction </w:t>
      </w:r>
      <w:r w:rsidRPr="00001A07">
        <w:rPr>
          <w:rFonts w:ascii="Arial" w:hAnsi="Arial" w:cs="Arial"/>
          <w:b/>
          <w:bCs/>
          <w:sz w:val="22"/>
          <w:szCs w:val="22"/>
        </w:rPr>
        <w:t> </w:t>
      </w:r>
    </w:p>
    <w:p w14:paraId="679AE380" w14:textId="77777777" w:rsidR="009A3357" w:rsidRDefault="00D97457" w:rsidP="00FD3C9C">
      <w:pPr>
        <w:spacing w:line="480" w:lineRule="auto"/>
        <w:rPr>
          <w:rFonts w:ascii="Arial" w:eastAsiaTheme="majorEastAsia" w:hAnsi="Arial" w:cs="Arial"/>
          <w:sz w:val="22"/>
          <w:szCs w:val="22"/>
        </w:rPr>
      </w:pPr>
      <w:r>
        <w:rPr>
          <w:rFonts w:ascii="Arial" w:eastAsiaTheme="majorEastAsia" w:hAnsi="Arial" w:cs="Arial"/>
          <w:sz w:val="22"/>
          <w:szCs w:val="22"/>
        </w:rPr>
        <w:tab/>
      </w:r>
      <w:r w:rsidR="003A4655" w:rsidRPr="00586DD7">
        <w:rPr>
          <w:rFonts w:ascii="Arial" w:hAnsi="Arial" w:cs="Arial"/>
          <w:spacing w:val="0"/>
          <w:sz w:val="22"/>
          <w:szCs w:val="22"/>
        </w:rPr>
        <w:t xml:space="preserve">Culture of ovaries with isoproterenol, a β-adrenergic receptor agonist, increases follicle stimulating hormone receptor and progesterone production, and </w:t>
      </w:r>
      <w:r w:rsidR="003A4655" w:rsidRPr="00586DD7">
        <w:rPr>
          <w:rFonts w:ascii="Arial" w:hAnsi="Arial" w:cs="Arial"/>
          <w:i/>
          <w:iCs/>
          <w:spacing w:val="0"/>
          <w:sz w:val="22"/>
          <w:szCs w:val="22"/>
        </w:rPr>
        <w:t>in vivo</w:t>
      </w:r>
      <w:r w:rsidR="003A4655" w:rsidRPr="00586DD7">
        <w:rPr>
          <w:rFonts w:ascii="Arial" w:hAnsi="Arial" w:cs="Arial"/>
          <w:spacing w:val="0"/>
          <w:sz w:val="22"/>
          <w:szCs w:val="22"/>
        </w:rPr>
        <w:t xml:space="preserve"> exposure to isoproterenol can also increase androgen secretion</w:t>
      </w:r>
      <w:r w:rsidR="003A4655">
        <w:rPr>
          <w:rFonts w:ascii="Arial" w:hAnsi="Arial" w:cs="Arial"/>
          <w:spacing w:val="0"/>
          <w:sz w:val="22"/>
          <w:szCs w:val="22"/>
        </w:rPr>
        <w:t>.</w:t>
      </w:r>
      <w:r w:rsidR="003A4655">
        <w:rPr>
          <w:rFonts w:ascii="Arial" w:eastAsiaTheme="majorEastAsia" w:hAnsi="Arial" w:cs="Arial"/>
          <w:sz w:val="22"/>
          <w:szCs w:val="22"/>
        </w:rPr>
        <w:t xml:space="preserve"> </w:t>
      </w:r>
      <w:r w:rsidR="009648C6" w:rsidRPr="009648C6">
        <w:rPr>
          <w:rFonts w:ascii="Arial" w:eastAsiaTheme="majorEastAsia" w:hAnsi="Arial" w:cs="Arial"/>
          <w:sz w:val="22"/>
          <w:szCs w:val="22"/>
        </w:rPr>
        <w:t xml:space="preserve">Nervous system activation in the ovary is involved in the secretion of sex steroids, like estrogen and progesterone, as well as the development follicles. </w:t>
      </w:r>
      <w:r w:rsidR="00FD3C9C">
        <w:rPr>
          <w:rFonts w:ascii="Arial" w:eastAsiaTheme="majorEastAsia" w:hAnsi="Arial" w:cs="Arial"/>
          <w:sz w:val="22"/>
          <w:szCs w:val="22"/>
        </w:rPr>
        <w:tab/>
      </w:r>
      <w:r w:rsidR="009A3357">
        <w:rPr>
          <w:rFonts w:ascii="Arial" w:eastAsiaTheme="majorEastAsia" w:hAnsi="Arial" w:cs="Arial"/>
          <w:sz w:val="22"/>
          <w:szCs w:val="22"/>
        </w:rPr>
        <w:t xml:space="preserve"> </w:t>
      </w:r>
      <w:r w:rsidR="00FD3C9C" w:rsidRPr="00FD3C9C">
        <w:rPr>
          <w:rFonts w:ascii="Arial" w:eastAsiaTheme="majorEastAsia" w:hAnsi="Arial" w:cs="Arial"/>
          <w:sz w:val="22"/>
          <w:szCs w:val="22"/>
        </w:rPr>
        <w:t>These studies will help to better understand the role of intra-ovarian signaling in the mammalian ovary, as well as provide a unique natural model to study the return of function in quiescent ovaries, similar to what is observed in anorexic women.</w:t>
      </w:r>
      <w:r w:rsidR="00FD3C9C">
        <w:rPr>
          <w:rFonts w:ascii="Arial" w:eastAsiaTheme="majorEastAsia" w:hAnsi="Arial" w:cs="Arial"/>
          <w:sz w:val="22"/>
          <w:szCs w:val="22"/>
        </w:rPr>
        <w:t xml:space="preserve"> </w:t>
      </w:r>
      <w:r w:rsidR="000472AD" w:rsidRPr="000472AD">
        <w:rPr>
          <w:rFonts w:ascii="Arial" w:eastAsiaTheme="majorEastAsia" w:hAnsi="Arial" w:cs="Arial"/>
          <w:sz w:val="22"/>
          <w:szCs w:val="22"/>
        </w:rPr>
        <w:t>Although multiple studies have investigated differences between nonovulatory-SD and cycling-LD ovaries; a systematic investigation of the mechanisms that restore folliculogenesis during recrudescence had not been conducted</w:t>
      </w:r>
      <w:r w:rsidR="00BE230B">
        <w:rPr>
          <w:rFonts w:ascii="Arial" w:eastAsiaTheme="majorEastAsia" w:hAnsi="Arial" w:cs="Arial"/>
          <w:sz w:val="22"/>
          <w:szCs w:val="22"/>
        </w:rPr>
        <w:t>.</w:t>
      </w:r>
      <w:r>
        <w:rPr>
          <w:rFonts w:ascii="Arial" w:eastAsiaTheme="majorEastAsia" w:hAnsi="Arial" w:cs="Arial"/>
          <w:sz w:val="22"/>
          <w:szCs w:val="22"/>
        </w:rPr>
        <w:t xml:space="preserve"> </w:t>
      </w:r>
    </w:p>
    <w:p w14:paraId="3C168F00" w14:textId="77777777" w:rsidR="009A3357" w:rsidRDefault="00C160C4" w:rsidP="00FD3C9C">
      <w:pPr>
        <w:spacing w:line="480" w:lineRule="auto"/>
        <w:rPr>
          <w:rFonts w:ascii="Arial" w:eastAsiaTheme="majorEastAsia" w:hAnsi="Arial" w:cs="Arial"/>
          <w:sz w:val="22"/>
          <w:szCs w:val="22"/>
        </w:rPr>
      </w:pPr>
      <w:r w:rsidRPr="00C160C4">
        <w:rPr>
          <w:rFonts w:ascii="Arial" w:eastAsiaTheme="majorEastAsia" w:hAnsi="Arial" w:cs="Arial"/>
          <w:sz w:val="22"/>
          <w:szCs w:val="22"/>
        </w:rPr>
        <w:t xml:space="preserve">In many species, oocyte maturity and associated intra-ovarian signaling does not transpire uninterrupted. In many seasonal breeding species, photoperiodic and environmental cues are used to synchronize reproductive function with seasonal changes in resources, facilitating  necessary for optimal reproductive success </w:t>
      </w:r>
      <w:r w:rsidR="00BE7C31">
        <w:rPr>
          <w:rFonts w:ascii="Arial" w:eastAsiaTheme="majorEastAsia" w:hAnsi="Arial" w:cs="Arial"/>
          <w:sz w:val="22"/>
          <w:szCs w:val="22"/>
        </w:rPr>
        <w:t>(Glass et al., 1986</w:t>
      </w:r>
      <w:r w:rsidRPr="00C160C4">
        <w:rPr>
          <w:rFonts w:ascii="Arial" w:eastAsiaTheme="majorEastAsia" w:hAnsi="Arial" w:cs="Arial"/>
          <w:sz w:val="22"/>
          <w:szCs w:val="22"/>
        </w:rPr>
        <w:t>).  Siberian hamsters respond to seasonal shifts in photoperiod, the number of hours of light per days, resource accessibility, and energy exertion to physiologically induce or halt reproductive function (</w:t>
      </w:r>
      <w:r w:rsidR="00203A58">
        <w:rPr>
          <w:rFonts w:ascii="Arial" w:eastAsiaTheme="majorEastAsia" w:hAnsi="Arial" w:cs="Arial"/>
          <w:sz w:val="22"/>
          <w:szCs w:val="22"/>
        </w:rPr>
        <w:t>Reiter et al., 1980</w:t>
      </w:r>
      <w:r w:rsidRPr="00C160C4">
        <w:rPr>
          <w:rFonts w:ascii="Arial" w:eastAsiaTheme="majorEastAsia" w:hAnsi="Arial" w:cs="Arial"/>
          <w:sz w:val="22"/>
          <w:szCs w:val="22"/>
        </w:rPr>
        <w:t xml:space="preserve">). </w:t>
      </w:r>
    </w:p>
    <w:p w14:paraId="4878C33F" w14:textId="77777777" w:rsidR="009A3357" w:rsidRDefault="00C160C4" w:rsidP="00FD3C9C">
      <w:pPr>
        <w:spacing w:line="480" w:lineRule="auto"/>
        <w:rPr>
          <w:rFonts w:ascii="Arial" w:eastAsiaTheme="majorEastAsia" w:hAnsi="Arial" w:cs="Arial"/>
          <w:sz w:val="22"/>
          <w:szCs w:val="22"/>
        </w:rPr>
      </w:pPr>
      <w:r w:rsidRPr="00C160C4">
        <w:rPr>
          <w:rFonts w:ascii="Arial" w:eastAsiaTheme="majorEastAsia" w:hAnsi="Arial" w:cs="Arial"/>
          <w:sz w:val="22"/>
          <w:szCs w:val="22"/>
        </w:rPr>
        <w:t>In many long day breeding individuals, photoperiodic Siberian hamsters (</w:t>
      </w:r>
      <w:r w:rsidRPr="00C160C4">
        <w:rPr>
          <w:rFonts w:ascii="Arial" w:eastAsiaTheme="majorEastAsia" w:hAnsi="Arial" w:cs="Arial"/>
          <w:i/>
          <w:iCs/>
          <w:sz w:val="22"/>
          <w:szCs w:val="22"/>
        </w:rPr>
        <w:t>Phodopus sungous</w:t>
      </w:r>
      <w:r w:rsidRPr="00C160C4">
        <w:rPr>
          <w:rFonts w:ascii="Arial" w:eastAsiaTheme="majorEastAsia" w:hAnsi="Arial" w:cs="Arial"/>
          <w:sz w:val="22"/>
          <w:szCs w:val="22"/>
        </w:rPr>
        <w:t xml:space="preserve">), exposure to long photoperiods (&gt;12 hours of light per day) stimulates and maintains ovarian function, whereas exposure to short photoperiods (&lt;12h light/day) depresses secretion of hypothalamic gonadotropin releasing hormone (GnRH) and </w:t>
      </w:r>
      <w:r w:rsidRPr="00C160C4">
        <w:rPr>
          <w:rFonts w:ascii="Arial" w:hAnsi="Arial" w:cs="Arial"/>
          <w:sz w:val="22"/>
          <w:szCs w:val="22"/>
        </w:rPr>
        <w:t>adenohypophyseal</w:t>
      </w:r>
      <w:r w:rsidRPr="00C160C4">
        <w:rPr>
          <w:rFonts w:ascii="Arial" w:eastAsiaTheme="majorEastAsia" w:hAnsi="Arial" w:cs="Arial"/>
          <w:sz w:val="22"/>
          <w:szCs w:val="22"/>
        </w:rPr>
        <w:t xml:space="preserve"> gonadotropins (</w:t>
      </w:r>
      <w:r w:rsidR="002437C7">
        <w:rPr>
          <w:rFonts w:ascii="Arial" w:eastAsiaTheme="majorEastAsia" w:hAnsi="Arial" w:cs="Arial"/>
          <w:sz w:val="22"/>
          <w:szCs w:val="22"/>
        </w:rPr>
        <w:t>Salomon et al</w:t>
      </w:r>
      <w:r w:rsidR="00437D14">
        <w:rPr>
          <w:rFonts w:ascii="Arial" w:eastAsiaTheme="majorEastAsia" w:hAnsi="Arial" w:cs="Arial"/>
          <w:sz w:val="22"/>
          <w:szCs w:val="22"/>
        </w:rPr>
        <w:t>., 2018</w:t>
      </w:r>
      <w:r w:rsidRPr="00C160C4">
        <w:rPr>
          <w:rFonts w:ascii="Arial" w:eastAsiaTheme="majorEastAsia" w:hAnsi="Arial" w:cs="Arial"/>
          <w:sz w:val="22"/>
          <w:szCs w:val="22"/>
        </w:rPr>
        <w:t>). This decline in both follicle stimulating hormone (FSH) and luteinizing hormone (LH) induces reduction in mature follicle formation, ovulation, and plasma concentrations of estradiol (</w:t>
      </w:r>
      <w:r w:rsidR="00FA210E">
        <w:rPr>
          <w:rFonts w:ascii="Arial" w:eastAsiaTheme="majorEastAsia" w:hAnsi="Arial" w:cs="Arial"/>
          <w:sz w:val="22"/>
          <w:szCs w:val="22"/>
        </w:rPr>
        <w:t>Salverson et al., 2008</w:t>
      </w:r>
      <w:r w:rsidRPr="00C160C4">
        <w:rPr>
          <w:rFonts w:ascii="Arial" w:eastAsiaTheme="majorEastAsia" w:hAnsi="Arial" w:cs="Arial"/>
          <w:sz w:val="22"/>
          <w:szCs w:val="22"/>
        </w:rPr>
        <w:t xml:space="preserve">) </w:t>
      </w:r>
      <w:r w:rsidR="00FA210E">
        <w:rPr>
          <w:rFonts w:ascii="Arial" w:eastAsiaTheme="majorEastAsia" w:hAnsi="Arial" w:cs="Arial"/>
          <w:sz w:val="22"/>
          <w:szCs w:val="22"/>
        </w:rPr>
        <w:t>c</w:t>
      </w:r>
      <w:r w:rsidRPr="00C160C4">
        <w:rPr>
          <w:rFonts w:ascii="Arial" w:eastAsiaTheme="majorEastAsia" w:hAnsi="Arial" w:cs="Arial"/>
          <w:sz w:val="22"/>
          <w:szCs w:val="22"/>
        </w:rPr>
        <w:t>oncentrations, and the secretion of gonadotropin- releasing hormone (GnRH). Decreased production of GnRH leads to reduced secretion of luteinizing hormone (LH) and follicle stimulating hormone (FSH), which subsequently compromises both ovarian folliculogenisis and steroidogenesis</w:t>
      </w:r>
      <w:r w:rsidR="002437C7">
        <w:rPr>
          <w:rFonts w:ascii="Arial" w:eastAsiaTheme="majorEastAsia" w:hAnsi="Arial" w:cs="Arial"/>
          <w:sz w:val="22"/>
          <w:szCs w:val="22"/>
        </w:rPr>
        <w:t xml:space="preserve"> </w:t>
      </w:r>
      <w:r w:rsidR="002437C7" w:rsidRPr="00586DD7">
        <w:rPr>
          <w:rFonts w:ascii="Arial" w:hAnsi="Arial" w:cs="Arial"/>
          <w:sz w:val="22"/>
          <w:szCs w:val="22"/>
        </w:rPr>
        <w:t>(Schlatt et al., 1993)</w:t>
      </w:r>
      <w:r w:rsidRPr="00C160C4">
        <w:rPr>
          <w:rFonts w:ascii="Arial" w:eastAsiaTheme="majorEastAsia" w:hAnsi="Arial" w:cs="Arial"/>
          <w:sz w:val="22"/>
          <w:szCs w:val="22"/>
        </w:rPr>
        <w:t xml:space="preserve">. </w:t>
      </w:r>
    </w:p>
    <w:p w14:paraId="5BE73654" w14:textId="77777777" w:rsidR="009A3357" w:rsidRDefault="009A3357" w:rsidP="00FD3C9C">
      <w:pPr>
        <w:spacing w:line="480" w:lineRule="auto"/>
        <w:rPr>
          <w:rFonts w:ascii="Arial" w:eastAsiaTheme="majorEastAsia" w:hAnsi="Arial" w:cs="Arial"/>
          <w:sz w:val="22"/>
          <w:szCs w:val="22"/>
        </w:rPr>
      </w:pPr>
      <w:r>
        <w:rPr>
          <w:rFonts w:ascii="Arial" w:eastAsiaTheme="majorEastAsia" w:hAnsi="Arial" w:cs="Arial"/>
          <w:sz w:val="22"/>
          <w:szCs w:val="22"/>
        </w:rPr>
        <w:tab/>
      </w:r>
      <w:r w:rsidR="00C160C4" w:rsidRPr="00C160C4">
        <w:rPr>
          <w:rFonts w:ascii="Arial" w:eastAsiaTheme="majorEastAsia" w:hAnsi="Arial" w:cs="Arial"/>
          <w:sz w:val="22"/>
          <w:szCs w:val="22"/>
        </w:rPr>
        <w:t>Exposure of photoperiodic adult female Siberian hamsters (</w:t>
      </w:r>
      <w:r w:rsidR="00C160C4" w:rsidRPr="00C160C4">
        <w:rPr>
          <w:rFonts w:ascii="Arial" w:hAnsi="Arial" w:cs="Arial"/>
          <w:i/>
          <w:iCs/>
          <w:sz w:val="22"/>
          <w:szCs w:val="22"/>
        </w:rPr>
        <w:t>Phodopus</w:t>
      </w:r>
      <w:r w:rsidR="00C160C4" w:rsidRPr="00C160C4">
        <w:rPr>
          <w:rFonts w:ascii="Arial" w:eastAsiaTheme="majorEastAsia" w:hAnsi="Arial" w:cs="Arial"/>
          <w:i/>
          <w:iCs/>
          <w:sz w:val="22"/>
          <w:szCs w:val="22"/>
        </w:rPr>
        <w:t xml:space="preserve"> </w:t>
      </w:r>
      <w:r w:rsidR="00C160C4" w:rsidRPr="00C160C4">
        <w:rPr>
          <w:rFonts w:ascii="Arial" w:hAnsi="Arial" w:cs="Arial"/>
          <w:i/>
          <w:iCs/>
          <w:sz w:val="22"/>
          <w:szCs w:val="22"/>
        </w:rPr>
        <w:t>sungous</w:t>
      </w:r>
      <w:r>
        <w:rPr>
          <w:rFonts w:ascii="Arial" w:eastAsiaTheme="majorEastAsia" w:hAnsi="Arial" w:cs="Arial"/>
          <w:sz w:val="22"/>
          <w:szCs w:val="22"/>
        </w:rPr>
        <w:t>)</w:t>
      </w:r>
      <w:r w:rsidR="00C160C4" w:rsidRPr="00C160C4">
        <w:rPr>
          <w:rFonts w:ascii="Arial" w:eastAsiaTheme="majorEastAsia" w:hAnsi="Arial" w:cs="Arial"/>
          <w:sz w:val="22"/>
          <w:szCs w:val="22"/>
        </w:rPr>
        <w:t>, female Siberian hamsters to short day photoperiods (&lt;12h light/day) show a decline in decreases numbers of antral follicles and corpora lutea numbers along with plasma concentrations of FSH, prostaglandin, and estradiol as compared to long day photoperiod exposure (</w:t>
      </w:r>
      <w:r w:rsidR="00BE7C31" w:rsidRPr="00586DD7">
        <w:rPr>
          <w:rFonts w:ascii="Arial" w:hAnsi="Arial" w:cs="Arial"/>
          <w:sz w:val="22"/>
          <w:szCs w:val="22"/>
        </w:rPr>
        <w:t>Moffatt-Blue et al., 2006</w:t>
      </w:r>
      <w:r w:rsidR="00C160C4" w:rsidRPr="00C160C4">
        <w:rPr>
          <w:rFonts w:ascii="Arial" w:eastAsiaTheme="majorEastAsia" w:hAnsi="Arial" w:cs="Arial"/>
          <w:sz w:val="22"/>
          <w:szCs w:val="22"/>
        </w:rPr>
        <w:t>). In contrast, transfer of the photoinhibited hamsters to long photoperiods (&gt;12 hours of light per day) gradually promotes restores reproductive activity through increased FSH secretion leading to ovarian recrudescence</w:t>
      </w:r>
      <w:r w:rsidR="00E83F0E">
        <w:rPr>
          <w:rFonts w:ascii="Arial" w:eastAsiaTheme="majorEastAsia" w:hAnsi="Arial" w:cs="Arial"/>
          <w:sz w:val="22"/>
          <w:szCs w:val="22"/>
        </w:rPr>
        <w:t xml:space="preserve"> </w:t>
      </w:r>
      <w:r w:rsidR="00E83F0E" w:rsidRPr="00586DD7">
        <w:rPr>
          <w:rFonts w:ascii="Arial" w:hAnsi="Arial" w:cs="Arial"/>
          <w:sz w:val="22"/>
          <w:szCs w:val="22"/>
        </w:rPr>
        <w:t>(Salverson et al.,2008)</w:t>
      </w:r>
      <w:r w:rsidR="00C160C4" w:rsidRPr="00C160C4">
        <w:rPr>
          <w:rFonts w:ascii="Arial" w:eastAsiaTheme="majorEastAsia" w:hAnsi="Arial" w:cs="Arial"/>
          <w:sz w:val="22"/>
          <w:szCs w:val="22"/>
        </w:rPr>
        <w:t>. </w:t>
      </w:r>
    </w:p>
    <w:p w14:paraId="501C2AAD" w14:textId="77777777" w:rsidR="00001A07" w:rsidRPr="000472AD" w:rsidRDefault="00FD3C9C" w:rsidP="00FD3C9C">
      <w:pPr>
        <w:spacing w:line="480" w:lineRule="auto"/>
        <w:rPr>
          <w:rFonts w:ascii="Arial" w:eastAsiaTheme="majorEastAsia" w:hAnsi="Arial" w:cs="Arial"/>
          <w:sz w:val="22"/>
          <w:szCs w:val="22"/>
        </w:rPr>
      </w:pPr>
      <w:r w:rsidRPr="00FD3C9C">
        <w:rPr>
          <w:rFonts w:ascii="Arial" w:eastAsiaTheme="majorEastAsia" w:hAnsi="Arial" w:cs="Arial"/>
          <w:sz w:val="22"/>
          <w:szCs w:val="22"/>
        </w:rPr>
        <w:t>While the neuroendocrine regulation of gonadal regression and recrudescence has been well characterized, little is known about intra-ovarian pathways that mediate the seasonal transition between a non-functional ovary to a functional gonad.</w:t>
      </w:r>
      <w:r>
        <w:rPr>
          <w:rFonts w:ascii="Arial" w:eastAsiaTheme="majorEastAsia" w:hAnsi="Arial" w:cs="Arial"/>
          <w:sz w:val="22"/>
          <w:szCs w:val="22"/>
        </w:rPr>
        <w:t xml:space="preserve"> </w:t>
      </w:r>
      <w:r w:rsidR="00C160C4" w:rsidRPr="00C160C4">
        <w:rPr>
          <w:rFonts w:ascii="Arial" w:eastAsiaTheme="majorEastAsia" w:hAnsi="Arial" w:cs="Arial"/>
          <w:sz w:val="22"/>
          <w:szCs w:val="22"/>
        </w:rPr>
        <w:t xml:space="preserve">Our aim was to analyze stimulating photoregressed ovaries </w:t>
      </w:r>
      <w:r w:rsidR="00C160C4" w:rsidRPr="00C160C4">
        <w:rPr>
          <w:rFonts w:ascii="Arial" w:eastAsiaTheme="majorEastAsia" w:hAnsi="Arial" w:cs="Arial"/>
          <w:i/>
          <w:iCs/>
          <w:sz w:val="22"/>
          <w:szCs w:val="22"/>
        </w:rPr>
        <w:t>in vitro</w:t>
      </w:r>
      <w:r w:rsidR="00C160C4" w:rsidRPr="00C160C4">
        <w:rPr>
          <w:rFonts w:ascii="Arial" w:eastAsiaTheme="majorEastAsia" w:hAnsi="Arial" w:cs="Arial"/>
          <w:sz w:val="22"/>
          <w:szCs w:val="22"/>
        </w:rPr>
        <w:t xml:space="preserve"> with isoproterenol, a neural system stimulant, with or without hormones gonadotropin stimulation of that stimulate follicle growth and estradiol production</w:t>
      </w:r>
      <w:r w:rsidR="00001A07">
        <w:rPr>
          <w:rFonts w:ascii="Arial" w:eastAsiaTheme="majorEastAsia" w:hAnsi="Arial" w:cs="Arial"/>
          <w:sz w:val="22"/>
          <w:szCs w:val="22"/>
        </w:rPr>
        <w:t>.</w:t>
      </w:r>
      <w:r>
        <w:rPr>
          <w:rFonts w:ascii="Arial" w:eastAsiaTheme="majorEastAsia" w:hAnsi="Arial" w:cs="Arial"/>
          <w:sz w:val="22"/>
          <w:szCs w:val="22"/>
        </w:rPr>
        <w:t xml:space="preserve"> </w:t>
      </w:r>
      <w:r w:rsidR="00C160C4" w:rsidRPr="00C160C4">
        <w:rPr>
          <w:rFonts w:ascii="Arial" w:eastAsiaTheme="majorEastAsia" w:hAnsi="Arial" w:cs="Arial"/>
          <w:sz w:val="22"/>
          <w:szCs w:val="22"/>
        </w:rPr>
        <w:t>We hypothesized that culture with ISO, would potentially recapitulate aspects of photostimulated recrudescence as opposed to untreated ovaries; specifically impacting estradiol production as well as the expression of genes associated with the return of folliculogenesis and steroidogenesis.</w:t>
      </w:r>
      <w:r w:rsidR="00C160C4" w:rsidRPr="00C160C4">
        <w:rPr>
          <w:rFonts w:ascii="Arial" w:hAnsi="Arial" w:cs="Arial"/>
          <w:sz w:val="22"/>
          <w:szCs w:val="22"/>
        </w:rPr>
        <w:t> </w:t>
      </w:r>
    </w:p>
    <w:p w14:paraId="639E19D8" w14:textId="77777777" w:rsidR="00001A07" w:rsidRDefault="00001A07" w:rsidP="00001A07">
      <w:pPr>
        <w:spacing w:line="480" w:lineRule="auto"/>
        <w:rPr>
          <w:rFonts w:ascii="Arial" w:hAnsi="Arial" w:cs="Arial"/>
          <w:sz w:val="22"/>
          <w:szCs w:val="22"/>
        </w:rPr>
      </w:pPr>
    </w:p>
    <w:p w14:paraId="49A00806" w14:textId="0A5B77DC" w:rsidR="00001A07" w:rsidRPr="00CD5A31" w:rsidRDefault="00D97457" w:rsidP="00001A07">
      <w:pPr>
        <w:pStyle w:val="ListParagraph"/>
        <w:numPr>
          <w:ilvl w:val="0"/>
          <w:numId w:val="2"/>
        </w:numPr>
        <w:spacing w:line="480" w:lineRule="auto"/>
        <w:rPr>
          <w:rFonts w:ascii="Arial" w:hAnsi="Arial" w:cs="Arial"/>
          <w:b/>
          <w:bCs/>
        </w:rPr>
      </w:pPr>
      <w:r>
        <w:rPr>
          <w:rFonts w:ascii="Arial" w:hAnsi="Arial" w:cs="Arial"/>
          <w:b/>
          <w:bCs/>
        </w:rPr>
        <w:t>Materials and Methods</w:t>
      </w:r>
    </w:p>
    <w:p w14:paraId="1B60A579" w14:textId="77777777" w:rsidR="00C160C4" w:rsidRPr="00C160C4" w:rsidRDefault="00D97457" w:rsidP="00970E85">
      <w:pPr>
        <w:pStyle w:val="BodyText"/>
        <w:spacing w:line="480" w:lineRule="auto"/>
        <w:rPr>
          <w:rFonts w:ascii="Arial" w:hAnsi="Arial" w:cs="Arial"/>
          <w:i/>
          <w:iCs/>
          <w:sz w:val="22"/>
          <w:szCs w:val="22"/>
        </w:rPr>
      </w:pPr>
      <w:r>
        <w:rPr>
          <w:rFonts w:ascii="Arial" w:hAnsi="Arial" w:cs="Arial"/>
          <w:i/>
          <w:iCs/>
          <w:sz w:val="22"/>
          <w:szCs w:val="22"/>
        </w:rPr>
        <w:t xml:space="preserve">2.1 </w:t>
      </w:r>
      <w:r w:rsidR="00C160C4" w:rsidRPr="00C160C4">
        <w:rPr>
          <w:rFonts w:ascii="Arial" w:hAnsi="Arial" w:cs="Arial"/>
          <w:i/>
          <w:iCs/>
          <w:sz w:val="22"/>
          <w:szCs w:val="22"/>
        </w:rPr>
        <w:t>Animals</w:t>
      </w:r>
    </w:p>
    <w:p w14:paraId="65B8DDE2" w14:textId="77777777" w:rsidR="00C160C4" w:rsidRPr="00C160C4" w:rsidRDefault="009A3357" w:rsidP="00970E85">
      <w:pPr>
        <w:tabs>
          <w:tab w:val="clear" w:pos="8640"/>
        </w:tabs>
        <w:spacing w:line="480" w:lineRule="auto"/>
        <w:jc w:val="left"/>
        <w:rPr>
          <w:rFonts w:ascii="Arial" w:hAnsi="Arial" w:cs="Arial"/>
          <w:spacing w:val="0"/>
          <w:sz w:val="22"/>
          <w:szCs w:val="22"/>
        </w:rPr>
      </w:pPr>
      <w:r>
        <w:rPr>
          <w:rFonts w:ascii="Arial" w:hAnsi="Arial" w:cs="Arial"/>
          <w:color w:val="000000"/>
          <w:spacing w:val="0"/>
          <w:sz w:val="22"/>
          <w:szCs w:val="22"/>
        </w:rPr>
        <w:t>F</w:t>
      </w:r>
      <w:r w:rsidR="00C160C4" w:rsidRPr="00C160C4">
        <w:rPr>
          <w:rFonts w:ascii="Arial" w:hAnsi="Arial" w:cs="Arial"/>
          <w:color w:val="000000"/>
          <w:spacing w:val="0"/>
          <w:sz w:val="22"/>
          <w:szCs w:val="22"/>
        </w:rPr>
        <w:t>emale Siberian hamsters</w:t>
      </w:r>
      <w:r>
        <w:rPr>
          <w:rFonts w:ascii="Arial" w:hAnsi="Arial" w:cs="Arial"/>
          <w:color w:val="000000"/>
          <w:spacing w:val="0"/>
          <w:sz w:val="22"/>
          <w:szCs w:val="22"/>
        </w:rPr>
        <w:t xml:space="preserve"> (n=16)</w:t>
      </w:r>
      <w:r w:rsidR="00C160C4" w:rsidRPr="00C160C4">
        <w:rPr>
          <w:rFonts w:ascii="Arial" w:hAnsi="Arial" w:cs="Arial"/>
          <w:color w:val="000000"/>
          <w:spacing w:val="0"/>
          <w:sz w:val="22"/>
          <w:szCs w:val="22"/>
        </w:rPr>
        <w:t xml:space="preserve"> obtained from our breeding colony were treated in compliance with California State University Long Beach and NRC guidelines for the use of laboratory animals, and under the requirements of approved CSULB IACUC protocol #316. All animals were housed in individual polypropylene cages prepared with bedding and tap water, and were given </w:t>
      </w:r>
      <w:r w:rsidR="00C160C4" w:rsidRPr="00C160C4">
        <w:rPr>
          <w:rFonts w:ascii="Arial" w:hAnsi="Arial" w:cs="Arial"/>
          <w:i/>
          <w:iCs/>
          <w:color w:val="000000"/>
          <w:spacing w:val="0"/>
          <w:sz w:val="22"/>
          <w:szCs w:val="22"/>
        </w:rPr>
        <w:t xml:space="preserve">ad libitum </w:t>
      </w:r>
      <w:r w:rsidR="00C160C4" w:rsidRPr="00C160C4">
        <w:rPr>
          <w:rFonts w:ascii="Arial" w:hAnsi="Arial" w:cs="Arial"/>
          <w:color w:val="000000"/>
          <w:spacing w:val="0"/>
          <w:sz w:val="22"/>
          <w:szCs w:val="22"/>
        </w:rPr>
        <w:t xml:space="preserve"> access to food ( Laboratory Rodent Diet 5001 from LabDiet, St. Louis, MO) and water</w:t>
      </w:r>
      <w:r w:rsidR="00BE230B">
        <w:rPr>
          <w:rFonts w:ascii="Arial" w:hAnsi="Arial" w:cs="Arial"/>
          <w:color w:val="000000"/>
          <w:spacing w:val="0"/>
          <w:sz w:val="22"/>
          <w:szCs w:val="22"/>
        </w:rPr>
        <w:t xml:space="preserve">. </w:t>
      </w:r>
      <w:r w:rsidR="00C160C4" w:rsidRPr="00C160C4">
        <w:rPr>
          <w:rFonts w:ascii="Arial" w:hAnsi="Arial" w:cs="Arial"/>
          <w:color w:val="000000"/>
          <w:spacing w:val="0"/>
          <w:sz w:val="22"/>
          <w:szCs w:val="22"/>
        </w:rPr>
        <w:t xml:space="preserve">Adult female Siberian hamsters were exposed to short day (8L:16D) photoperiods for 16 weeks to induce gonadal regression. At week 16 tissues were collected, ovaries were weighed and dissected. Isolated ovaries were then cultured for 10 days in one of four treatment groups: standard media (no treatment, NT); gonadotropins (follicle stimulating hormone and luteinizing hormone, GT); isoproterenol (20mM, ISO); or isoproterenol plus gonadotropins (ISO+GT). One ovary was fixed in 10% neutral buffered formalin for several days; the contralateral ovary was flash frozen for mRNA extraction. </w:t>
      </w:r>
    </w:p>
    <w:p w14:paraId="00251985" w14:textId="77777777" w:rsidR="00C160C4" w:rsidRDefault="00C160C4" w:rsidP="00970E85">
      <w:pPr>
        <w:spacing w:line="480" w:lineRule="auto"/>
        <w:rPr>
          <w:rFonts w:ascii="Arial" w:hAnsi="Arial" w:cs="Arial"/>
          <w:sz w:val="22"/>
          <w:szCs w:val="22"/>
        </w:rPr>
      </w:pPr>
    </w:p>
    <w:p w14:paraId="2A50C4CE" w14:textId="77777777" w:rsidR="00C160C4" w:rsidRPr="007A6292" w:rsidRDefault="00D97457" w:rsidP="00970E85">
      <w:pPr>
        <w:pStyle w:val="BodyText"/>
        <w:spacing w:line="480" w:lineRule="auto"/>
        <w:rPr>
          <w:rFonts w:ascii="Arial" w:hAnsi="Arial" w:cs="Arial"/>
          <w:i/>
          <w:iCs/>
          <w:sz w:val="22"/>
          <w:szCs w:val="22"/>
        </w:rPr>
      </w:pPr>
      <w:r>
        <w:rPr>
          <w:rFonts w:ascii="Arial" w:hAnsi="Arial" w:cs="Arial"/>
          <w:i/>
          <w:iCs/>
          <w:sz w:val="22"/>
          <w:szCs w:val="22"/>
        </w:rPr>
        <w:t xml:space="preserve">2.2 </w:t>
      </w:r>
      <w:r w:rsidR="00C160C4" w:rsidRPr="007A6292">
        <w:rPr>
          <w:rFonts w:ascii="Arial" w:hAnsi="Arial" w:cs="Arial"/>
          <w:i/>
          <w:iCs/>
          <w:sz w:val="22"/>
          <w:szCs w:val="22"/>
        </w:rPr>
        <w:t>cDNA synthesis and RT-PCR</w:t>
      </w:r>
    </w:p>
    <w:p w14:paraId="779AE33B" w14:textId="77777777" w:rsidR="00C160C4" w:rsidRDefault="00C160C4" w:rsidP="00970E85">
      <w:pPr>
        <w:spacing w:line="480" w:lineRule="auto"/>
        <w:rPr>
          <w:rFonts w:ascii="Arial" w:hAnsi="Arial" w:cs="Arial"/>
          <w:sz w:val="22"/>
          <w:szCs w:val="22"/>
        </w:rPr>
      </w:pPr>
      <w:r w:rsidRPr="007A6292">
        <w:rPr>
          <w:rFonts w:ascii="Arial" w:hAnsi="Arial" w:cs="Arial"/>
          <w:sz w:val="22"/>
          <w:szCs w:val="22"/>
        </w:rPr>
        <w:t xml:space="preserve">Trizol LS reagent (Invitrogen Life Technologies, Carlsbad, CA) was used to extract total RNA from the ovaries as per manufacturer’s protocol. Samples were treated with DNase to remove all potential DNA contamination. One microgram of total RNA was used for cDNA synthesis using the ImProm Reverse Transcription System according to </w:t>
      </w:r>
      <w:r w:rsidR="00BE230B" w:rsidRPr="007A6292">
        <w:rPr>
          <w:rFonts w:ascii="Arial" w:hAnsi="Arial" w:cs="Arial"/>
          <w:sz w:val="22"/>
          <w:szCs w:val="22"/>
        </w:rPr>
        <w:t>manufacturer’s</w:t>
      </w:r>
      <w:r w:rsidRPr="007A6292">
        <w:rPr>
          <w:rFonts w:ascii="Arial" w:hAnsi="Arial" w:cs="Arial"/>
          <w:sz w:val="22"/>
          <w:szCs w:val="22"/>
        </w:rPr>
        <w:t xml:space="preserve"> instructions. (Promega, Madison,WI). For PCR analysis, cDNA was diluted 1:5 with DNase/ RNase free water. Relative real-time PCR System (Applied Biosystems Thermo Fisher, Waltham, MA) with no changes to dNTP or MgCl</w:t>
      </w:r>
      <w:r w:rsidRPr="007A6292">
        <w:rPr>
          <w:rFonts w:ascii="Arial" w:hAnsi="Arial" w:cs="Arial"/>
          <w:sz w:val="22"/>
          <w:szCs w:val="22"/>
          <w:vertAlign w:val="subscript"/>
        </w:rPr>
        <w:t>2</w:t>
      </w:r>
      <w:r w:rsidRPr="007A6292">
        <w:rPr>
          <w:rFonts w:ascii="Arial" w:hAnsi="Arial" w:cs="Arial"/>
          <w:sz w:val="22"/>
          <w:szCs w:val="22"/>
        </w:rPr>
        <w:t xml:space="preserve"> concentrations. The PCR reaction mix contained 1 </w:t>
      </w:r>
      <w:r w:rsidRPr="007A6292">
        <w:rPr>
          <w:rFonts w:ascii="Arial" w:hAnsi="Arial" w:cs="Arial"/>
          <w:sz w:val="22"/>
          <w:szCs w:val="22"/>
        </w:rPr>
        <w:sym w:font="Symbol" w:char="F06D"/>
      </w:r>
      <w:r w:rsidRPr="007A6292">
        <w:rPr>
          <w:rFonts w:ascii="Arial" w:hAnsi="Arial" w:cs="Arial"/>
          <w:sz w:val="22"/>
          <w:szCs w:val="22"/>
        </w:rPr>
        <w:t xml:space="preserve">l cDNA + 1 </w:t>
      </w:r>
      <w:r w:rsidRPr="007A6292">
        <w:rPr>
          <w:rFonts w:ascii="Arial" w:hAnsi="Arial" w:cs="Arial"/>
          <w:sz w:val="22"/>
          <w:szCs w:val="22"/>
        </w:rPr>
        <w:sym w:font="Symbol" w:char="F06D"/>
      </w:r>
      <w:r w:rsidRPr="007A6292">
        <w:rPr>
          <w:rFonts w:ascii="Arial" w:hAnsi="Arial" w:cs="Arial"/>
          <w:sz w:val="22"/>
          <w:szCs w:val="22"/>
        </w:rPr>
        <w:t xml:space="preserve">l  each of forward and reverse primers (80nM concentration) + 6 </w:t>
      </w:r>
      <w:r w:rsidRPr="007A6292">
        <w:rPr>
          <w:rFonts w:ascii="Arial" w:hAnsi="Arial" w:cs="Arial"/>
          <w:sz w:val="22"/>
          <w:szCs w:val="22"/>
        </w:rPr>
        <w:sym w:font="Symbol" w:char="F06D"/>
      </w:r>
      <w:r w:rsidRPr="007A6292">
        <w:rPr>
          <w:rFonts w:ascii="Arial" w:hAnsi="Arial" w:cs="Arial"/>
          <w:sz w:val="22"/>
          <w:szCs w:val="22"/>
        </w:rPr>
        <w:t xml:space="preserve">l SYBRgreen mix +3 </w:t>
      </w:r>
      <w:r w:rsidRPr="007A6292">
        <w:rPr>
          <w:rFonts w:ascii="Arial" w:hAnsi="Arial" w:cs="Arial"/>
          <w:sz w:val="22"/>
          <w:szCs w:val="22"/>
        </w:rPr>
        <w:sym w:font="Symbol" w:char="F06D"/>
      </w:r>
      <w:r w:rsidRPr="007A6292">
        <w:rPr>
          <w:rFonts w:ascii="Arial" w:hAnsi="Arial" w:cs="Arial"/>
          <w:sz w:val="22"/>
          <w:szCs w:val="22"/>
        </w:rPr>
        <w:t xml:space="preserve">l water to a total volume of 12 </w:t>
      </w:r>
      <w:r w:rsidRPr="007A6292">
        <w:rPr>
          <w:rFonts w:ascii="Arial" w:hAnsi="Arial" w:cs="Arial"/>
          <w:sz w:val="22"/>
          <w:szCs w:val="22"/>
        </w:rPr>
        <w:sym w:font="Symbol" w:char="F06D"/>
      </w:r>
      <w:r w:rsidRPr="007A6292">
        <w:rPr>
          <w:rFonts w:ascii="Arial" w:hAnsi="Arial" w:cs="Arial"/>
          <w:sz w:val="22"/>
          <w:szCs w:val="22"/>
        </w:rPr>
        <w:t xml:space="preserve">l. PCR cycles consisted of a 15 min hold at 95 </w:t>
      </w:r>
      <w:r w:rsidRPr="007A6292">
        <w:rPr>
          <w:rFonts w:ascii="Arial" w:hAnsi="Arial" w:cs="Arial"/>
          <w:sz w:val="22"/>
          <w:szCs w:val="22"/>
        </w:rPr>
        <w:sym w:font="Symbol" w:char="F0B0"/>
      </w:r>
      <w:r w:rsidRPr="007A6292">
        <w:rPr>
          <w:rFonts w:ascii="Arial" w:hAnsi="Arial" w:cs="Arial"/>
          <w:sz w:val="22"/>
          <w:szCs w:val="22"/>
        </w:rPr>
        <w:t xml:space="preserve">C (1 cycle), then </w:t>
      </w:r>
      <w:r w:rsidRPr="00492F3E">
        <w:rPr>
          <w:rFonts w:ascii="Arial" w:hAnsi="Arial" w:cs="Arial"/>
          <w:sz w:val="22"/>
          <w:szCs w:val="22"/>
        </w:rPr>
        <w:t>40 amplification cycles</w:t>
      </w:r>
      <w:r w:rsidR="00492F3E">
        <w:rPr>
          <w:rFonts w:ascii="Arial" w:hAnsi="Arial" w:cs="Arial"/>
          <w:sz w:val="22"/>
          <w:szCs w:val="22"/>
        </w:rPr>
        <w:t xml:space="preserve">(e.g, amplification number closer or above 40 indicates low gene expression) </w:t>
      </w:r>
      <w:r w:rsidRPr="00492F3E">
        <w:rPr>
          <w:rFonts w:ascii="Arial" w:hAnsi="Arial" w:cs="Arial"/>
          <w:sz w:val="22"/>
          <w:szCs w:val="22"/>
        </w:rPr>
        <w:t xml:space="preserve">at </w:t>
      </w:r>
      <w:r w:rsidRPr="007A6292">
        <w:rPr>
          <w:rFonts w:ascii="Arial" w:hAnsi="Arial" w:cs="Arial"/>
          <w:sz w:val="22"/>
          <w:szCs w:val="22"/>
        </w:rPr>
        <w:t xml:space="preserve">an appropriate melting temperature, extension (1 min at 72 </w:t>
      </w:r>
      <w:r w:rsidRPr="007A6292">
        <w:rPr>
          <w:rFonts w:ascii="Arial" w:hAnsi="Arial" w:cs="Arial"/>
          <w:sz w:val="22"/>
          <w:szCs w:val="22"/>
        </w:rPr>
        <w:sym w:font="Symbol" w:char="F0B0"/>
      </w:r>
      <w:r w:rsidRPr="007A6292">
        <w:rPr>
          <w:rFonts w:ascii="Arial" w:hAnsi="Arial" w:cs="Arial"/>
          <w:sz w:val="22"/>
          <w:szCs w:val="22"/>
        </w:rPr>
        <w:t xml:space="preserve">C) followed by dissociation. Melt curves for all products were produced to identify the pretense of non-specific products, and efficiency ranged from 90 to 96% for all reactions. Non-template negative controls were included in each PCR analysis. For the standard curve, cDNA from all samples was pooled and a 4-point curve was included with each run. The standard curve was used to calculate the relative amounts of mRNA expression. Ratios of the values for the genes of interest compared to the mRNA expression of reference  glyceraldehyde 3-phospate dehydrogenase (Gapdh) were analyzed for statistical differences. </w:t>
      </w:r>
    </w:p>
    <w:p w14:paraId="0C0C5934" w14:textId="77777777" w:rsidR="00294AD2" w:rsidRPr="007A6292" w:rsidRDefault="00294AD2" w:rsidP="00970E85">
      <w:pPr>
        <w:spacing w:line="480" w:lineRule="auto"/>
        <w:rPr>
          <w:rFonts w:ascii="Arial" w:hAnsi="Arial" w:cs="Arial"/>
          <w:sz w:val="22"/>
          <w:szCs w:val="22"/>
        </w:rPr>
      </w:pPr>
    </w:p>
    <w:p w14:paraId="50C6E2A7" w14:textId="77777777" w:rsidR="00D97457" w:rsidRPr="00D97457" w:rsidRDefault="00D97457" w:rsidP="00D97457">
      <w:pPr>
        <w:tabs>
          <w:tab w:val="clear" w:pos="8640"/>
        </w:tabs>
        <w:autoSpaceDE w:val="0"/>
        <w:autoSpaceDN w:val="0"/>
        <w:adjustRightInd w:val="0"/>
        <w:spacing w:line="480" w:lineRule="auto"/>
        <w:rPr>
          <w:rFonts w:ascii="Arial" w:eastAsiaTheme="minorHAnsi" w:hAnsi="Arial" w:cs="Arial"/>
          <w:i/>
          <w:iCs/>
          <w:color w:val="000000"/>
          <w:spacing w:val="0"/>
          <w:sz w:val="22"/>
          <w:szCs w:val="22"/>
        </w:rPr>
      </w:pPr>
      <w:r w:rsidRPr="00D97457">
        <w:rPr>
          <w:rFonts w:ascii="Arial" w:eastAsiaTheme="minorHAnsi" w:hAnsi="Arial" w:cs="Arial"/>
          <w:i/>
          <w:iCs/>
          <w:color w:val="000000"/>
          <w:spacing w:val="0"/>
          <w:sz w:val="22"/>
          <w:szCs w:val="22"/>
        </w:rPr>
        <w:t>2.3 Follicle stimulating hormone and estradiol immunoassays</w:t>
      </w:r>
    </w:p>
    <w:p w14:paraId="78F1F46F" w14:textId="77777777" w:rsidR="00C160C4" w:rsidRPr="00B779DE" w:rsidRDefault="00D97457" w:rsidP="00B779DE">
      <w:pPr>
        <w:tabs>
          <w:tab w:val="clear" w:pos="8640"/>
        </w:tabs>
        <w:autoSpaceDE w:val="0"/>
        <w:autoSpaceDN w:val="0"/>
        <w:adjustRightInd w:val="0"/>
        <w:spacing w:line="480" w:lineRule="auto"/>
        <w:rPr>
          <w:rFonts w:ascii="Arial" w:eastAsiaTheme="minorHAnsi" w:hAnsi="Arial" w:cs="Arial"/>
          <w:color w:val="000000"/>
          <w:spacing w:val="0"/>
          <w:sz w:val="22"/>
          <w:szCs w:val="22"/>
        </w:rPr>
      </w:pPr>
      <w:r w:rsidRPr="00D97457">
        <w:rPr>
          <w:rFonts w:ascii="Arial" w:eastAsiaTheme="minorHAnsi" w:hAnsi="Arial" w:cs="Arial"/>
          <w:color w:val="000000"/>
          <w:spacing w:val="0"/>
          <w:sz w:val="22"/>
          <w:szCs w:val="22"/>
        </w:rPr>
        <w:t>F</w:t>
      </w:r>
      <w:r>
        <w:rPr>
          <w:rFonts w:ascii="Arial" w:eastAsiaTheme="minorHAnsi" w:hAnsi="Arial" w:cs="Arial"/>
          <w:color w:val="000000"/>
          <w:spacing w:val="0"/>
          <w:sz w:val="22"/>
          <w:szCs w:val="22"/>
        </w:rPr>
        <w:t>ollicle stimulating hormone</w:t>
      </w:r>
      <w:r w:rsidRPr="00D97457">
        <w:rPr>
          <w:rFonts w:ascii="Arial" w:eastAsiaTheme="minorHAnsi" w:hAnsi="Arial" w:cs="Arial"/>
          <w:color w:val="000000"/>
          <w:spacing w:val="0"/>
          <w:sz w:val="22"/>
          <w:szCs w:val="22"/>
        </w:rPr>
        <w:t xml:space="preserve"> and estradiol levels were determined by enzyme</w:t>
      </w:r>
      <w:r>
        <w:rPr>
          <w:rFonts w:ascii="Arial" w:eastAsiaTheme="minorHAnsi" w:hAnsi="Arial" w:cs="Arial"/>
          <w:color w:val="000000"/>
          <w:spacing w:val="0"/>
          <w:sz w:val="22"/>
          <w:szCs w:val="22"/>
        </w:rPr>
        <w:t xml:space="preserve"> </w:t>
      </w:r>
      <w:r w:rsidRPr="00D97457">
        <w:rPr>
          <w:rFonts w:ascii="Arial" w:eastAsiaTheme="minorHAnsi" w:hAnsi="Arial" w:cs="Arial"/>
          <w:color w:val="000000"/>
          <w:spacing w:val="0"/>
          <w:sz w:val="22"/>
          <w:szCs w:val="22"/>
        </w:rPr>
        <w:t>immunoassay using FSH ELISA and Estradiol ELISA kits (Caymen</w:t>
      </w:r>
      <w:r>
        <w:rPr>
          <w:rFonts w:ascii="Arial" w:eastAsiaTheme="minorHAnsi" w:hAnsi="Arial" w:cs="Arial"/>
          <w:color w:val="000000"/>
          <w:spacing w:val="0"/>
          <w:sz w:val="22"/>
          <w:szCs w:val="22"/>
        </w:rPr>
        <w:t xml:space="preserve"> </w:t>
      </w:r>
      <w:r w:rsidRPr="00D97457">
        <w:rPr>
          <w:rFonts w:ascii="Arial" w:eastAsiaTheme="minorHAnsi" w:hAnsi="Arial" w:cs="Arial"/>
          <w:color w:val="000000"/>
          <w:spacing w:val="0"/>
          <w:sz w:val="22"/>
          <w:szCs w:val="22"/>
        </w:rPr>
        <w:t>Chemical, MI) following</w:t>
      </w:r>
      <w:r>
        <w:rPr>
          <w:rFonts w:ascii="Arial" w:eastAsiaTheme="minorHAnsi" w:hAnsi="Arial" w:cs="Arial"/>
          <w:color w:val="000000"/>
          <w:spacing w:val="0"/>
          <w:sz w:val="22"/>
          <w:szCs w:val="22"/>
        </w:rPr>
        <w:t xml:space="preserve"> all provided inst</w:t>
      </w:r>
      <w:r w:rsidR="006B76A0">
        <w:rPr>
          <w:rFonts w:ascii="Arial" w:eastAsiaTheme="minorHAnsi" w:hAnsi="Arial" w:cs="Arial"/>
          <w:color w:val="000000"/>
          <w:spacing w:val="0"/>
          <w:sz w:val="22"/>
          <w:szCs w:val="22"/>
        </w:rPr>
        <w:t>r</w:t>
      </w:r>
      <w:r>
        <w:rPr>
          <w:rFonts w:ascii="Arial" w:eastAsiaTheme="minorHAnsi" w:hAnsi="Arial" w:cs="Arial"/>
          <w:color w:val="000000"/>
          <w:spacing w:val="0"/>
          <w:sz w:val="22"/>
          <w:szCs w:val="22"/>
        </w:rPr>
        <w:t>uctions</w:t>
      </w:r>
      <w:r w:rsidRPr="00D97457">
        <w:rPr>
          <w:rFonts w:ascii="Arial" w:eastAsiaTheme="minorHAnsi" w:hAnsi="Arial" w:cs="Arial"/>
          <w:color w:val="000000"/>
          <w:spacing w:val="0"/>
          <w:sz w:val="22"/>
          <w:szCs w:val="22"/>
        </w:rPr>
        <w:t>. All plasma</w:t>
      </w:r>
      <w:r>
        <w:rPr>
          <w:rFonts w:ascii="Arial" w:eastAsiaTheme="minorHAnsi" w:hAnsi="Arial" w:cs="Arial"/>
          <w:color w:val="000000"/>
          <w:spacing w:val="0"/>
          <w:sz w:val="22"/>
          <w:szCs w:val="22"/>
        </w:rPr>
        <w:t xml:space="preserve"> </w:t>
      </w:r>
      <w:r w:rsidRPr="00D97457">
        <w:rPr>
          <w:rFonts w:ascii="Arial" w:eastAsiaTheme="minorHAnsi" w:hAnsi="Arial" w:cs="Arial"/>
          <w:color w:val="000000"/>
          <w:spacing w:val="0"/>
          <w:sz w:val="22"/>
          <w:szCs w:val="22"/>
        </w:rPr>
        <w:t>samples and standard curves were run in duplicate per kit instructions,</w:t>
      </w:r>
      <w:r>
        <w:rPr>
          <w:rFonts w:ascii="Arial" w:eastAsiaTheme="minorHAnsi" w:hAnsi="Arial" w:cs="Arial"/>
          <w:color w:val="000000"/>
          <w:spacing w:val="0"/>
          <w:sz w:val="22"/>
          <w:szCs w:val="22"/>
        </w:rPr>
        <w:t xml:space="preserve"> </w:t>
      </w:r>
      <w:r w:rsidRPr="00D97457">
        <w:rPr>
          <w:rFonts w:ascii="Arial" w:eastAsiaTheme="minorHAnsi" w:hAnsi="Arial" w:cs="Arial"/>
          <w:color w:val="000000"/>
          <w:spacing w:val="0"/>
          <w:sz w:val="22"/>
          <w:szCs w:val="22"/>
        </w:rPr>
        <w:t>and R2 values from the standard curves were 0.97 and 0.98</w:t>
      </w:r>
      <w:r>
        <w:rPr>
          <w:rFonts w:ascii="Arial" w:eastAsiaTheme="minorHAnsi" w:hAnsi="Arial" w:cs="Arial"/>
          <w:color w:val="000000"/>
          <w:spacing w:val="0"/>
          <w:sz w:val="22"/>
          <w:szCs w:val="22"/>
        </w:rPr>
        <w:t xml:space="preserve"> </w:t>
      </w:r>
      <w:r w:rsidRPr="00D97457">
        <w:rPr>
          <w:rFonts w:ascii="Arial" w:eastAsiaTheme="minorHAnsi" w:hAnsi="Arial" w:cs="Arial"/>
          <w:color w:val="000000" w:themeColor="text1"/>
          <w:spacing w:val="0"/>
          <w:sz w:val="22"/>
          <w:szCs w:val="22"/>
        </w:rPr>
        <w:t>for FSH and 17b-estradiol, respectively. Reported intra-assay coefficient</w:t>
      </w:r>
      <w:r>
        <w:rPr>
          <w:rFonts w:ascii="Arial" w:eastAsiaTheme="minorHAnsi" w:hAnsi="Arial" w:cs="Arial"/>
          <w:color w:val="000000"/>
          <w:spacing w:val="0"/>
          <w:sz w:val="22"/>
          <w:szCs w:val="22"/>
        </w:rPr>
        <w:t xml:space="preserve"> </w:t>
      </w:r>
      <w:r w:rsidRPr="00D97457">
        <w:rPr>
          <w:rFonts w:ascii="Arial" w:eastAsiaTheme="minorHAnsi" w:hAnsi="Arial" w:cs="Arial"/>
          <w:color w:val="000000" w:themeColor="text1"/>
          <w:spacing w:val="0"/>
          <w:sz w:val="22"/>
          <w:szCs w:val="22"/>
        </w:rPr>
        <w:t>of variation (%CV) values are between 8.5–9.4 for FSH and</w:t>
      </w:r>
      <w:r>
        <w:rPr>
          <w:rFonts w:ascii="Arial" w:eastAsiaTheme="minorHAnsi" w:hAnsi="Arial" w:cs="Arial"/>
          <w:color w:val="000000"/>
          <w:spacing w:val="0"/>
          <w:sz w:val="22"/>
          <w:szCs w:val="22"/>
        </w:rPr>
        <w:t xml:space="preserve"> </w:t>
      </w:r>
      <w:r w:rsidRPr="00D97457">
        <w:rPr>
          <w:rFonts w:ascii="Arial" w:eastAsiaTheme="minorHAnsi" w:hAnsi="Arial" w:cs="Arial"/>
          <w:color w:val="000000" w:themeColor="text1"/>
          <w:spacing w:val="0"/>
          <w:sz w:val="22"/>
          <w:szCs w:val="22"/>
        </w:rPr>
        <w:t>7.8–18.8 for 17b-estradiol. Hormone concentrations were calculated</w:t>
      </w:r>
      <w:r>
        <w:rPr>
          <w:rFonts w:ascii="Arial" w:eastAsiaTheme="minorHAnsi" w:hAnsi="Arial" w:cs="Arial"/>
          <w:color w:val="000000"/>
          <w:spacing w:val="0"/>
          <w:sz w:val="22"/>
          <w:szCs w:val="22"/>
        </w:rPr>
        <w:t xml:space="preserve"> </w:t>
      </w:r>
      <w:r w:rsidRPr="00D97457">
        <w:rPr>
          <w:rFonts w:ascii="Arial" w:eastAsiaTheme="minorHAnsi" w:hAnsi="Arial" w:cs="Arial"/>
          <w:color w:val="000000" w:themeColor="text1"/>
          <w:spacing w:val="0"/>
          <w:sz w:val="22"/>
          <w:szCs w:val="22"/>
        </w:rPr>
        <w:t>using previously reported methods (Shahed and Young,</w:t>
      </w:r>
      <w:r w:rsidR="00B779DE">
        <w:rPr>
          <w:rFonts w:ascii="Arial" w:eastAsiaTheme="minorHAnsi" w:hAnsi="Arial" w:cs="Arial"/>
          <w:color w:val="000000" w:themeColor="text1"/>
          <w:spacing w:val="0"/>
          <w:sz w:val="22"/>
          <w:szCs w:val="22"/>
        </w:rPr>
        <w:t xml:space="preserve"> </w:t>
      </w:r>
      <w:r w:rsidRPr="00D97457">
        <w:rPr>
          <w:rFonts w:ascii="Arial" w:eastAsiaTheme="minorHAnsi" w:hAnsi="Arial" w:cs="Arial"/>
          <w:color w:val="000000" w:themeColor="text1"/>
          <w:spacing w:val="0"/>
          <w:sz w:val="22"/>
          <w:szCs w:val="22"/>
        </w:rPr>
        <w:t>2011; Shahed et al., 2015).</w:t>
      </w:r>
    </w:p>
    <w:p w14:paraId="753B495F" w14:textId="77777777" w:rsidR="00D97457" w:rsidRPr="00D97457" w:rsidRDefault="00D97457" w:rsidP="00D97457"/>
    <w:p w14:paraId="7E7AB5DF" w14:textId="77777777" w:rsidR="00001A07" w:rsidRDefault="00D97457" w:rsidP="00001A07">
      <w:pPr>
        <w:spacing w:line="480" w:lineRule="auto"/>
        <w:rPr>
          <w:rFonts w:ascii="Arial" w:hAnsi="Arial" w:cs="Arial"/>
          <w:i/>
          <w:iCs/>
          <w:sz w:val="22"/>
          <w:szCs w:val="22"/>
        </w:rPr>
      </w:pPr>
      <w:r>
        <w:rPr>
          <w:rFonts w:ascii="Arial" w:hAnsi="Arial" w:cs="Arial"/>
          <w:i/>
          <w:iCs/>
          <w:sz w:val="22"/>
          <w:szCs w:val="22"/>
        </w:rPr>
        <w:t xml:space="preserve">2.4 </w:t>
      </w:r>
      <w:r w:rsidR="00970E85" w:rsidRPr="00001A07">
        <w:rPr>
          <w:rFonts w:ascii="Arial" w:hAnsi="Arial" w:cs="Arial"/>
          <w:i/>
          <w:iCs/>
          <w:sz w:val="22"/>
          <w:szCs w:val="22"/>
        </w:rPr>
        <w:t>Data</w:t>
      </w:r>
    </w:p>
    <w:p w14:paraId="44A02FA9" w14:textId="77777777" w:rsidR="00294AD2" w:rsidRDefault="00C160C4" w:rsidP="00294AD2">
      <w:pPr>
        <w:pStyle w:val="BodyText"/>
        <w:spacing w:line="480" w:lineRule="auto"/>
        <w:rPr>
          <w:rFonts w:ascii="Arial" w:hAnsi="Arial" w:cs="Arial"/>
          <w:spacing w:val="0"/>
          <w:sz w:val="22"/>
          <w:szCs w:val="22"/>
        </w:rPr>
      </w:pPr>
      <w:r w:rsidRPr="00586DD7">
        <w:rPr>
          <w:rFonts w:ascii="Arial" w:hAnsi="Arial" w:cs="Arial"/>
          <w:spacing w:val="0"/>
          <w:sz w:val="22"/>
          <w:szCs w:val="22"/>
        </w:rPr>
        <w:t>Ovarian expression of steroidogenic acute regulatory protein (</w:t>
      </w:r>
      <w:r w:rsidRPr="00586DD7">
        <w:rPr>
          <w:rFonts w:ascii="Arial" w:hAnsi="Arial" w:cs="Arial"/>
          <w:i/>
          <w:iCs/>
          <w:spacing w:val="0"/>
          <w:sz w:val="22"/>
          <w:szCs w:val="22"/>
        </w:rPr>
        <w:t>Star</w:t>
      </w:r>
      <w:r w:rsidRPr="00586DD7">
        <w:rPr>
          <w:rFonts w:ascii="Arial" w:hAnsi="Arial" w:cs="Arial"/>
          <w:spacing w:val="0"/>
          <w:sz w:val="22"/>
          <w:szCs w:val="22"/>
        </w:rPr>
        <w:t>), 3β-hydroxysteroid dehydrogenase (3β</w:t>
      </w:r>
      <w:r w:rsidRPr="00586DD7">
        <w:rPr>
          <w:rFonts w:ascii="Arial" w:hAnsi="Arial" w:cs="Arial"/>
          <w:i/>
          <w:iCs/>
          <w:spacing w:val="0"/>
          <w:sz w:val="22"/>
          <w:szCs w:val="22"/>
        </w:rPr>
        <w:t>Hsd</w:t>
      </w:r>
      <w:r w:rsidRPr="00586DD7">
        <w:rPr>
          <w:rFonts w:ascii="Arial" w:hAnsi="Arial" w:cs="Arial"/>
          <w:spacing w:val="0"/>
          <w:sz w:val="22"/>
          <w:szCs w:val="22"/>
        </w:rPr>
        <w:t>) and growth and differentiation factor-9 (</w:t>
      </w:r>
      <w:r w:rsidRPr="00586DD7">
        <w:rPr>
          <w:rFonts w:ascii="Arial" w:hAnsi="Arial" w:cs="Arial"/>
          <w:i/>
          <w:iCs/>
          <w:spacing w:val="0"/>
          <w:sz w:val="22"/>
          <w:szCs w:val="22"/>
        </w:rPr>
        <w:t>Gdf-9</w:t>
      </w:r>
      <w:r w:rsidRPr="00586DD7">
        <w:rPr>
          <w:rFonts w:ascii="Arial" w:hAnsi="Arial" w:cs="Arial"/>
          <w:spacing w:val="0"/>
          <w:sz w:val="22"/>
          <w:szCs w:val="22"/>
        </w:rPr>
        <w:t>) mRNA, assessed using real time PCR</w:t>
      </w:r>
      <w:r w:rsidR="00B779DE">
        <w:rPr>
          <w:rFonts w:ascii="Arial" w:hAnsi="Arial" w:cs="Arial"/>
          <w:spacing w:val="0"/>
          <w:sz w:val="22"/>
          <w:szCs w:val="22"/>
        </w:rPr>
        <w:t>.</w:t>
      </w:r>
      <w:r w:rsidRPr="00586DD7">
        <w:rPr>
          <w:rFonts w:ascii="Arial" w:hAnsi="Arial" w:cs="Arial"/>
          <w:spacing w:val="0"/>
          <w:sz w:val="22"/>
          <w:szCs w:val="22"/>
        </w:rPr>
        <w:t xml:space="preserve"> </w:t>
      </w:r>
    </w:p>
    <w:p w14:paraId="505145C7" w14:textId="77777777" w:rsidR="00294AD2" w:rsidRDefault="00294AD2" w:rsidP="00294AD2">
      <w:pPr>
        <w:pStyle w:val="BodyText"/>
        <w:spacing w:line="480" w:lineRule="auto"/>
        <w:rPr>
          <w:rFonts w:ascii="Arial" w:hAnsi="Arial" w:cs="Arial"/>
          <w:sz w:val="22"/>
          <w:szCs w:val="22"/>
        </w:rPr>
      </w:pPr>
      <w:r w:rsidRPr="007A6292">
        <w:rPr>
          <w:rFonts w:ascii="Arial" w:hAnsi="Arial" w:cs="Arial"/>
          <w:sz w:val="22"/>
          <w:szCs w:val="22"/>
        </w:rPr>
        <w:t xml:space="preserve">All data were analyzed by a one-way ANOVA using the PRISM statistical software package (GraphPad Prism 6, San Diego, CA). </w:t>
      </w:r>
      <w:r>
        <w:rPr>
          <w:rFonts w:ascii="Arial" w:hAnsi="Arial" w:cs="Arial"/>
          <w:sz w:val="22"/>
          <w:szCs w:val="22"/>
        </w:rPr>
        <w:t xml:space="preserve"> </w:t>
      </w:r>
    </w:p>
    <w:p w14:paraId="58EEC5E6" w14:textId="77777777" w:rsidR="00C160C4" w:rsidRPr="00001A07" w:rsidRDefault="00C160C4" w:rsidP="00001A07">
      <w:pPr>
        <w:spacing w:line="480" w:lineRule="auto"/>
        <w:rPr>
          <w:rFonts w:ascii="Arial" w:hAnsi="Arial" w:cs="Arial"/>
          <w:i/>
          <w:iCs/>
          <w:sz w:val="22"/>
          <w:szCs w:val="22"/>
        </w:rPr>
      </w:pPr>
    </w:p>
    <w:p w14:paraId="5B2AE3E4" w14:textId="77777777" w:rsidR="00C160C4" w:rsidRDefault="00C160C4" w:rsidP="00970E85">
      <w:pPr>
        <w:spacing w:line="480" w:lineRule="auto"/>
        <w:rPr>
          <w:rFonts w:ascii="Arial" w:hAnsi="Arial" w:cs="Arial"/>
          <w:sz w:val="22"/>
          <w:szCs w:val="22"/>
        </w:rPr>
      </w:pPr>
    </w:p>
    <w:p w14:paraId="17758BC8" w14:textId="77777777" w:rsidR="00F360BA" w:rsidRPr="00C160C4" w:rsidRDefault="00F360BA" w:rsidP="00970E85">
      <w:pPr>
        <w:spacing w:line="480" w:lineRule="auto"/>
        <w:rPr>
          <w:rFonts w:ascii="Arial" w:hAnsi="Arial" w:cs="Arial"/>
          <w:sz w:val="22"/>
          <w:szCs w:val="22"/>
        </w:rPr>
      </w:pPr>
    </w:p>
    <w:p w14:paraId="138024FE" w14:textId="77777777" w:rsidR="00F360BA" w:rsidRDefault="00970E85" w:rsidP="00F360BA">
      <w:pPr>
        <w:pStyle w:val="Heading1"/>
        <w:numPr>
          <w:ilvl w:val="0"/>
          <w:numId w:val="2"/>
        </w:numPr>
      </w:pPr>
      <w:r w:rsidRPr="00970E85">
        <w:t>Results</w:t>
      </w:r>
    </w:p>
    <w:p w14:paraId="3617D3A1" w14:textId="77777777" w:rsidR="00970E85" w:rsidRDefault="00F360BA" w:rsidP="00F360BA">
      <w:pPr>
        <w:pStyle w:val="Heading1"/>
        <w:ind w:left="360"/>
      </w:pPr>
      <w:r>
        <w:rPr>
          <w:noProof/>
        </w:rPr>
        <w:drawing>
          <wp:inline distT="0" distB="0" distL="0" distR="0" wp14:anchorId="679C6ED2" wp14:editId="77545EFA">
            <wp:extent cx="5486400" cy="27432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4B1E9989" w14:textId="77777777" w:rsidR="00597516" w:rsidRDefault="00597516" w:rsidP="00597516">
      <w:pPr>
        <w:pStyle w:val="BodyText"/>
      </w:pPr>
    </w:p>
    <w:p w14:paraId="6FF4F2A2" w14:textId="77777777" w:rsidR="00917656" w:rsidRPr="00917656" w:rsidRDefault="00917656" w:rsidP="00917656">
      <w:pPr>
        <w:pStyle w:val="BodyText"/>
      </w:pPr>
    </w:p>
    <w:p w14:paraId="230D3733" w14:textId="77777777" w:rsidR="00597516" w:rsidRPr="00917656" w:rsidRDefault="00917656" w:rsidP="00917656">
      <w:pPr>
        <w:pStyle w:val="BodyText"/>
        <w:rPr>
          <w:rFonts w:ascii="Arial" w:hAnsi="Arial" w:cs="Arial"/>
          <w:sz w:val="22"/>
          <w:szCs w:val="22"/>
        </w:rPr>
      </w:pPr>
      <w:r w:rsidRPr="00917656">
        <w:rPr>
          <w:rFonts w:ascii="Arial" w:hAnsi="Arial" w:cs="Arial"/>
          <w:sz w:val="22"/>
          <w:szCs w:val="22"/>
        </w:rPr>
        <w:t xml:space="preserve"> Figure </w:t>
      </w:r>
      <w:r>
        <w:rPr>
          <w:rFonts w:ascii="Arial" w:hAnsi="Arial" w:cs="Arial"/>
          <w:sz w:val="22"/>
          <w:szCs w:val="22"/>
        </w:rPr>
        <w:t>1</w:t>
      </w:r>
      <w:r w:rsidRPr="00917656">
        <w:rPr>
          <w:rFonts w:ascii="Arial" w:hAnsi="Arial" w:cs="Arial"/>
          <w:sz w:val="22"/>
          <w:szCs w:val="22"/>
        </w:rPr>
        <w:t xml:space="preserve">. </w:t>
      </w:r>
      <w:r w:rsidRPr="00917656">
        <w:rPr>
          <w:rFonts w:ascii="Arial" w:hAnsi="Arial" w:cs="Arial"/>
          <w:i/>
          <w:iCs/>
          <w:sz w:val="22"/>
          <w:szCs w:val="22"/>
        </w:rPr>
        <w:t xml:space="preserve">Mean mRNA ± SEM expression of </w:t>
      </w:r>
      <w:r>
        <w:rPr>
          <w:rFonts w:ascii="Arial" w:hAnsi="Arial" w:cs="Arial"/>
          <w:sz w:val="22"/>
          <w:szCs w:val="22"/>
        </w:rPr>
        <w:t xml:space="preserve">Cox-2/Gapdh and Gdf-9/Gapdh </w:t>
      </w:r>
      <w:r w:rsidRPr="00917656">
        <w:rPr>
          <w:rFonts w:ascii="Arial" w:hAnsi="Arial" w:cs="Arial"/>
          <w:i/>
          <w:iCs/>
          <w:sz w:val="22"/>
          <w:szCs w:val="22"/>
        </w:rPr>
        <w:t>across</w:t>
      </w:r>
      <w:r>
        <w:rPr>
          <w:rFonts w:ascii="Arial" w:hAnsi="Arial" w:cs="Arial"/>
          <w:i/>
          <w:iCs/>
          <w:sz w:val="22"/>
          <w:szCs w:val="22"/>
        </w:rPr>
        <w:t xml:space="preserve"> NT,GT, ISO, and ISO+GT culture groups</w:t>
      </w:r>
      <w:r w:rsidRPr="00917656">
        <w:rPr>
          <w:rFonts w:ascii="Arial" w:hAnsi="Arial" w:cs="Arial"/>
          <w:i/>
          <w:iCs/>
          <w:sz w:val="22"/>
          <w:szCs w:val="22"/>
        </w:rPr>
        <w:t>.</w:t>
      </w:r>
    </w:p>
    <w:p w14:paraId="4A6A31C5" w14:textId="77777777" w:rsidR="00597516" w:rsidRDefault="00AC0F88" w:rsidP="00597516">
      <w:pPr>
        <w:pStyle w:val="BodyText"/>
      </w:pPr>
      <w:r>
        <w:rPr>
          <w:noProof/>
        </w:rPr>
        <w:drawing>
          <wp:inline distT="0" distB="0" distL="0" distR="0" wp14:anchorId="7ACCA436" wp14:editId="17C4B484">
            <wp:extent cx="5486400" cy="27432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67043B64" w14:textId="77777777" w:rsidR="00917656" w:rsidRPr="00917656" w:rsidRDefault="00917656" w:rsidP="00917656">
      <w:pPr>
        <w:pStyle w:val="BodyText"/>
        <w:rPr>
          <w:rFonts w:ascii="Arial" w:hAnsi="Arial" w:cs="Arial"/>
          <w:sz w:val="22"/>
          <w:szCs w:val="22"/>
        </w:rPr>
      </w:pPr>
      <w:r w:rsidRPr="00917656">
        <w:rPr>
          <w:rFonts w:ascii="Arial" w:hAnsi="Arial" w:cs="Arial"/>
          <w:sz w:val="22"/>
          <w:szCs w:val="22"/>
        </w:rPr>
        <w:t xml:space="preserve">Figure </w:t>
      </w:r>
      <w:r>
        <w:rPr>
          <w:rFonts w:ascii="Arial" w:hAnsi="Arial" w:cs="Arial"/>
          <w:sz w:val="22"/>
          <w:szCs w:val="22"/>
        </w:rPr>
        <w:t>2</w:t>
      </w:r>
      <w:r w:rsidRPr="00917656">
        <w:rPr>
          <w:rFonts w:ascii="Arial" w:hAnsi="Arial" w:cs="Arial"/>
          <w:sz w:val="22"/>
          <w:szCs w:val="22"/>
        </w:rPr>
        <w:t xml:space="preserve">. </w:t>
      </w:r>
      <w:r w:rsidRPr="00917656">
        <w:rPr>
          <w:rFonts w:ascii="Arial" w:hAnsi="Arial" w:cs="Arial"/>
          <w:i/>
          <w:iCs/>
          <w:sz w:val="22"/>
          <w:szCs w:val="22"/>
        </w:rPr>
        <w:t xml:space="preserve">Mean mRNA ± SEM expression of </w:t>
      </w:r>
      <w:r>
        <w:rPr>
          <w:rFonts w:ascii="Arial" w:hAnsi="Arial" w:cs="Arial"/>
          <w:sz w:val="22"/>
          <w:szCs w:val="22"/>
        </w:rPr>
        <w:t xml:space="preserve">Star/Gapdh and </w:t>
      </w:r>
      <w:r w:rsidRPr="00586DD7">
        <w:rPr>
          <w:rFonts w:ascii="Arial" w:hAnsi="Arial" w:cs="Arial"/>
          <w:spacing w:val="0"/>
          <w:sz w:val="22"/>
          <w:szCs w:val="22"/>
        </w:rPr>
        <w:t>3</w:t>
      </w:r>
      <w:r>
        <w:rPr>
          <w:rFonts w:ascii="Arial" w:hAnsi="Arial" w:cs="Arial"/>
          <w:spacing w:val="0"/>
          <w:sz w:val="22"/>
          <w:szCs w:val="22"/>
        </w:rPr>
        <w:sym w:font="Symbol" w:char="F062"/>
      </w:r>
      <w:r>
        <w:rPr>
          <w:rFonts w:ascii="Arial" w:hAnsi="Arial" w:cs="Arial"/>
          <w:spacing w:val="0"/>
          <w:sz w:val="22"/>
          <w:szCs w:val="22"/>
        </w:rPr>
        <w:t>-</w:t>
      </w:r>
      <w:r w:rsidRPr="00586DD7">
        <w:rPr>
          <w:rFonts w:ascii="Arial" w:hAnsi="Arial" w:cs="Arial"/>
          <w:i/>
          <w:iCs/>
          <w:spacing w:val="0"/>
          <w:sz w:val="22"/>
          <w:szCs w:val="22"/>
        </w:rPr>
        <w:t>Hsd</w:t>
      </w:r>
      <w:r>
        <w:rPr>
          <w:rFonts w:ascii="Arial" w:hAnsi="Arial" w:cs="Arial"/>
          <w:sz w:val="22"/>
          <w:szCs w:val="22"/>
        </w:rPr>
        <w:t xml:space="preserve"> /Gapdh </w:t>
      </w:r>
      <w:r w:rsidRPr="00917656">
        <w:rPr>
          <w:rFonts w:ascii="Arial" w:hAnsi="Arial" w:cs="Arial"/>
          <w:i/>
          <w:iCs/>
          <w:sz w:val="22"/>
          <w:szCs w:val="22"/>
        </w:rPr>
        <w:t>across</w:t>
      </w:r>
      <w:r>
        <w:rPr>
          <w:rFonts w:ascii="Arial" w:hAnsi="Arial" w:cs="Arial"/>
          <w:i/>
          <w:iCs/>
          <w:sz w:val="22"/>
          <w:szCs w:val="22"/>
        </w:rPr>
        <w:t xml:space="preserve"> NT,GT, ISO, and ISO+GT culture groups</w:t>
      </w:r>
      <w:r w:rsidRPr="00917656">
        <w:rPr>
          <w:rFonts w:ascii="Arial" w:hAnsi="Arial" w:cs="Arial"/>
          <w:i/>
          <w:iCs/>
          <w:sz w:val="22"/>
          <w:szCs w:val="22"/>
        </w:rPr>
        <w:t>.</w:t>
      </w:r>
    </w:p>
    <w:p w14:paraId="1D7EECAA" w14:textId="77777777" w:rsidR="00597516" w:rsidRDefault="00597516" w:rsidP="00597516">
      <w:pPr>
        <w:pStyle w:val="BodyText"/>
      </w:pPr>
      <w:r>
        <w:rPr>
          <w:noProof/>
        </w:rPr>
        <w:drawing>
          <wp:inline distT="0" distB="0" distL="0" distR="0" wp14:anchorId="704DDA08" wp14:editId="75B259F1">
            <wp:extent cx="3657600" cy="27432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94A0230" w14:textId="77777777" w:rsidR="00917656" w:rsidRPr="00917656" w:rsidRDefault="00917656" w:rsidP="00917656">
      <w:pPr>
        <w:pStyle w:val="BodyText"/>
        <w:rPr>
          <w:rFonts w:ascii="Arial" w:hAnsi="Arial" w:cs="Arial"/>
          <w:sz w:val="22"/>
          <w:szCs w:val="22"/>
        </w:rPr>
      </w:pPr>
      <w:r w:rsidRPr="00917656">
        <w:rPr>
          <w:rFonts w:ascii="Arial" w:hAnsi="Arial" w:cs="Arial"/>
          <w:sz w:val="22"/>
          <w:szCs w:val="22"/>
        </w:rPr>
        <w:t xml:space="preserve">Figure </w:t>
      </w:r>
      <w:r>
        <w:rPr>
          <w:rFonts w:ascii="Arial" w:hAnsi="Arial" w:cs="Arial"/>
          <w:sz w:val="22"/>
          <w:szCs w:val="22"/>
        </w:rPr>
        <w:t>3</w:t>
      </w:r>
      <w:r w:rsidRPr="00917656">
        <w:rPr>
          <w:rFonts w:ascii="Arial" w:hAnsi="Arial" w:cs="Arial"/>
          <w:sz w:val="22"/>
          <w:szCs w:val="22"/>
        </w:rPr>
        <w:t xml:space="preserve">. </w:t>
      </w:r>
      <w:r w:rsidRPr="00917656">
        <w:rPr>
          <w:rFonts w:ascii="Arial" w:hAnsi="Arial" w:cs="Arial"/>
          <w:i/>
          <w:iCs/>
          <w:sz w:val="22"/>
          <w:szCs w:val="22"/>
        </w:rPr>
        <w:t xml:space="preserve">Mean mRNA ± SEM expression of </w:t>
      </w:r>
      <w:r>
        <w:rPr>
          <w:rFonts w:ascii="Arial" w:hAnsi="Arial" w:cs="Arial"/>
          <w:sz w:val="22"/>
          <w:szCs w:val="22"/>
        </w:rPr>
        <w:t xml:space="preserve">ovaries </w:t>
      </w:r>
      <w:r w:rsidRPr="00917656">
        <w:rPr>
          <w:rFonts w:ascii="Arial" w:hAnsi="Arial" w:cs="Arial"/>
          <w:i/>
          <w:iCs/>
          <w:sz w:val="22"/>
          <w:szCs w:val="22"/>
        </w:rPr>
        <w:t>across</w:t>
      </w:r>
      <w:r>
        <w:rPr>
          <w:rFonts w:ascii="Arial" w:hAnsi="Arial" w:cs="Arial"/>
          <w:i/>
          <w:iCs/>
          <w:sz w:val="22"/>
          <w:szCs w:val="22"/>
        </w:rPr>
        <w:t xml:space="preserve"> NT,GT, ISO, and ISO+GT culture groups</w:t>
      </w:r>
      <w:r w:rsidRPr="00917656">
        <w:rPr>
          <w:rFonts w:ascii="Arial" w:hAnsi="Arial" w:cs="Arial"/>
          <w:i/>
          <w:iCs/>
          <w:sz w:val="22"/>
          <w:szCs w:val="22"/>
        </w:rPr>
        <w:t>.</w:t>
      </w:r>
    </w:p>
    <w:p w14:paraId="1742A968" w14:textId="77777777" w:rsidR="00917656" w:rsidRDefault="00917656" w:rsidP="00597516">
      <w:pPr>
        <w:pStyle w:val="BodyText"/>
      </w:pPr>
    </w:p>
    <w:p w14:paraId="7369B692" w14:textId="77777777" w:rsidR="00AE069C" w:rsidRDefault="00AE069C" w:rsidP="00970E85">
      <w:pPr>
        <w:pStyle w:val="BodyText"/>
        <w:spacing w:line="480" w:lineRule="auto"/>
        <w:rPr>
          <w:rFonts w:ascii="Arial" w:hAnsi="Arial" w:cs="Arial"/>
          <w:sz w:val="22"/>
          <w:szCs w:val="22"/>
        </w:rPr>
      </w:pPr>
      <w:r>
        <w:rPr>
          <w:rFonts w:ascii="Arial" w:hAnsi="Arial" w:cs="Arial"/>
          <w:noProof/>
          <w:sz w:val="22"/>
          <w:szCs w:val="22"/>
        </w:rPr>
        <w:drawing>
          <wp:inline distT="0" distB="0" distL="0" distR="0" wp14:anchorId="56316843" wp14:editId="4079B9F7">
            <wp:extent cx="3780064" cy="2616967"/>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png"/>
                    <pic:cNvPicPr/>
                  </pic:nvPicPr>
                  <pic:blipFill>
                    <a:blip r:embed="rId10">
                      <a:extLst>
                        <a:ext uri="{28A0092B-C50C-407E-A947-70E740481C1C}">
                          <a14:useLocalDpi xmlns:a14="http://schemas.microsoft.com/office/drawing/2010/main" val="0"/>
                        </a:ext>
                      </a:extLst>
                    </a:blip>
                    <a:stretch>
                      <a:fillRect/>
                    </a:stretch>
                  </pic:blipFill>
                  <pic:spPr>
                    <a:xfrm>
                      <a:off x="0" y="0"/>
                      <a:ext cx="3791068" cy="2624585"/>
                    </a:xfrm>
                    <a:prstGeom prst="rect">
                      <a:avLst/>
                    </a:prstGeom>
                  </pic:spPr>
                </pic:pic>
              </a:graphicData>
            </a:graphic>
          </wp:inline>
        </w:drawing>
      </w:r>
    </w:p>
    <w:p w14:paraId="398DFD4B" w14:textId="77777777" w:rsidR="00AE069C" w:rsidRDefault="007967A9" w:rsidP="00970E85">
      <w:pPr>
        <w:pStyle w:val="BodyText"/>
        <w:spacing w:line="480" w:lineRule="auto"/>
        <w:rPr>
          <w:rFonts w:ascii="Arial" w:hAnsi="Arial" w:cs="Arial"/>
          <w:sz w:val="22"/>
          <w:szCs w:val="22"/>
        </w:rPr>
      </w:pPr>
      <w:r>
        <w:rPr>
          <w:rFonts w:ascii="Arial" w:hAnsi="Arial" w:cs="Arial"/>
          <w:sz w:val="22"/>
          <w:szCs w:val="22"/>
        </w:rPr>
        <w:t>(ELISA</w:t>
      </w:r>
      <w:r w:rsidR="00B779DE">
        <w:rPr>
          <w:rFonts w:ascii="Arial" w:hAnsi="Arial" w:cs="Arial"/>
          <w:sz w:val="22"/>
          <w:szCs w:val="22"/>
        </w:rPr>
        <w:t xml:space="preserve"> </w:t>
      </w:r>
      <w:r w:rsidR="00B779DE" w:rsidRPr="00586DD7">
        <w:rPr>
          <w:rFonts w:ascii="Arial" w:hAnsi="Arial" w:cs="Arial"/>
          <w:spacing w:val="0"/>
          <w:sz w:val="22"/>
          <w:szCs w:val="22"/>
        </w:rPr>
        <w:t>estradiol and prostaglandins</w:t>
      </w:r>
      <w:r w:rsidR="00B779DE">
        <w:rPr>
          <w:rFonts w:ascii="Arial" w:hAnsi="Arial" w:cs="Arial"/>
          <w:sz w:val="22"/>
          <w:szCs w:val="22"/>
        </w:rPr>
        <w:t xml:space="preserve"> </w:t>
      </w:r>
      <w:r>
        <w:rPr>
          <w:rFonts w:ascii="Arial" w:hAnsi="Arial" w:cs="Arial"/>
          <w:sz w:val="22"/>
          <w:szCs w:val="22"/>
        </w:rPr>
        <w:t>analysis</w:t>
      </w:r>
      <w:r w:rsidR="00B779DE">
        <w:rPr>
          <w:rFonts w:ascii="Arial" w:hAnsi="Arial" w:cs="Arial"/>
          <w:sz w:val="22"/>
          <w:szCs w:val="22"/>
        </w:rPr>
        <w:t xml:space="preserve"> ,graph similar to Fig 1-3,</w:t>
      </w:r>
      <w:r>
        <w:rPr>
          <w:rFonts w:ascii="Arial" w:hAnsi="Arial" w:cs="Arial"/>
          <w:sz w:val="22"/>
          <w:szCs w:val="22"/>
        </w:rPr>
        <w:t xml:space="preserve"> would also be in this results section</w:t>
      </w:r>
      <w:r w:rsidR="00B779DE">
        <w:rPr>
          <w:rFonts w:ascii="Arial" w:hAnsi="Arial" w:cs="Arial"/>
          <w:sz w:val="22"/>
          <w:szCs w:val="22"/>
        </w:rPr>
        <w:t xml:space="preserve">) </w:t>
      </w:r>
    </w:p>
    <w:p w14:paraId="173B02A3" w14:textId="77777777" w:rsidR="00970E85" w:rsidRPr="00970E85" w:rsidRDefault="00970E85" w:rsidP="00F9203C">
      <w:pPr>
        <w:pStyle w:val="Heading1"/>
        <w:numPr>
          <w:ilvl w:val="0"/>
          <w:numId w:val="2"/>
        </w:numPr>
      </w:pPr>
      <w:r w:rsidRPr="00970E85">
        <w:t>Discussion</w:t>
      </w:r>
    </w:p>
    <w:p w14:paraId="4DE0D944" w14:textId="77777777" w:rsidR="00970E85" w:rsidRDefault="00970E85" w:rsidP="00970E85">
      <w:pPr>
        <w:pStyle w:val="BodyText"/>
        <w:spacing w:line="480" w:lineRule="auto"/>
        <w:rPr>
          <w:rFonts w:ascii="Arial" w:hAnsi="Arial" w:cs="Arial"/>
          <w:sz w:val="22"/>
          <w:szCs w:val="22"/>
        </w:rPr>
      </w:pPr>
      <w:r w:rsidRPr="00970E85">
        <w:rPr>
          <w:rFonts w:ascii="Arial" w:hAnsi="Arial" w:cs="Arial"/>
          <w:sz w:val="22"/>
          <w:szCs w:val="22"/>
        </w:rPr>
        <w:t xml:space="preserve">I previously hypothesized that stimulating photoregressed ovaries </w:t>
      </w:r>
      <w:r w:rsidRPr="00970E85">
        <w:rPr>
          <w:rFonts w:ascii="Arial" w:hAnsi="Arial" w:cs="Arial"/>
          <w:i/>
          <w:iCs/>
          <w:sz w:val="22"/>
          <w:szCs w:val="22"/>
        </w:rPr>
        <w:t>in vitro</w:t>
      </w:r>
      <w:r w:rsidRPr="00970E85">
        <w:rPr>
          <w:rFonts w:ascii="Arial" w:hAnsi="Arial" w:cs="Arial"/>
          <w:sz w:val="22"/>
          <w:szCs w:val="22"/>
        </w:rPr>
        <w:t xml:space="preserve"> with isoproterenol, a neural system stimulant, with or without hormones that stimulate follicle growth and estradiol production, would potentially recapitulate aspects of photostimulated recrudescence as opposed to untreated ovaries; specifically impacting estradiol production as well as the expression of genes associated with the return of folliculogenesis and steroidogenesis.</w:t>
      </w:r>
    </w:p>
    <w:p w14:paraId="45FBEC6E" w14:textId="77777777" w:rsidR="00FD3C9C" w:rsidRDefault="00FD3C9C" w:rsidP="00970E85">
      <w:pPr>
        <w:pStyle w:val="BodyText"/>
        <w:spacing w:line="480" w:lineRule="auto"/>
        <w:rPr>
          <w:rFonts w:ascii="Arial" w:hAnsi="Arial" w:cs="Arial"/>
          <w:sz w:val="22"/>
          <w:szCs w:val="22"/>
        </w:rPr>
      </w:pPr>
      <w:r w:rsidRPr="00FD3C9C">
        <w:rPr>
          <w:rFonts w:ascii="Arial" w:hAnsi="Arial" w:cs="Arial"/>
          <w:sz w:val="22"/>
          <w:szCs w:val="22"/>
        </w:rPr>
        <w:t>The expression of Gapdh mRNA did not change significantly between different photoperiod exposure groups when quantified by real-time RT PCR, as we have reported previously (Shahed and Young, 2013).</w:t>
      </w:r>
      <w:r w:rsidRPr="007A6292">
        <w:rPr>
          <w:rFonts w:ascii="Arial" w:hAnsi="Arial" w:cs="Arial"/>
          <w:sz w:val="22"/>
          <w:szCs w:val="22"/>
        </w:rPr>
        <w:t xml:space="preserve"> </w:t>
      </w:r>
    </w:p>
    <w:p w14:paraId="6CAA12EC" w14:textId="77777777" w:rsidR="007967A9" w:rsidRDefault="007967A9" w:rsidP="007967A9">
      <w:pPr>
        <w:pStyle w:val="BodyText"/>
        <w:spacing w:line="480" w:lineRule="auto"/>
        <w:rPr>
          <w:rFonts w:ascii="Arial" w:hAnsi="Arial" w:cs="Arial"/>
          <w:spacing w:val="0"/>
          <w:sz w:val="22"/>
          <w:szCs w:val="22"/>
        </w:rPr>
      </w:pPr>
      <w:r w:rsidRPr="00586DD7">
        <w:rPr>
          <w:rFonts w:ascii="Arial" w:hAnsi="Arial" w:cs="Arial"/>
          <w:spacing w:val="0"/>
          <w:sz w:val="22"/>
          <w:szCs w:val="22"/>
        </w:rPr>
        <w:t>Ovarian expression of steroidogenic acute regulatory protein (</w:t>
      </w:r>
      <w:r w:rsidRPr="00586DD7">
        <w:rPr>
          <w:rFonts w:ascii="Arial" w:hAnsi="Arial" w:cs="Arial"/>
          <w:i/>
          <w:iCs/>
          <w:spacing w:val="0"/>
          <w:sz w:val="22"/>
          <w:szCs w:val="22"/>
        </w:rPr>
        <w:t>Star</w:t>
      </w:r>
      <w:r w:rsidRPr="00586DD7">
        <w:rPr>
          <w:rFonts w:ascii="Arial" w:hAnsi="Arial" w:cs="Arial"/>
          <w:spacing w:val="0"/>
          <w:sz w:val="22"/>
          <w:szCs w:val="22"/>
        </w:rPr>
        <w:t>), 3β-hydroxysteroid dehydrogenase (3β</w:t>
      </w:r>
      <w:r w:rsidRPr="00586DD7">
        <w:rPr>
          <w:rFonts w:ascii="Arial" w:hAnsi="Arial" w:cs="Arial"/>
          <w:i/>
          <w:iCs/>
          <w:spacing w:val="0"/>
          <w:sz w:val="22"/>
          <w:szCs w:val="22"/>
        </w:rPr>
        <w:t>Hsd</w:t>
      </w:r>
      <w:r w:rsidRPr="00586DD7">
        <w:rPr>
          <w:rFonts w:ascii="Arial" w:hAnsi="Arial" w:cs="Arial"/>
          <w:spacing w:val="0"/>
          <w:sz w:val="22"/>
          <w:szCs w:val="22"/>
        </w:rPr>
        <w:t>) and growth and differentiation factor-9 (</w:t>
      </w:r>
      <w:r w:rsidRPr="00586DD7">
        <w:rPr>
          <w:rFonts w:ascii="Arial" w:hAnsi="Arial" w:cs="Arial"/>
          <w:i/>
          <w:iCs/>
          <w:spacing w:val="0"/>
          <w:sz w:val="22"/>
          <w:szCs w:val="22"/>
        </w:rPr>
        <w:t>Gdf-9</w:t>
      </w:r>
      <w:r w:rsidRPr="00586DD7">
        <w:rPr>
          <w:rFonts w:ascii="Arial" w:hAnsi="Arial" w:cs="Arial"/>
          <w:spacing w:val="0"/>
          <w:sz w:val="22"/>
          <w:szCs w:val="22"/>
        </w:rPr>
        <w:t>) mRNA, was increased in the ISO and ISO+GT groups, whereas cyclooxygenase-2 (</w:t>
      </w:r>
      <w:r w:rsidRPr="00586DD7">
        <w:rPr>
          <w:rFonts w:ascii="Arial" w:hAnsi="Arial" w:cs="Arial"/>
          <w:i/>
          <w:iCs/>
          <w:spacing w:val="0"/>
          <w:sz w:val="22"/>
          <w:szCs w:val="22"/>
        </w:rPr>
        <w:t>Cox-2</w:t>
      </w:r>
      <w:r w:rsidRPr="00586DD7">
        <w:rPr>
          <w:rFonts w:ascii="Arial" w:hAnsi="Arial" w:cs="Arial"/>
          <w:spacing w:val="0"/>
          <w:sz w:val="22"/>
          <w:szCs w:val="22"/>
        </w:rPr>
        <w:t>) mRNA increased in GT, ISO, and ISO+GT groups as compared to NT.  Estrogen receptor 1 (</w:t>
      </w:r>
      <w:r w:rsidRPr="00586DD7">
        <w:rPr>
          <w:rFonts w:ascii="Arial" w:hAnsi="Arial" w:cs="Arial"/>
          <w:i/>
          <w:iCs/>
          <w:spacing w:val="0"/>
          <w:sz w:val="22"/>
          <w:szCs w:val="22"/>
        </w:rPr>
        <w:t>Esr1</w:t>
      </w:r>
      <w:r w:rsidRPr="00586DD7">
        <w:rPr>
          <w:rFonts w:ascii="Arial" w:hAnsi="Arial" w:cs="Arial"/>
          <w:spacing w:val="0"/>
          <w:sz w:val="22"/>
          <w:szCs w:val="22"/>
        </w:rPr>
        <w:t xml:space="preserve">) mRNA expression increased in the ISO+GT group as compared to all other groups, whereas expression of </w:t>
      </w:r>
      <w:r w:rsidRPr="00586DD7">
        <w:rPr>
          <w:rFonts w:ascii="Arial" w:hAnsi="Arial" w:cs="Arial"/>
          <w:i/>
          <w:iCs/>
          <w:spacing w:val="0"/>
          <w:sz w:val="22"/>
          <w:szCs w:val="22"/>
        </w:rPr>
        <w:t>Esr2</w:t>
      </w:r>
      <w:r w:rsidRPr="00586DD7">
        <w:rPr>
          <w:rFonts w:ascii="Arial" w:hAnsi="Arial" w:cs="Arial"/>
          <w:spacing w:val="0"/>
          <w:sz w:val="22"/>
          <w:szCs w:val="22"/>
        </w:rPr>
        <w:t xml:space="preserve"> mRNA did not differ significantly across treatments.  Culture with isoproterenol stimulated expression of genes involved with both steroidogenesis and folliculogenesis, along with increasing estradiol production and prostaglandins, </w:t>
      </w:r>
      <w:r w:rsidRPr="00586DD7">
        <w:rPr>
          <w:rFonts w:ascii="Arial" w:hAnsi="Arial" w:cs="Arial"/>
          <w:color w:val="000000"/>
          <w:spacing w:val="0"/>
          <w:sz w:val="22"/>
          <w:szCs w:val="22"/>
        </w:rPr>
        <w:t>critical for multiple aspects of ovarian function</w:t>
      </w:r>
      <w:r w:rsidRPr="00586DD7">
        <w:rPr>
          <w:rFonts w:ascii="Arial" w:hAnsi="Arial" w:cs="Arial"/>
          <w:spacing w:val="0"/>
          <w:sz w:val="22"/>
          <w:szCs w:val="22"/>
        </w:rPr>
        <w:t>.  Culture with ISO, regardless of GT exposure, increased mRNA expression of early steroidogenic enzymes (</w:t>
      </w:r>
      <w:r w:rsidRPr="00586DD7">
        <w:rPr>
          <w:rFonts w:ascii="Arial" w:hAnsi="Arial" w:cs="Arial"/>
          <w:i/>
          <w:iCs/>
          <w:spacing w:val="0"/>
          <w:sz w:val="22"/>
          <w:szCs w:val="22"/>
        </w:rPr>
        <w:t>StAR</w:t>
      </w:r>
      <w:r w:rsidRPr="00586DD7">
        <w:rPr>
          <w:rFonts w:ascii="Arial" w:hAnsi="Arial" w:cs="Arial"/>
          <w:spacing w:val="0"/>
          <w:sz w:val="22"/>
          <w:szCs w:val="22"/>
        </w:rPr>
        <w:t xml:space="preserve"> and 3b</w:t>
      </w:r>
      <w:r w:rsidRPr="00586DD7">
        <w:rPr>
          <w:rFonts w:ascii="Arial" w:hAnsi="Arial" w:cs="Arial"/>
          <w:i/>
          <w:iCs/>
          <w:spacing w:val="0"/>
          <w:sz w:val="22"/>
          <w:szCs w:val="22"/>
        </w:rPr>
        <w:t>Hsd)</w:t>
      </w:r>
      <w:r w:rsidRPr="00586DD7">
        <w:rPr>
          <w:rFonts w:ascii="Arial" w:hAnsi="Arial" w:cs="Arial"/>
          <w:spacing w:val="0"/>
          <w:sz w:val="22"/>
          <w:szCs w:val="22"/>
        </w:rPr>
        <w:t xml:space="preserve"> along with folliculogenic factors (</w:t>
      </w:r>
      <w:r w:rsidRPr="00586DD7">
        <w:rPr>
          <w:rFonts w:ascii="Arial" w:hAnsi="Arial" w:cs="Arial"/>
          <w:i/>
          <w:iCs/>
          <w:spacing w:val="0"/>
          <w:sz w:val="22"/>
          <w:szCs w:val="22"/>
        </w:rPr>
        <w:t xml:space="preserve">GDF-9 </w:t>
      </w:r>
      <w:r w:rsidRPr="00586DD7">
        <w:rPr>
          <w:rFonts w:ascii="Arial" w:hAnsi="Arial" w:cs="Arial"/>
          <w:spacing w:val="0"/>
          <w:sz w:val="22"/>
          <w:szCs w:val="22"/>
        </w:rPr>
        <w:t>and</w:t>
      </w:r>
      <w:r w:rsidRPr="00586DD7">
        <w:rPr>
          <w:rFonts w:ascii="Arial" w:hAnsi="Arial" w:cs="Arial"/>
          <w:i/>
          <w:iCs/>
          <w:spacing w:val="0"/>
          <w:sz w:val="22"/>
          <w:szCs w:val="22"/>
        </w:rPr>
        <w:t xml:space="preserve"> Cox-2</w:t>
      </w:r>
      <w:r w:rsidRPr="00586DD7">
        <w:rPr>
          <w:rFonts w:ascii="Arial" w:hAnsi="Arial" w:cs="Arial"/>
          <w:spacing w:val="0"/>
          <w:sz w:val="22"/>
          <w:szCs w:val="22"/>
        </w:rPr>
        <w:t xml:space="preserve">).  In contrast, only the combination of ISO+GT increased </w:t>
      </w:r>
      <w:r w:rsidRPr="00586DD7">
        <w:rPr>
          <w:rFonts w:ascii="Arial" w:hAnsi="Arial" w:cs="Arial"/>
          <w:i/>
          <w:iCs/>
          <w:spacing w:val="0"/>
          <w:sz w:val="22"/>
          <w:szCs w:val="22"/>
        </w:rPr>
        <w:t xml:space="preserve">Esr1 </w:t>
      </w:r>
      <w:r w:rsidRPr="00586DD7">
        <w:rPr>
          <w:rFonts w:ascii="Arial" w:hAnsi="Arial" w:cs="Arial"/>
          <w:spacing w:val="0"/>
          <w:sz w:val="22"/>
          <w:szCs w:val="22"/>
        </w:rPr>
        <w:t xml:space="preserve">mRNA, ovarian mass, and media concentrations of estradiol and prostaglandins. </w:t>
      </w:r>
    </w:p>
    <w:p w14:paraId="53A4D534" w14:textId="77777777" w:rsidR="007967A9" w:rsidRDefault="007967A9" w:rsidP="00970E85">
      <w:pPr>
        <w:pStyle w:val="BodyText"/>
        <w:spacing w:line="480" w:lineRule="auto"/>
        <w:rPr>
          <w:rFonts w:ascii="Arial" w:hAnsi="Arial" w:cs="Arial"/>
          <w:sz w:val="22"/>
          <w:szCs w:val="22"/>
        </w:rPr>
      </w:pPr>
      <w:r>
        <w:rPr>
          <w:rFonts w:ascii="Arial" w:hAnsi="Arial" w:cs="Arial"/>
          <w:sz w:val="22"/>
          <w:szCs w:val="22"/>
        </w:rPr>
        <w:t>(</w:t>
      </w:r>
      <w:r w:rsidRPr="007A6292">
        <w:rPr>
          <w:rFonts w:ascii="Arial" w:hAnsi="Arial" w:cs="Arial"/>
          <w:sz w:val="22"/>
          <w:szCs w:val="22"/>
        </w:rPr>
        <w:t xml:space="preserve">All data were analyzed by a one-way ANOVA using the PRISM statistical software package (GraphPad Prism 6, San Diego, CA). </w:t>
      </w:r>
      <w:r>
        <w:rPr>
          <w:rFonts w:ascii="Arial" w:hAnsi="Arial" w:cs="Arial"/>
          <w:sz w:val="22"/>
          <w:szCs w:val="22"/>
        </w:rPr>
        <w:t xml:space="preserve"> goes into data analysis)</w:t>
      </w:r>
    </w:p>
    <w:p w14:paraId="75941443" w14:textId="77777777" w:rsidR="000472AD" w:rsidRDefault="000472AD" w:rsidP="00970E85">
      <w:pPr>
        <w:pStyle w:val="BodyText"/>
        <w:spacing w:line="480" w:lineRule="auto"/>
        <w:rPr>
          <w:rFonts w:ascii="Arial" w:hAnsi="Arial" w:cs="Arial"/>
          <w:sz w:val="22"/>
          <w:szCs w:val="22"/>
        </w:rPr>
      </w:pPr>
      <w:r w:rsidRPr="000472AD">
        <w:rPr>
          <w:rFonts w:ascii="Arial" w:hAnsi="Arial" w:cs="Arial"/>
          <w:sz w:val="22"/>
          <w:szCs w:val="22"/>
        </w:rPr>
        <w:t xml:space="preserve">These data suggest that photoregressed ovaries are able to respond to β-adrenergic stimulation alone, particularly in aspects of steroidogenesis; however, the additional stimulation of gonadotropins is needed to restore actual production of estradiol and ovarian growth. While </w:t>
      </w:r>
      <w:r w:rsidRPr="000472AD">
        <w:rPr>
          <w:rFonts w:ascii="Arial" w:hAnsi="Arial" w:cs="Arial"/>
          <w:sz w:val="22"/>
          <w:szCs w:val="22"/>
        </w:rPr>
        <w:sym w:font="Symbol" w:char="F062"/>
      </w:r>
      <w:r w:rsidRPr="000472AD">
        <w:rPr>
          <w:rFonts w:ascii="Arial" w:hAnsi="Arial" w:cs="Arial"/>
          <w:sz w:val="22"/>
          <w:szCs w:val="22"/>
        </w:rPr>
        <w:t>-adrenergic stimulation advanced some aspects of recrudescence, gonadotropins as well as exposure to additional factors are likely necessary to fully restore function in photoregressed ovaries.</w:t>
      </w:r>
      <w:r w:rsidRPr="00970E85">
        <w:rPr>
          <w:rFonts w:ascii="Arial" w:hAnsi="Arial" w:cs="Arial"/>
          <w:sz w:val="22"/>
          <w:szCs w:val="22"/>
        </w:rPr>
        <w:t> </w:t>
      </w:r>
    </w:p>
    <w:p w14:paraId="4CDA4F84" w14:textId="77777777" w:rsidR="00492F3E" w:rsidRDefault="00432F4C" w:rsidP="00970E85">
      <w:pPr>
        <w:pStyle w:val="BodyText"/>
        <w:spacing w:line="480" w:lineRule="auto"/>
        <w:rPr>
          <w:rFonts w:ascii="Arial" w:hAnsi="Arial" w:cs="Arial"/>
          <w:sz w:val="22"/>
          <w:szCs w:val="22"/>
        </w:rPr>
      </w:pPr>
      <w:r>
        <w:rPr>
          <w:rFonts w:ascii="Arial" w:hAnsi="Arial" w:cs="Arial"/>
          <w:sz w:val="22"/>
          <w:szCs w:val="22"/>
        </w:rPr>
        <w:t xml:space="preserve">During this study only a few genes which indicate </w:t>
      </w:r>
      <w:r w:rsidRPr="00586DD7">
        <w:rPr>
          <w:rFonts w:ascii="Arial" w:hAnsi="Arial" w:cs="Arial"/>
          <w:spacing w:val="0"/>
          <w:sz w:val="22"/>
          <w:szCs w:val="22"/>
        </w:rPr>
        <w:t xml:space="preserve">early steroidogenic enzymes </w:t>
      </w:r>
      <w:r>
        <w:rPr>
          <w:rFonts w:ascii="Arial" w:hAnsi="Arial" w:cs="Arial"/>
          <w:spacing w:val="0"/>
          <w:sz w:val="22"/>
          <w:szCs w:val="22"/>
        </w:rPr>
        <w:t xml:space="preserve">and early </w:t>
      </w:r>
      <w:r w:rsidRPr="00586DD7">
        <w:rPr>
          <w:rFonts w:ascii="Arial" w:hAnsi="Arial" w:cs="Arial"/>
          <w:spacing w:val="0"/>
          <w:sz w:val="22"/>
          <w:szCs w:val="22"/>
        </w:rPr>
        <w:t>folliculogenic</w:t>
      </w:r>
      <w:r>
        <w:rPr>
          <w:rFonts w:ascii="Arial" w:hAnsi="Arial" w:cs="Arial"/>
          <w:spacing w:val="0"/>
          <w:sz w:val="22"/>
          <w:szCs w:val="22"/>
        </w:rPr>
        <w:t xml:space="preserve"> </w:t>
      </w:r>
      <w:r w:rsidRPr="00586DD7">
        <w:rPr>
          <w:rFonts w:ascii="Arial" w:hAnsi="Arial" w:cs="Arial"/>
          <w:spacing w:val="0"/>
          <w:sz w:val="22"/>
          <w:szCs w:val="22"/>
        </w:rPr>
        <w:t>factors</w:t>
      </w:r>
      <w:r>
        <w:rPr>
          <w:rFonts w:ascii="Arial" w:hAnsi="Arial" w:cs="Arial"/>
          <w:spacing w:val="0"/>
          <w:sz w:val="22"/>
          <w:szCs w:val="22"/>
        </w:rPr>
        <w:t xml:space="preserve"> were tested. In future studies more genes associated with late and early steroidogenic enzymes and early and late folliculogenic factors will be tested under NT, GT, ISO, and ISO+GT culture. This </w:t>
      </w:r>
      <w:r w:rsidR="007967A9">
        <w:rPr>
          <w:rFonts w:ascii="Arial" w:hAnsi="Arial" w:cs="Arial"/>
          <w:spacing w:val="0"/>
          <w:sz w:val="22"/>
          <w:szCs w:val="22"/>
        </w:rPr>
        <w:t xml:space="preserve">same </w:t>
      </w:r>
      <w:r>
        <w:rPr>
          <w:rFonts w:ascii="Arial" w:hAnsi="Arial" w:cs="Arial"/>
          <w:spacing w:val="0"/>
          <w:sz w:val="22"/>
          <w:szCs w:val="22"/>
        </w:rPr>
        <w:t xml:space="preserve">study will also be carried out under long day photoperiod </w:t>
      </w:r>
      <w:r w:rsidR="007967A9" w:rsidRPr="00C160C4">
        <w:rPr>
          <w:rFonts w:ascii="Arial" w:eastAsiaTheme="majorEastAsia" w:hAnsi="Arial" w:cs="Arial"/>
          <w:sz w:val="22"/>
          <w:szCs w:val="22"/>
        </w:rPr>
        <w:t xml:space="preserve">(&gt;12 hours of light per day) </w:t>
      </w:r>
      <w:r>
        <w:rPr>
          <w:rFonts w:ascii="Arial" w:hAnsi="Arial" w:cs="Arial"/>
          <w:spacing w:val="0"/>
          <w:sz w:val="22"/>
          <w:szCs w:val="22"/>
        </w:rPr>
        <w:t xml:space="preserve">conditions to further understand the data collected thus far. </w:t>
      </w:r>
    </w:p>
    <w:p w14:paraId="6E295A7C" w14:textId="77777777" w:rsidR="00970E85" w:rsidRPr="00970E85" w:rsidRDefault="00970E85" w:rsidP="00F9203C">
      <w:pPr>
        <w:pStyle w:val="Heading1"/>
        <w:numPr>
          <w:ilvl w:val="0"/>
          <w:numId w:val="2"/>
        </w:numPr>
      </w:pPr>
      <w:r w:rsidRPr="00970E85">
        <w:t>Conclusions</w:t>
      </w:r>
    </w:p>
    <w:p w14:paraId="43813797" w14:textId="77777777" w:rsidR="00970E85" w:rsidRDefault="00970E85" w:rsidP="00970E85">
      <w:pPr>
        <w:spacing w:line="480" w:lineRule="auto"/>
        <w:rPr>
          <w:rFonts w:ascii="Arial" w:hAnsi="Arial" w:cs="Arial"/>
          <w:sz w:val="22"/>
          <w:szCs w:val="22"/>
        </w:rPr>
      </w:pPr>
      <w:r w:rsidRPr="00970E85">
        <w:rPr>
          <w:rFonts w:ascii="Arial" w:hAnsi="Arial" w:cs="Arial"/>
          <w:spacing w:val="0"/>
          <w:sz w:val="22"/>
          <w:szCs w:val="22"/>
        </w:rPr>
        <w:t xml:space="preserve">Adrenergic activation in the ovary is involved in the secretion of sex steroids as well as folliculogenesis.  Culture of ovaries with isoproterenol, a β-adrenergic receptor agonist, increases follicle stimulating hormone receptor and progesterone production, and </w:t>
      </w:r>
      <w:r w:rsidRPr="00970E85">
        <w:rPr>
          <w:rFonts w:ascii="Arial" w:hAnsi="Arial" w:cs="Arial"/>
          <w:i/>
          <w:iCs/>
          <w:spacing w:val="0"/>
          <w:sz w:val="22"/>
          <w:szCs w:val="22"/>
        </w:rPr>
        <w:t>in vivo</w:t>
      </w:r>
      <w:r w:rsidRPr="00970E85">
        <w:rPr>
          <w:rFonts w:ascii="Arial" w:hAnsi="Arial" w:cs="Arial"/>
          <w:spacing w:val="0"/>
          <w:sz w:val="22"/>
          <w:szCs w:val="22"/>
        </w:rPr>
        <w:t xml:space="preserve"> exposure to isoproterenol can also increase androgen secretion. </w:t>
      </w:r>
      <w:r w:rsidRPr="00970E85">
        <w:rPr>
          <w:rFonts w:ascii="Arial" w:hAnsi="Arial" w:cs="Arial"/>
          <w:color w:val="000000"/>
          <w:spacing w:val="0"/>
          <w:sz w:val="22"/>
          <w:szCs w:val="22"/>
        </w:rPr>
        <w:t xml:space="preserve">We hypothesized that stimulating photoregressed ovaries </w:t>
      </w:r>
      <w:r w:rsidRPr="00970E85">
        <w:rPr>
          <w:rFonts w:ascii="Arial" w:hAnsi="Arial" w:cs="Arial"/>
          <w:i/>
          <w:iCs/>
          <w:color w:val="000000"/>
          <w:spacing w:val="0"/>
          <w:sz w:val="22"/>
          <w:szCs w:val="22"/>
        </w:rPr>
        <w:t>in vitro</w:t>
      </w:r>
      <w:r w:rsidRPr="00970E85">
        <w:rPr>
          <w:rFonts w:ascii="Arial" w:hAnsi="Arial" w:cs="Arial"/>
          <w:color w:val="000000"/>
          <w:spacing w:val="0"/>
          <w:sz w:val="22"/>
          <w:szCs w:val="22"/>
        </w:rPr>
        <w:t xml:space="preserve"> with isoproterenol with or without gonadotropins would potentially recapitulate aspects of photostimulated recrudescence as opposed to untreated ovaries; specifically impacting estradiol production as well as the expression of genes associated with the return of folliculogenesis and steroidogenesis. </w:t>
      </w:r>
      <w:r w:rsidRPr="00970E85">
        <w:rPr>
          <w:rFonts w:ascii="Arial" w:hAnsi="Arial" w:cs="Arial"/>
          <w:spacing w:val="0"/>
          <w:sz w:val="22"/>
          <w:szCs w:val="22"/>
        </w:rPr>
        <w:t>Culture with ISO, regardless of GT exposure, increased mRNA expression of early steroidogenic enzymes (</w:t>
      </w:r>
      <w:r w:rsidRPr="00970E85">
        <w:rPr>
          <w:rFonts w:ascii="Arial" w:hAnsi="Arial" w:cs="Arial"/>
          <w:i/>
          <w:iCs/>
          <w:spacing w:val="0"/>
          <w:sz w:val="22"/>
          <w:szCs w:val="22"/>
        </w:rPr>
        <w:t>StAR</w:t>
      </w:r>
      <w:r w:rsidRPr="00970E85">
        <w:rPr>
          <w:rFonts w:ascii="Arial" w:hAnsi="Arial" w:cs="Arial"/>
          <w:spacing w:val="0"/>
          <w:sz w:val="22"/>
          <w:szCs w:val="22"/>
        </w:rPr>
        <w:t xml:space="preserve"> and 3b</w:t>
      </w:r>
      <w:r w:rsidRPr="00970E85">
        <w:rPr>
          <w:rFonts w:ascii="Arial" w:hAnsi="Arial" w:cs="Arial"/>
          <w:i/>
          <w:iCs/>
          <w:spacing w:val="0"/>
          <w:sz w:val="22"/>
          <w:szCs w:val="22"/>
        </w:rPr>
        <w:t>Hsd)</w:t>
      </w:r>
      <w:r w:rsidRPr="00970E85">
        <w:rPr>
          <w:rFonts w:ascii="Arial" w:hAnsi="Arial" w:cs="Arial"/>
          <w:spacing w:val="0"/>
          <w:sz w:val="22"/>
          <w:szCs w:val="22"/>
        </w:rPr>
        <w:t xml:space="preserve"> along with folliculogenic factors (</w:t>
      </w:r>
      <w:r w:rsidRPr="00970E85">
        <w:rPr>
          <w:rFonts w:ascii="Arial" w:hAnsi="Arial" w:cs="Arial"/>
          <w:i/>
          <w:iCs/>
          <w:spacing w:val="0"/>
          <w:sz w:val="22"/>
          <w:szCs w:val="22"/>
        </w:rPr>
        <w:t xml:space="preserve">GDF-9 </w:t>
      </w:r>
      <w:r w:rsidRPr="00970E85">
        <w:rPr>
          <w:rFonts w:ascii="Arial" w:hAnsi="Arial" w:cs="Arial"/>
          <w:spacing w:val="0"/>
          <w:sz w:val="22"/>
          <w:szCs w:val="22"/>
        </w:rPr>
        <w:t>and</w:t>
      </w:r>
      <w:r w:rsidRPr="00970E85">
        <w:rPr>
          <w:rFonts w:ascii="Arial" w:hAnsi="Arial" w:cs="Arial"/>
          <w:i/>
          <w:iCs/>
          <w:spacing w:val="0"/>
          <w:sz w:val="22"/>
          <w:szCs w:val="22"/>
        </w:rPr>
        <w:t xml:space="preserve"> Cox-2</w:t>
      </w:r>
      <w:r w:rsidRPr="00970E85">
        <w:rPr>
          <w:rFonts w:ascii="Arial" w:hAnsi="Arial" w:cs="Arial"/>
          <w:spacing w:val="0"/>
          <w:sz w:val="22"/>
          <w:szCs w:val="22"/>
        </w:rPr>
        <w:t xml:space="preserve">).  In contrast, only the combination of ISO+GT increased </w:t>
      </w:r>
      <w:r w:rsidRPr="00970E85">
        <w:rPr>
          <w:rFonts w:ascii="Arial" w:hAnsi="Arial" w:cs="Arial"/>
          <w:i/>
          <w:iCs/>
          <w:spacing w:val="0"/>
          <w:sz w:val="22"/>
          <w:szCs w:val="22"/>
        </w:rPr>
        <w:t xml:space="preserve">Esr1 </w:t>
      </w:r>
      <w:r w:rsidRPr="00970E85">
        <w:rPr>
          <w:rFonts w:ascii="Arial" w:hAnsi="Arial" w:cs="Arial"/>
          <w:spacing w:val="0"/>
          <w:sz w:val="22"/>
          <w:szCs w:val="22"/>
        </w:rPr>
        <w:t xml:space="preserve">mRNA, ovarian mass, and media concentrations of estradiol and prostaglandins. </w:t>
      </w:r>
      <w:r w:rsidRPr="00970E85">
        <w:rPr>
          <w:rFonts w:ascii="Arial" w:hAnsi="Arial" w:cs="Arial"/>
          <w:sz w:val="22"/>
          <w:szCs w:val="22"/>
        </w:rPr>
        <w:t xml:space="preserve">While </w:t>
      </w:r>
      <w:r w:rsidRPr="00970E85">
        <w:rPr>
          <w:rFonts w:ascii="Arial" w:hAnsi="Arial" w:cs="Arial"/>
          <w:sz w:val="22"/>
          <w:szCs w:val="22"/>
        </w:rPr>
        <w:sym w:font="Symbol" w:char="F062"/>
      </w:r>
      <w:r w:rsidRPr="00970E85">
        <w:rPr>
          <w:rFonts w:ascii="Arial" w:hAnsi="Arial" w:cs="Arial"/>
          <w:sz w:val="22"/>
          <w:szCs w:val="22"/>
        </w:rPr>
        <w:t>-adrenergic stimulation advanced some aspects of recrudescence, gonadotropins as well as exposure to additional factors are likely necessary to fully restore function in photoregressed ovaries. </w:t>
      </w:r>
    </w:p>
    <w:p w14:paraId="4F3E6F1A" w14:textId="77777777" w:rsidR="00970E85" w:rsidRDefault="00970E85" w:rsidP="00970E85">
      <w:pPr>
        <w:spacing w:line="480" w:lineRule="auto"/>
        <w:rPr>
          <w:rFonts w:ascii="Arial" w:hAnsi="Arial" w:cs="Arial"/>
          <w:sz w:val="22"/>
          <w:szCs w:val="22"/>
        </w:rPr>
      </w:pPr>
    </w:p>
    <w:p w14:paraId="29390AB8" w14:textId="77777777" w:rsidR="00970E85" w:rsidRDefault="00970E85" w:rsidP="00970E85">
      <w:pPr>
        <w:spacing w:line="480" w:lineRule="auto"/>
        <w:rPr>
          <w:rFonts w:ascii="Arial" w:hAnsi="Arial" w:cs="Arial"/>
          <w:sz w:val="22"/>
          <w:szCs w:val="22"/>
        </w:rPr>
      </w:pPr>
    </w:p>
    <w:p w14:paraId="0C5CF942" w14:textId="77777777" w:rsidR="00970E85" w:rsidRDefault="00970E85" w:rsidP="00970E85">
      <w:pPr>
        <w:spacing w:line="480" w:lineRule="auto"/>
        <w:rPr>
          <w:rFonts w:ascii="Arial" w:hAnsi="Arial" w:cs="Arial"/>
          <w:sz w:val="22"/>
          <w:szCs w:val="22"/>
        </w:rPr>
      </w:pPr>
    </w:p>
    <w:p w14:paraId="65D3063B" w14:textId="77777777" w:rsidR="00432F4C" w:rsidRDefault="00432F4C" w:rsidP="00970E85">
      <w:pPr>
        <w:spacing w:line="480" w:lineRule="auto"/>
        <w:rPr>
          <w:rFonts w:ascii="Arial" w:hAnsi="Arial" w:cs="Arial"/>
          <w:sz w:val="22"/>
          <w:szCs w:val="22"/>
        </w:rPr>
      </w:pPr>
    </w:p>
    <w:p w14:paraId="6BA2FA8B" w14:textId="77777777" w:rsidR="00432F4C" w:rsidRDefault="00432F4C" w:rsidP="00970E85">
      <w:pPr>
        <w:spacing w:line="480" w:lineRule="auto"/>
        <w:rPr>
          <w:rFonts w:ascii="Arial" w:hAnsi="Arial" w:cs="Arial"/>
          <w:sz w:val="22"/>
          <w:szCs w:val="22"/>
        </w:rPr>
      </w:pPr>
    </w:p>
    <w:p w14:paraId="6672A306" w14:textId="77777777" w:rsidR="00432F4C" w:rsidRDefault="00432F4C" w:rsidP="00970E85">
      <w:pPr>
        <w:spacing w:line="480" w:lineRule="auto"/>
        <w:rPr>
          <w:rFonts w:ascii="Arial" w:hAnsi="Arial" w:cs="Arial"/>
          <w:sz w:val="22"/>
          <w:szCs w:val="22"/>
        </w:rPr>
      </w:pPr>
    </w:p>
    <w:p w14:paraId="56E5192F" w14:textId="77777777" w:rsidR="00432F4C" w:rsidRDefault="00432F4C" w:rsidP="00970E85">
      <w:pPr>
        <w:spacing w:line="480" w:lineRule="auto"/>
        <w:rPr>
          <w:rFonts w:ascii="Arial" w:hAnsi="Arial" w:cs="Arial"/>
          <w:sz w:val="22"/>
          <w:szCs w:val="22"/>
        </w:rPr>
      </w:pPr>
    </w:p>
    <w:p w14:paraId="2E041184" w14:textId="77777777" w:rsidR="00432F4C" w:rsidRDefault="00432F4C" w:rsidP="00970E85">
      <w:pPr>
        <w:spacing w:line="480" w:lineRule="auto"/>
        <w:rPr>
          <w:rFonts w:ascii="Arial" w:hAnsi="Arial" w:cs="Arial"/>
          <w:sz w:val="22"/>
          <w:szCs w:val="22"/>
        </w:rPr>
      </w:pPr>
    </w:p>
    <w:p w14:paraId="6D20CEF1" w14:textId="77777777" w:rsidR="00432F4C" w:rsidRDefault="00432F4C" w:rsidP="00970E85">
      <w:pPr>
        <w:spacing w:line="480" w:lineRule="auto"/>
        <w:rPr>
          <w:rFonts w:ascii="Arial" w:hAnsi="Arial" w:cs="Arial"/>
          <w:sz w:val="22"/>
          <w:szCs w:val="22"/>
        </w:rPr>
      </w:pPr>
    </w:p>
    <w:p w14:paraId="32C693FB" w14:textId="77777777" w:rsidR="00CD5A31" w:rsidRDefault="00CD5A31">
      <w:pPr>
        <w:tabs>
          <w:tab w:val="clear" w:pos="8640"/>
        </w:tabs>
        <w:jc w:val="left"/>
        <w:rPr>
          <w:rFonts w:ascii="Arial" w:hAnsi="Arial" w:cs="Arial"/>
          <w:b/>
          <w:sz w:val="22"/>
          <w:szCs w:val="22"/>
        </w:rPr>
      </w:pPr>
      <w:r>
        <w:br w:type="page"/>
      </w:r>
    </w:p>
    <w:p w14:paraId="1EAFD329" w14:textId="7211DFE0" w:rsidR="00970E85" w:rsidRPr="00970E85" w:rsidRDefault="00970E85" w:rsidP="00D97457">
      <w:pPr>
        <w:pStyle w:val="Heading1"/>
      </w:pPr>
      <w:r w:rsidRPr="00970E85">
        <w:t>References</w:t>
      </w:r>
    </w:p>
    <w:p w14:paraId="5A449D0A" w14:textId="77777777" w:rsidR="00970E85" w:rsidRDefault="00970E85" w:rsidP="00970E85">
      <w:pPr>
        <w:pStyle w:val="BodyText"/>
        <w:numPr>
          <w:ilvl w:val="0"/>
          <w:numId w:val="1"/>
        </w:numPr>
        <w:spacing w:after="280" w:line="480" w:lineRule="auto"/>
        <w:rPr>
          <w:rFonts w:ascii="Arial" w:hAnsi="Arial" w:cs="Arial"/>
          <w:i/>
          <w:iCs/>
          <w:sz w:val="22"/>
          <w:szCs w:val="22"/>
        </w:rPr>
      </w:pPr>
      <w:r w:rsidRPr="00970E85">
        <w:rPr>
          <w:rFonts w:ascii="Arial" w:hAnsi="Arial" w:cs="Arial"/>
          <w:sz w:val="22"/>
          <w:szCs w:val="22"/>
        </w:rPr>
        <w:t>Moffatt-Blue CS, Sury JJ, Young KA. Short photoperiod-induced ovarian regression is mediated by apoptosis in Siberian hamsters (</w:t>
      </w:r>
      <w:r w:rsidRPr="00970E85">
        <w:rPr>
          <w:rFonts w:ascii="Arial" w:hAnsi="Arial" w:cs="Arial"/>
          <w:i/>
          <w:iCs/>
          <w:sz w:val="22"/>
          <w:szCs w:val="22"/>
        </w:rPr>
        <w:t>Phodopus sungorus)</w:t>
      </w:r>
      <w:r w:rsidRPr="00970E85">
        <w:rPr>
          <w:rFonts w:ascii="Arial" w:hAnsi="Arial" w:cs="Arial"/>
          <w:sz w:val="22"/>
          <w:szCs w:val="22"/>
        </w:rPr>
        <w:t xml:space="preserve"> Reproduction. </w:t>
      </w:r>
      <w:r w:rsidRPr="00437D14">
        <w:rPr>
          <w:rFonts w:ascii="Arial" w:hAnsi="Arial" w:cs="Arial"/>
          <w:i/>
          <w:iCs/>
          <w:sz w:val="22"/>
          <w:szCs w:val="22"/>
        </w:rPr>
        <w:t xml:space="preserve">2006;131:771-782. </w:t>
      </w:r>
    </w:p>
    <w:p w14:paraId="15497DF9" w14:textId="77777777" w:rsidR="00203A58" w:rsidRPr="00203A58" w:rsidRDefault="008A4F98" w:rsidP="00203A58">
      <w:pPr>
        <w:pStyle w:val="BodyText"/>
        <w:numPr>
          <w:ilvl w:val="0"/>
          <w:numId w:val="1"/>
        </w:numPr>
        <w:spacing w:after="280" w:line="480" w:lineRule="auto"/>
        <w:rPr>
          <w:rFonts w:ascii="Arial" w:hAnsi="Arial" w:cs="Arial"/>
          <w:i/>
          <w:iCs/>
          <w:sz w:val="22"/>
          <w:szCs w:val="22"/>
        </w:rPr>
      </w:pPr>
      <w:r>
        <w:rPr>
          <w:rFonts w:ascii="Arial" w:hAnsi="Arial" w:cs="Arial"/>
          <w:sz w:val="22"/>
          <w:szCs w:val="22"/>
        </w:rPr>
        <w:t xml:space="preserve">Glass, J.D. (1986). Short photoperiod-induced gonadal regression: Effects on the gonadotropin-releasing hormone (GnRH) neuronal system of the white-footed mouse. </w:t>
      </w:r>
      <w:r w:rsidRPr="008A4F98">
        <w:rPr>
          <w:rFonts w:ascii="Arial" w:hAnsi="Arial" w:cs="Arial"/>
          <w:i/>
          <w:iCs/>
          <w:sz w:val="22"/>
          <w:szCs w:val="22"/>
        </w:rPr>
        <w:t>Peromyscus leucopus</w:t>
      </w:r>
      <w:r>
        <w:rPr>
          <w:rFonts w:ascii="Arial" w:hAnsi="Arial" w:cs="Arial"/>
          <w:i/>
          <w:iCs/>
          <w:sz w:val="22"/>
          <w:szCs w:val="22"/>
        </w:rPr>
        <w:t>.</w:t>
      </w:r>
      <w:r>
        <w:rPr>
          <w:rFonts w:ascii="Arial" w:hAnsi="Arial" w:cs="Arial"/>
          <w:sz w:val="22"/>
          <w:szCs w:val="22"/>
        </w:rPr>
        <w:t xml:space="preserve"> </w:t>
      </w:r>
      <w:r>
        <w:rPr>
          <w:rFonts w:ascii="Arial" w:hAnsi="Arial" w:cs="Arial"/>
          <w:i/>
          <w:iCs/>
          <w:sz w:val="22"/>
          <w:szCs w:val="22"/>
        </w:rPr>
        <w:t>Biol of Reprod, 35, 733-743.</w:t>
      </w:r>
      <w:r w:rsidR="00203A58">
        <w:rPr>
          <w:rFonts w:ascii="Arial" w:hAnsi="Arial" w:cs="Arial"/>
          <w:i/>
          <w:iCs/>
          <w:sz w:val="22"/>
          <w:szCs w:val="22"/>
        </w:rPr>
        <w:t xml:space="preserve"> </w:t>
      </w:r>
    </w:p>
    <w:p w14:paraId="3F727E2B" w14:textId="77777777" w:rsidR="00203A58" w:rsidRPr="00203A58" w:rsidRDefault="00203A58" w:rsidP="00203A58">
      <w:pPr>
        <w:pStyle w:val="BodyText"/>
        <w:numPr>
          <w:ilvl w:val="0"/>
          <w:numId w:val="1"/>
        </w:numPr>
        <w:spacing w:after="280" w:line="480" w:lineRule="auto"/>
        <w:rPr>
          <w:rFonts w:ascii="Arial" w:hAnsi="Arial" w:cs="Arial"/>
          <w:sz w:val="22"/>
          <w:szCs w:val="22"/>
        </w:rPr>
      </w:pPr>
      <w:r>
        <w:rPr>
          <w:rFonts w:ascii="Arial" w:hAnsi="Arial" w:cs="Arial"/>
          <w:sz w:val="22"/>
          <w:szCs w:val="22"/>
        </w:rPr>
        <w:t xml:space="preserve">Reiter RJ. </w:t>
      </w:r>
      <w:r w:rsidR="00FA210E">
        <w:rPr>
          <w:rFonts w:ascii="Arial" w:hAnsi="Arial" w:cs="Arial"/>
          <w:sz w:val="22"/>
          <w:szCs w:val="22"/>
        </w:rPr>
        <w:t>(</w:t>
      </w:r>
      <w:r>
        <w:rPr>
          <w:rFonts w:ascii="Arial" w:hAnsi="Arial" w:cs="Arial"/>
          <w:sz w:val="22"/>
          <w:szCs w:val="22"/>
        </w:rPr>
        <w:t>1980</w:t>
      </w:r>
      <w:r w:rsidR="00FA210E">
        <w:rPr>
          <w:rFonts w:ascii="Arial" w:hAnsi="Arial" w:cs="Arial"/>
          <w:sz w:val="22"/>
          <w:szCs w:val="22"/>
        </w:rPr>
        <w:t>)</w:t>
      </w:r>
      <w:r>
        <w:rPr>
          <w:rFonts w:ascii="Arial" w:hAnsi="Arial" w:cs="Arial"/>
          <w:sz w:val="22"/>
          <w:szCs w:val="22"/>
        </w:rPr>
        <w:t xml:space="preserve">. Photoperiod: its importance as an impeller of pineal and seasonal reproductive rhythms. </w:t>
      </w:r>
      <w:r>
        <w:rPr>
          <w:rFonts w:ascii="Arial" w:hAnsi="Arial" w:cs="Arial"/>
          <w:i/>
          <w:iCs/>
          <w:sz w:val="22"/>
          <w:szCs w:val="22"/>
        </w:rPr>
        <w:t>Int J Biometeorol</w:t>
      </w:r>
      <w:r w:rsidR="00FA210E">
        <w:rPr>
          <w:rFonts w:ascii="Arial" w:hAnsi="Arial" w:cs="Arial"/>
          <w:i/>
          <w:iCs/>
          <w:sz w:val="22"/>
          <w:szCs w:val="22"/>
        </w:rPr>
        <w:t>. 24:57-63.</w:t>
      </w:r>
    </w:p>
    <w:p w14:paraId="265F00C1" w14:textId="77777777" w:rsidR="00437D14" w:rsidRPr="00970E85" w:rsidRDefault="00437D14" w:rsidP="00BE7C31">
      <w:pPr>
        <w:pStyle w:val="BodyText"/>
        <w:numPr>
          <w:ilvl w:val="0"/>
          <w:numId w:val="1"/>
        </w:numPr>
        <w:spacing w:after="280" w:line="480" w:lineRule="auto"/>
        <w:jc w:val="left"/>
        <w:rPr>
          <w:rFonts w:ascii="Arial" w:hAnsi="Arial" w:cs="Arial"/>
          <w:sz w:val="22"/>
          <w:szCs w:val="22"/>
        </w:rPr>
      </w:pPr>
      <w:r w:rsidRPr="00203A58">
        <w:rPr>
          <w:rFonts w:ascii="Arial" w:hAnsi="Arial" w:cs="Arial"/>
          <w:sz w:val="22"/>
          <w:szCs w:val="22"/>
        </w:rPr>
        <w:t>Salomon, A. K., Leon., Campbell, M.</w:t>
      </w:r>
      <w:r>
        <w:rPr>
          <w:rFonts w:ascii="Arial" w:hAnsi="Arial" w:cs="Arial"/>
          <w:sz w:val="22"/>
          <w:szCs w:val="22"/>
        </w:rPr>
        <w:t xml:space="preserve"> M., &amp; Young, K. A. (2018). Folliculogenic factors in photogressed </w:t>
      </w:r>
      <w:r w:rsidR="00BE7C31">
        <w:rPr>
          <w:rFonts w:ascii="Arial" w:hAnsi="Arial" w:cs="Arial"/>
          <w:sz w:val="22"/>
          <w:szCs w:val="22"/>
        </w:rPr>
        <w:t>ovaries</w:t>
      </w:r>
      <w:r>
        <w:rPr>
          <w:rFonts w:ascii="Arial" w:hAnsi="Arial" w:cs="Arial"/>
          <w:sz w:val="22"/>
          <w:szCs w:val="22"/>
        </w:rPr>
        <w:t>: Differences in mRNA expression in early compared to late follicle developm</w:t>
      </w:r>
      <w:r w:rsidR="00BE7C31">
        <w:rPr>
          <w:rFonts w:ascii="Arial" w:hAnsi="Arial" w:cs="Arial"/>
          <w:sz w:val="22"/>
          <w:szCs w:val="22"/>
        </w:rPr>
        <w:t>ent</w:t>
      </w:r>
      <w:r>
        <w:rPr>
          <w:rFonts w:ascii="Arial" w:hAnsi="Arial" w:cs="Arial"/>
          <w:sz w:val="22"/>
          <w:szCs w:val="22"/>
        </w:rPr>
        <w:t xml:space="preserve">. </w:t>
      </w:r>
      <w:r w:rsidRPr="00437D14">
        <w:rPr>
          <w:rFonts w:ascii="Arial" w:hAnsi="Arial" w:cs="Arial"/>
          <w:i/>
          <w:iCs/>
          <w:sz w:val="22"/>
          <w:szCs w:val="22"/>
        </w:rPr>
        <w:t>Gen Comp Endocrinol</w:t>
      </w:r>
      <w:r>
        <w:rPr>
          <w:rFonts w:ascii="Arial" w:hAnsi="Arial" w:cs="Arial"/>
          <w:i/>
          <w:iCs/>
          <w:sz w:val="22"/>
          <w:szCs w:val="22"/>
        </w:rPr>
        <w:t>, 260, 90-99.</w:t>
      </w:r>
      <w:r w:rsidR="00BE7C31">
        <w:rPr>
          <w:rFonts w:ascii="Arial" w:hAnsi="Arial" w:cs="Arial"/>
          <w:i/>
          <w:iCs/>
          <w:sz w:val="22"/>
          <w:szCs w:val="22"/>
        </w:rPr>
        <w:t xml:space="preserve"> </w:t>
      </w:r>
      <w:hyperlink r:id="rId11" w:history="1">
        <w:r w:rsidR="00BE7C31" w:rsidRPr="00BE7C31">
          <w:rPr>
            <w:rStyle w:val="Hyperlink"/>
            <w:rFonts w:ascii="Arial" w:hAnsi="Arial" w:cs="Arial"/>
            <w:color w:val="000000" w:themeColor="text1"/>
            <w:sz w:val="22"/>
            <w:szCs w:val="22"/>
            <w:u w:val="none"/>
          </w:rPr>
          <w:t>https://doi.org/10.1016/j</w:t>
        </w:r>
      </w:hyperlink>
      <w:r w:rsidRPr="00BE7C31">
        <w:rPr>
          <w:rFonts w:ascii="Arial" w:hAnsi="Arial" w:cs="Arial"/>
          <w:color w:val="000000" w:themeColor="text1"/>
          <w:sz w:val="22"/>
          <w:szCs w:val="22"/>
        </w:rPr>
        <w:t>.</w:t>
      </w:r>
      <w:r w:rsidR="00BE7C31" w:rsidRPr="00BE7C31">
        <w:rPr>
          <w:rFonts w:ascii="Arial" w:hAnsi="Arial" w:cs="Arial"/>
          <w:color w:val="000000" w:themeColor="text1"/>
          <w:sz w:val="22"/>
          <w:szCs w:val="22"/>
        </w:rPr>
        <w:t xml:space="preserve"> </w:t>
      </w:r>
      <w:r>
        <w:rPr>
          <w:rFonts w:ascii="Arial" w:hAnsi="Arial" w:cs="Arial"/>
          <w:i/>
          <w:iCs/>
          <w:sz w:val="22"/>
          <w:szCs w:val="22"/>
        </w:rPr>
        <w:t>ygcen.2018.01.003</w:t>
      </w:r>
    </w:p>
    <w:p w14:paraId="25ACAA61" w14:textId="77777777" w:rsidR="00970E85" w:rsidRPr="00970E85" w:rsidRDefault="00970E85" w:rsidP="00970E85">
      <w:pPr>
        <w:pStyle w:val="BodyText"/>
        <w:numPr>
          <w:ilvl w:val="0"/>
          <w:numId w:val="1"/>
        </w:numPr>
        <w:spacing w:after="280" w:line="480" w:lineRule="auto"/>
        <w:rPr>
          <w:rFonts w:ascii="Arial" w:hAnsi="Arial" w:cs="Arial"/>
          <w:sz w:val="22"/>
          <w:szCs w:val="22"/>
        </w:rPr>
      </w:pPr>
      <w:r w:rsidRPr="00970E85">
        <w:rPr>
          <w:rFonts w:ascii="Arial" w:hAnsi="Arial" w:cs="Arial"/>
          <w:sz w:val="22"/>
          <w:szCs w:val="22"/>
        </w:rPr>
        <w:t>Salverson TJ, McMicheal GE, Sury JJ, Shahed A, Young KA.</w:t>
      </w:r>
      <w:r w:rsidR="00FA210E">
        <w:rPr>
          <w:rFonts w:ascii="Arial" w:hAnsi="Arial" w:cs="Arial"/>
          <w:sz w:val="22"/>
          <w:szCs w:val="22"/>
        </w:rPr>
        <w:t xml:space="preserve"> (2008). </w:t>
      </w:r>
      <w:r w:rsidRPr="00970E85">
        <w:rPr>
          <w:rFonts w:ascii="Arial" w:hAnsi="Arial" w:cs="Arial"/>
          <w:sz w:val="22"/>
          <w:szCs w:val="22"/>
        </w:rPr>
        <w:t>Differential expression of matrix metalloproteinases during stimulated ovarian recridence in Siberian hamsters (</w:t>
      </w:r>
      <w:r w:rsidRPr="00970E85">
        <w:rPr>
          <w:rFonts w:ascii="Arial" w:hAnsi="Arial" w:cs="Arial"/>
          <w:i/>
          <w:iCs/>
          <w:sz w:val="22"/>
          <w:szCs w:val="22"/>
        </w:rPr>
        <w:t xml:space="preserve">Phodopus sungorus) </w:t>
      </w:r>
      <w:r w:rsidRPr="00437D14">
        <w:rPr>
          <w:rFonts w:ascii="Arial" w:hAnsi="Arial" w:cs="Arial"/>
          <w:i/>
          <w:iCs/>
          <w:sz w:val="22"/>
          <w:szCs w:val="22"/>
        </w:rPr>
        <w:t>Gen Comp Endocrinol. 2008;155:749-761.</w:t>
      </w:r>
    </w:p>
    <w:p w14:paraId="6C1122E7" w14:textId="77777777" w:rsidR="00970E85" w:rsidRPr="00437D14" w:rsidRDefault="00970E85" w:rsidP="00970E85">
      <w:pPr>
        <w:pStyle w:val="BodyText"/>
        <w:numPr>
          <w:ilvl w:val="0"/>
          <w:numId w:val="1"/>
        </w:numPr>
        <w:spacing w:after="280" w:line="480" w:lineRule="auto"/>
        <w:rPr>
          <w:rFonts w:ascii="Arial" w:hAnsi="Arial" w:cs="Arial"/>
          <w:i/>
          <w:iCs/>
          <w:sz w:val="22"/>
          <w:szCs w:val="22"/>
        </w:rPr>
      </w:pPr>
      <w:r w:rsidRPr="00970E85">
        <w:rPr>
          <w:rFonts w:ascii="Arial" w:hAnsi="Arial" w:cs="Arial"/>
          <w:sz w:val="22"/>
          <w:szCs w:val="22"/>
        </w:rPr>
        <w:t xml:space="preserve">Schlatt S., Niklowitz P, Hoffmann K, Neischlag E. Influence of short photo periods on reproductive organs and estrous cycles of normal and pinealectomized female Djungarian hamsters </w:t>
      </w:r>
      <w:r w:rsidRPr="00970E85">
        <w:rPr>
          <w:rFonts w:ascii="Arial" w:hAnsi="Arial" w:cs="Arial"/>
          <w:i/>
          <w:iCs/>
          <w:sz w:val="22"/>
          <w:szCs w:val="22"/>
        </w:rPr>
        <w:t xml:space="preserve">Phodopus sungorus. </w:t>
      </w:r>
      <w:r w:rsidRPr="00437D14">
        <w:rPr>
          <w:rFonts w:ascii="Arial" w:hAnsi="Arial" w:cs="Arial"/>
          <w:i/>
          <w:iCs/>
          <w:sz w:val="22"/>
          <w:szCs w:val="22"/>
        </w:rPr>
        <w:t>Biol Reprod. 1993;49:243-250.</w:t>
      </w:r>
    </w:p>
    <w:p w14:paraId="6874E5B0" w14:textId="77777777" w:rsidR="00970E85" w:rsidRPr="00970E85" w:rsidRDefault="00970E85" w:rsidP="00970E85">
      <w:pPr>
        <w:spacing w:line="480" w:lineRule="auto"/>
        <w:rPr>
          <w:rFonts w:ascii="Arial" w:hAnsi="Arial" w:cs="Arial"/>
        </w:rPr>
      </w:pPr>
    </w:p>
    <w:sectPr w:rsidR="00970E85" w:rsidRPr="00970E85" w:rsidSect="00400293">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F7327" w14:textId="77777777" w:rsidR="007D762E" w:rsidRDefault="007D762E" w:rsidP="00970E85">
      <w:r>
        <w:separator/>
      </w:r>
    </w:p>
  </w:endnote>
  <w:endnote w:type="continuationSeparator" w:id="0">
    <w:p w14:paraId="23C1251A" w14:textId="77777777" w:rsidR="007D762E" w:rsidRDefault="007D762E" w:rsidP="0097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1879732"/>
      <w:docPartObj>
        <w:docPartGallery w:val="Page Numbers (Bottom of Page)"/>
        <w:docPartUnique/>
      </w:docPartObj>
    </w:sdtPr>
    <w:sdtEndPr>
      <w:rPr>
        <w:rStyle w:val="PageNumber"/>
      </w:rPr>
    </w:sdtEndPr>
    <w:sdtContent>
      <w:p w14:paraId="5EFD9CB2" w14:textId="77777777" w:rsidR="00DD2A9E" w:rsidRDefault="00DD2A9E" w:rsidP="00BA7C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713055" w14:textId="77777777" w:rsidR="00DD2A9E" w:rsidRDefault="00DD2A9E" w:rsidP="00DD2A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411731"/>
      <w:docPartObj>
        <w:docPartGallery w:val="Page Numbers (Bottom of Page)"/>
        <w:docPartUnique/>
      </w:docPartObj>
    </w:sdtPr>
    <w:sdtEndPr>
      <w:rPr>
        <w:rStyle w:val="PageNumber"/>
      </w:rPr>
    </w:sdtEndPr>
    <w:sdtContent>
      <w:p w14:paraId="48437254" w14:textId="77777777" w:rsidR="00DD2A9E" w:rsidRDefault="00DD2A9E" w:rsidP="00BA7C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85EA3D" w14:textId="77777777" w:rsidR="00DD2A9E" w:rsidRDefault="00DD2A9E" w:rsidP="00DD2A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9B2D0" w14:textId="77777777" w:rsidR="007D762E" w:rsidRDefault="007D762E" w:rsidP="00970E85">
      <w:r>
        <w:separator/>
      </w:r>
    </w:p>
  </w:footnote>
  <w:footnote w:type="continuationSeparator" w:id="0">
    <w:p w14:paraId="3244C57E" w14:textId="77777777" w:rsidR="007D762E" w:rsidRDefault="007D762E" w:rsidP="00970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7AE9C" w14:textId="77777777" w:rsidR="00970E85" w:rsidRPr="00586DD7" w:rsidRDefault="00970E85" w:rsidP="00970E85">
    <w:pPr>
      <w:tabs>
        <w:tab w:val="clear" w:pos="8640"/>
      </w:tabs>
      <w:jc w:val="left"/>
      <w:rPr>
        <w:rFonts w:ascii="Arial" w:hAnsi="Arial" w:cs="Arial"/>
        <w:spacing w:val="0"/>
        <w:sz w:val="22"/>
        <w:szCs w:val="22"/>
      </w:rPr>
    </w:pPr>
    <w:r w:rsidRPr="00586DD7">
      <w:rPr>
        <w:rFonts w:ascii="Arial" w:hAnsi="Arial" w:cs="Arial"/>
        <w:color w:val="000000"/>
        <w:spacing w:val="0"/>
        <w:sz w:val="22"/>
        <w:szCs w:val="22"/>
      </w:rPr>
      <w:t xml:space="preserve">Culture with Isoproterenol and Gonadotropins Restores Aspects of Steroidogenesis in Photoregressed Ovaries </w:t>
    </w:r>
  </w:p>
  <w:p w14:paraId="17328CD6" w14:textId="77777777" w:rsidR="00970E85" w:rsidRDefault="00970E85">
    <w:pPr>
      <w:pStyle w:val="Header"/>
    </w:pPr>
  </w:p>
  <w:p w14:paraId="0951B275" w14:textId="77777777" w:rsidR="00970E85" w:rsidRDefault="00970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72C03"/>
    <w:multiLevelType w:val="hybridMultilevel"/>
    <w:tmpl w:val="331AD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828CF"/>
    <w:multiLevelType w:val="hybridMultilevel"/>
    <w:tmpl w:val="1C9C16D8"/>
    <w:lvl w:ilvl="0" w:tplc="681EC988">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C4"/>
    <w:rsid w:val="00001A07"/>
    <w:rsid w:val="000472AD"/>
    <w:rsid w:val="000F0374"/>
    <w:rsid w:val="00203A58"/>
    <w:rsid w:val="002437C7"/>
    <w:rsid w:val="00294AD2"/>
    <w:rsid w:val="003A4655"/>
    <w:rsid w:val="003E643E"/>
    <w:rsid w:val="00400293"/>
    <w:rsid w:val="00432F4C"/>
    <w:rsid w:val="00437D14"/>
    <w:rsid w:val="00492F3E"/>
    <w:rsid w:val="00522D70"/>
    <w:rsid w:val="00597516"/>
    <w:rsid w:val="00671649"/>
    <w:rsid w:val="006B76A0"/>
    <w:rsid w:val="007967A9"/>
    <w:rsid w:val="007D762E"/>
    <w:rsid w:val="008A4F98"/>
    <w:rsid w:val="008F6FA7"/>
    <w:rsid w:val="00913637"/>
    <w:rsid w:val="00917656"/>
    <w:rsid w:val="009648C6"/>
    <w:rsid w:val="00970E85"/>
    <w:rsid w:val="009A3357"/>
    <w:rsid w:val="00A57D70"/>
    <w:rsid w:val="00AC0F88"/>
    <w:rsid w:val="00AE069C"/>
    <w:rsid w:val="00B779DE"/>
    <w:rsid w:val="00BE230B"/>
    <w:rsid w:val="00BE7C31"/>
    <w:rsid w:val="00C0188E"/>
    <w:rsid w:val="00C160C4"/>
    <w:rsid w:val="00C67DE8"/>
    <w:rsid w:val="00CC577E"/>
    <w:rsid w:val="00CD5A31"/>
    <w:rsid w:val="00D55241"/>
    <w:rsid w:val="00D97457"/>
    <w:rsid w:val="00DD2A9E"/>
    <w:rsid w:val="00E672D0"/>
    <w:rsid w:val="00E83F0E"/>
    <w:rsid w:val="00F360BA"/>
    <w:rsid w:val="00F9203C"/>
    <w:rsid w:val="00FA210E"/>
    <w:rsid w:val="00FD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8A38"/>
  <w15:chartTrackingRefBased/>
  <w15:docId w15:val="{8E5C313A-E4B6-4440-B80D-105667C6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0C4"/>
    <w:pPr>
      <w:tabs>
        <w:tab w:val="right" w:pos="8640"/>
      </w:tabs>
      <w:jc w:val="both"/>
    </w:pPr>
    <w:rPr>
      <w:rFonts w:ascii="Garamond" w:eastAsia="Times New Roman" w:hAnsi="Garamond" w:cs="Times New Roman"/>
      <w:spacing w:val="-2"/>
      <w:szCs w:val="20"/>
    </w:rPr>
  </w:style>
  <w:style w:type="paragraph" w:styleId="Heading1">
    <w:name w:val="heading 1"/>
    <w:basedOn w:val="Normal"/>
    <w:next w:val="BodyText"/>
    <w:link w:val="Heading1Char"/>
    <w:autoRedefine/>
    <w:qFormat/>
    <w:rsid w:val="00D97457"/>
    <w:pPr>
      <w:keepNext/>
      <w:spacing w:before="520" w:after="240" w:line="480" w:lineRule="auto"/>
      <w:outlineLvl w:val="0"/>
    </w:pPr>
    <w:rPr>
      <w:rFonts w:ascii="Arial" w:hAnsi="Arial" w:cs="Arial"/>
      <w:b/>
      <w:sz w:val="22"/>
      <w:szCs w:val="22"/>
    </w:rPr>
  </w:style>
  <w:style w:type="paragraph" w:styleId="Heading2">
    <w:name w:val="heading 2"/>
    <w:basedOn w:val="Normal"/>
    <w:next w:val="Normal"/>
    <w:link w:val="Heading2Char"/>
    <w:uiPriority w:val="9"/>
    <w:semiHidden/>
    <w:unhideWhenUsed/>
    <w:qFormat/>
    <w:rsid w:val="00C160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457"/>
    <w:rPr>
      <w:rFonts w:ascii="Arial" w:eastAsia="Times New Roman" w:hAnsi="Arial" w:cs="Arial"/>
      <w:b/>
      <w:spacing w:val="-2"/>
      <w:sz w:val="22"/>
      <w:szCs w:val="22"/>
    </w:rPr>
  </w:style>
  <w:style w:type="paragraph" w:styleId="BodyText">
    <w:name w:val="Body Text"/>
    <w:basedOn w:val="Normal"/>
    <w:link w:val="BodyTextChar"/>
    <w:uiPriority w:val="99"/>
    <w:unhideWhenUsed/>
    <w:rsid w:val="00C160C4"/>
    <w:pPr>
      <w:spacing w:after="120"/>
    </w:pPr>
  </w:style>
  <w:style w:type="character" w:customStyle="1" w:styleId="BodyTextChar">
    <w:name w:val="Body Text Char"/>
    <w:basedOn w:val="DefaultParagraphFont"/>
    <w:link w:val="BodyText"/>
    <w:uiPriority w:val="99"/>
    <w:rsid w:val="00C160C4"/>
    <w:rPr>
      <w:rFonts w:ascii="Garamond" w:eastAsia="Times New Roman" w:hAnsi="Garamond" w:cs="Times New Roman"/>
      <w:spacing w:val="-2"/>
      <w:szCs w:val="20"/>
    </w:rPr>
  </w:style>
  <w:style w:type="character" w:customStyle="1" w:styleId="Heading2Char">
    <w:name w:val="Heading 2 Char"/>
    <w:basedOn w:val="DefaultParagraphFont"/>
    <w:link w:val="Heading2"/>
    <w:uiPriority w:val="9"/>
    <w:semiHidden/>
    <w:rsid w:val="00C160C4"/>
    <w:rPr>
      <w:rFonts w:asciiTheme="majorHAnsi" w:eastAsiaTheme="majorEastAsia" w:hAnsiTheme="majorHAnsi" w:cstheme="majorBidi"/>
      <w:color w:val="2F5496" w:themeColor="accent1" w:themeShade="BF"/>
      <w:spacing w:val="-2"/>
      <w:sz w:val="26"/>
      <w:szCs w:val="26"/>
    </w:rPr>
  </w:style>
  <w:style w:type="paragraph" w:customStyle="1" w:styleId="PageTitle">
    <w:name w:val="Page Title"/>
    <w:basedOn w:val="Normal"/>
    <w:next w:val="Normal"/>
    <w:rsid w:val="00970E85"/>
    <w:pPr>
      <w:keepNext/>
      <w:keepLines/>
      <w:spacing w:before="560" w:after="560"/>
      <w:jc w:val="center"/>
      <w:outlineLvl w:val="0"/>
    </w:pPr>
    <w:rPr>
      <w:rFonts w:ascii="Times New Roman" w:hAnsi="Times New Roman"/>
      <w:b/>
      <w:caps/>
      <w:spacing w:val="2"/>
      <w:kern w:val="28"/>
      <w:sz w:val="30"/>
    </w:rPr>
  </w:style>
  <w:style w:type="paragraph" w:styleId="Header">
    <w:name w:val="header"/>
    <w:basedOn w:val="Normal"/>
    <w:link w:val="HeaderChar"/>
    <w:uiPriority w:val="99"/>
    <w:unhideWhenUsed/>
    <w:rsid w:val="00970E85"/>
    <w:pPr>
      <w:tabs>
        <w:tab w:val="clear" w:pos="8640"/>
        <w:tab w:val="center" w:pos="4680"/>
        <w:tab w:val="right" w:pos="9360"/>
      </w:tabs>
    </w:pPr>
  </w:style>
  <w:style w:type="character" w:customStyle="1" w:styleId="HeaderChar">
    <w:name w:val="Header Char"/>
    <w:basedOn w:val="DefaultParagraphFont"/>
    <w:link w:val="Header"/>
    <w:uiPriority w:val="99"/>
    <w:rsid w:val="00970E85"/>
    <w:rPr>
      <w:rFonts w:ascii="Garamond" w:eastAsia="Times New Roman" w:hAnsi="Garamond" w:cs="Times New Roman"/>
      <w:spacing w:val="-2"/>
      <w:szCs w:val="20"/>
    </w:rPr>
  </w:style>
  <w:style w:type="paragraph" w:styleId="Footer">
    <w:name w:val="footer"/>
    <w:basedOn w:val="Normal"/>
    <w:link w:val="FooterChar"/>
    <w:uiPriority w:val="99"/>
    <w:unhideWhenUsed/>
    <w:rsid w:val="00970E85"/>
    <w:pPr>
      <w:tabs>
        <w:tab w:val="clear" w:pos="8640"/>
        <w:tab w:val="center" w:pos="4680"/>
        <w:tab w:val="right" w:pos="9360"/>
      </w:tabs>
    </w:pPr>
  </w:style>
  <w:style w:type="character" w:customStyle="1" w:styleId="FooterChar">
    <w:name w:val="Footer Char"/>
    <w:basedOn w:val="DefaultParagraphFont"/>
    <w:link w:val="Footer"/>
    <w:uiPriority w:val="99"/>
    <w:rsid w:val="00970E85"/>
    <w:rPr>
      <w:rFonts w:ascii="Garamond" w:eastAsia="Times New Roman" w:hAnsi="Garamond" w:cs="Times New Roman"/>
      <w:spacing w:val="-2"/>
      <w:szCs w:val="20"/>
    </w:rPr>
  </w:style>
  <w:style w:type="character" w:styleId="PageNumber">
    <w:name w:val="page number"/>
    <w:basedOn w:val="DefaultParagraphFont"/>
    <w:uiPriority w:val="99"/>
    <w:semiHidden/>
    <w:unhideWhenUsed/>
    <w:rsid w:val="00DD2A9E"/>
  </w:style>
  <w:style w:type="character" w:styleId="Hyperlink">
    <w:name w:val="Hyperlink"/>
    <w:basedOn w:val="DefaultParagraphFont"/>
    <w:uiPriority w:val="99"/>
    <w:unhideWhenUsed/>
    <w:rsid w:val="00BE7C31"/>
    <w:rPr>
      <w:color w:val="0563C1" w:themeColor="hyperlink"/>
      <w:u w:val="single"/>
    </w:rPr>
  </w:style>
  <w:style w:type="character" w:styleId="UnresolvedMention">
    <w:name w:val="Unresolved Mention"/>
    <w:basedOn w:val="DefaultParagraphFont"/>
    <w:uiPriority w:val="99"/>
    <w:semiHidden/>
    <w:unhideWhenUsed/>
    <w:rsid w:val="00BE7C31"/>
    <w:rPr>
      <w:color w:val="605E5C"/>
      <w:shd w:val="clear" w:color="auto" w:fill="E1DFDD"/>
    </w:rPr>
  </w:style>
  <w:style w:type="paragraph" w:styleId="ListParagraph">
    <w:name w:val="List Paragraph"/>
    <w:basedOn w:val="Normal"/>
    <w:uiPriority w:val="34"/>
    <w:qFormat/>
    <w:rsid w:val="00001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40554">
      <w:bodyDiv w:val="1"/>
      <w:marLeft w:val="0"/>
      <w:marRight w:val="0"/>
      <w:marTop w:val="0"/>
      <w:marBottom w:val="0"/>
      <w:divBdr>
        <w:top w:val="none" w:sz="0" w:space="0" w:color="auto"/>
        <w:left w:val="none" w:sz="0" w:space="0" w:color="auto"/>
        <w:bottom w:val="none" w:sz="0" w:space="0" w:color="auto"/>
        <w:right w:val="none" w:sz="0" w:space="0" w:color="auto"/>
      </w:divBdr>
    </w:div>
    <w:div w:id="781995040">
      <w:bodyDiv w:val="1"/>
      <w:marLeft w:val="0"/>
      <w:marRight w:val="0"/>
      <w:marTop w:val="0"/>
      <w:marBottom w:val="0"/>
      <w:divBdr>
        <w:top w:val="none" w:sz="0" w:space="0" w:color="auto"/>
        <w:left w:val="none" w:sz="0" w:space="0" w:color="auto"/>
        <w:bottom w:val="none" w:sz="0" w:space="0" w:color="auto"/>
        <w:right w:val="none" w:sz="0" w:space="0" w:color="auto"/>
      </w:divBdr>
      <w:divsChild>
        <w:div w:id="487744193">
          <w:marLeft w:val="0"/>
          <w:marRight w:val="0"/>
          <w:marTop w:val="0"/>
          <w:marBottom w:val="0"/>
          <w:divBdr>
            <w:top w:val="none" w:sz="0" w:space="0" w:color="auto"/>
            <w:left w:val="none" w:sz="0" w:space="0" w:color="auto"/>
            <w:bottom w:val="none" w:sz="0" w:space="0" w:color="auto"/>
            <w:right w:val="none" w:sz="0" w:space="0" w:color="auto"/>
          </w:divBdr>
        </w:div>
        <w:div w:id="504978676">
          <w:marLeft w:val="0"/>
          <w:marRight w:val="0"/>
          <w:marTop w:val="0"/>
          <w:marBottom w:val="0"/>
          <w:divBdr>
            <w:top w:val="none" w:sz="0" w:space="0" w:color="auto"/>
            <w:left w:val="none" w:sz="0" w:space="0" w:color="auto"/>
            <w:bottom w:val="none" w:sz="0" w:space="0" w:color="auto"/>
            <w:right w:val="none" w:sz="0" w:space="0" w:color="auto"/>
          </w:divBdr>
        </w:div>
      </w:divsChild>
    </w:div>
    <w:div w:id="1126701258">
      <w:bodyDiv w:val="1"/>
      <w:marLeft w:val="0"/>
      <w:marRight w:val="0"/>
      <w:marTop w:val="0"/>
      <w:marBottom w:val="0"/>
      <w:divBdr>
        <w:top w:val="none" w:sz="0" w:space="0" w:color="auto"/>
        <w:left w:val="none" w:sz="0" w:space="0" w:color="auto"/>
        <w:bottom w:val="none" w:sz="0" w:space="0" w:color="auto"/>
        <w:right w:val="none" w:sz="0" w:space="0" w:color="auto"/>
      </w:divBdr>
      <w:divsChild>
        <w:div w:id="349794286">
          <w:marLeft w:val="0"/>
          <w:marRight w:val="0"/>
          <w:marTop w:val="0"/>
          <w:marBottom w:val="0"/>
          <w:divBdr>
            <w:top w:val="none" w:sz="0" w:space="0" w:color="auto"/>
            <w:left w:val="none" w:sz="0" w:space="0" w:color="auto"/>
            <w:bottom w:val="none" w:sz="0" w:space="0" w:color="auto"/>
            <w:right w:val="none" w:sz="0" w:space="0" w:color="auto"/>
          </w:divBdr>
        </w:div>
        <w:div w:id="816454186">
          <w:marLeft w:val="0"/>
          <w:marRight w:val="0"/>
          <w:marTop w:val="0"/>
          <w:marBottom w:val="0"/>
          <w:divBdr>
            <w:top w:val="none" w:sz="0" w:space="0" w:color="auto"/>
            <w:left w:val="none" w:sz="0" w:space="0" w:color="auto"/>
            <w:bottom w:val="none" w:sz="0" w:space="0" w:color="auto"/>
            <w:right w:val="none" w:sz="0" w:space="0" w:color="auto"/>
          </w:divBdr>
        </w:div>
      </w:divsChild>
    </w:div>
    <w:div w:id="1289554633">
      <w:bodyDiv w:val="1"/>
      <w:marLeft w:val="0"/>
      <w:marRight w:val="0"/>
      <w:marTop w:val="0"/>
      <w:marBottom w:val="0"/>
      <w:divBdr>
        <w:top w:val="none" w:sz="0" w:space="0" w:color="auto"/>
        <w:left w:val="none" w:sz="0" w:space="0" w:color="auto"/>
        <w:bottom w:val="none" w:sz="0" w:space="0" w:color="auto"/>
        <w:right w:val="none" w:sz="0" w:space="0" w:color="auto"/>
      </w:divBdr>
    </w:div>
    <w:div w:id="1290015138">
      <w:bodyDiv w:val="1"/>
      <w:marLeft w:val="0"/>
      <w:marRight w:val="0"/>
      <w:marTop w:val="0"/>
      <w:marBottom w:val="0"/>
      <w:divBdr>
        <w:top w:val="none" w:sz="0" w:space="0" w:color="auto"/>
        <w:left w:val="none" w:sz="0" w:space="0" w:color="auto"/>
        <w:bottom w:val="none" w:sz="0" w:space="0" w:color="auto"/>
        <w:right w:val="none" w:sz="0" w:space="0" w:color="auto"/>
      </w:divBdr>
    </w:div>
    <w:div w:id="132967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Macias</dc:creator>
  <cp:keywords/>
  <dc:description/>
  <cp:lastModifiedBy>user</cp:lastModifiedBy>
  <cp:revision>2</cp:revision>
  <dcterms:created xsi:type="dcterms:W3CDTF">2020-10-27T19:44:00Z</dcterms:created>
  <dcterms:modified xsi:type="dcterms:W3CDTF">2020-10-27T19:44:00Z</dcterms:modified>
</cp:coreProperties>
</file>