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1B3A6B"/>
          <w:sz w:val="32"/>
          <w:szCs w:val="32"/>
        </w:rPr>
        <w:t xml:space="preserve">PROKHAS SDN BHD &amp; MANAGED ENTITIES</w:t>
      </w:r>
    </w:p>
    <w:p>
      <w:pPr>
        <w:spacing w:after="160"/>
      </w:pPr>
      <w:r>
        <w:rPr>
          <w:color w:val="1F2937"/>
          <w:sz w:val="24"/>
          <w:szCs w:val="24"/>
        </w:rPr>
        <w:t xml:space="preserve">Executive Dashboard Project</w:t>
      </w:r>
    </w:p>
    <w:p>
      <w:pPr>
        <w:pBdr>
          <w:bottom w:val="single" w:color="C9A84C" w:sz="6"/>
        </w:pBdr>
        <w:spacing w:after="200"/>
      </w:pPr>
    </w:p>
    <w:p>
      <w:pPr>
        <w:spacing w:before="200"/>
      </w:pPr>
      <w:r>
        <w:rPr>
          <w:b/>
          <w:bCs/>
          <w:color w:val="1B3A6B"/>
          <w:sz w:val="30"/>
          <w:szCs w:val="30"/>
        </w:rPr>
        <w:t xml:space="preserve">MONTHLY PROGRESS REPORT</w:t>
      </w:r>
    </w:p>
    <w:p>
      <w:pPr>
        <w:spacing w:after="300"/>
      </w:pPr>
      <w:r>
        <w:rPr>
          <w:i/>
          <w:iCs/>
          <w:color w:val="6B7280"/>
          <w:sz w:val="22"/>
          <w:szCs w:val="22"/>
        </w:rPr>
        <w:t xml:space="preserve">Reporting Period: 1 – 30 September 2026</w:t>
      </w:r>
    </w:p>
    <w:tbl>
      <w:tblPr>
        <w:tblW w:type="dxa" w:w="9000"/>
        <w:tblBorders>
          <w:top w:val="single" w:color="DDDDDD" w:sz="4"/>
          <w:left w:val="none"/>
          <w:bottom w:val="single" w:color="DDDDDD" w:sz="4"/>
          <w:right w:val="none"/>
          <w:insideH w:val="single" w:color="EEEEEE" w:sz="2"/>
          <w:insideV w:val="none"/>
        </w:tblBorders>
      </w:tblPr>
      <w:tblGrid>
        <w:gridCol w:w="100"/>
        <w:gridCol w:w="100"/>
      </w:tblGrid>
      <w:tr>
        <w:tc>
          <w:tcPr>
            <w:tcW w:type="dxa" w:w="2700"/>
            <w:tcMar>
              <w:top w:type="dxa" w:w="80"/>
              <w:bottom w:type="dxa" w:w="80"/>
            </w:tcMar>
          </w:tcPr>
          <w:p>
            <w:r>
              <w:rPr>
                <w:b/>
                <w:bCs/>
                <w:color w:val="444444"/>
                <w:sz w:val="20"/>
                <w:szCs w:val="20"/>
              </w:rPr>
              <w:t xml:space="preserve">Prepared by:</w:t>
            </w:r>
          </w:p>
        </w:tc>
        <w:tc>
          <w:tcPr>
            <w:tcW w:type="dxa" w:w="6300"/>
            <w:tcMar>
              <w:top w:type="dxa" w:w="80"/>
              <w:bottom w:type="dxa" w:w="80"/>
            </w:tcMar>
          </w:tcPr>
          <w:p>
            <w:r>
              <w:rPr>
                <w:sz w:val="20"/>
                <w:szCs w:val="20"/>
              </w:rPr>
              <w:t xml:space="preserve">Ahmad Najmi bin Ariffin (Contract Associate)</w:t>
            </w:r>
          </w:p>
        </w:tc>
      </w:tr>
      <w:tr>
        <w:tc>
          <w:tcPr>
            <w:tcW w:type="dxa" w:w="2700"/>
            <w:tcMar>
              <w:top w:type="dxa" w:w="80"/>
              <w:bottom w:type="dxa" w:w="80"/>
            </w:tcMar>
          </w:tcPr>
          <w:p>
            <w:r>
              <w:rPr>
                <w:b/>
                <w:bCs/>
                <w:color w:val="444444"/>
                <w:sz w:val="20"/>
                <w:szCs w:val="20"/>
              </w:rPr>
              <w:t xml:space="preserve">Reference:</w:t>
            </w:r>
          </w:p>
        </w:tc>
        <w:tc>
          <w:tcPr>
            <w:tcW w:type="dxa" w:w="6300"/>
            <w:tcMar>
              <w:top w:type="dxa" w:w="80"/>
              <w:bottom w:type="dxa" w:w="80"/>
            </w:tcMar>
          </w:tcPr>
          <w:p>
            <w:r>
              <w:rPr>
                <w:sz w:val="20"/>
                <w:szCs w:val="20"/>
              </w:rPr>
              <w:t xml:space="preserve">Project Charter v1.1 (13 April 2026); Addendum 1 (20 August 2026)</w:t>
            </w:r>
          </w:p>
        </w:tc>
      </w:tr>
      <w:tr>
        <w:tc>
          <w:tcPr>
            <w:tcW w:type="dxa" w:w="2700"/>
            <w:tcMar>
              <w:top w:type="dxa" w:w="80"/>
              <w:bottom w:type="dxa" w:w="80"/>
            </w:tcMar>
          </w:tcPr>
          <w:p>
            <w:r>
              <w:rPr>
                <w:b/>
                <w:bCs/>
                <w:color w:val="444444"/>
                <w:sz w:val="20"/>
                <w:szCs w:val="20"/>
              </w:rPr>
              <w:t xml:space="preserve">Purpose:</w:t>
            </w:r>
          </w:p>
        </w:tc>
        <w:tc>
          <w:tcPr>
            <w:tcW w:type="dxa" w:w="6300"/>
            <w:tcMar>
              <w:top w:type="dxa" w:w="80"/>
              <w:bottom w:type="dxa" w:w="80"/>
            </w:tcMar>
          </w:tcPr>
          <w:p>
            <w:r>
              <w:rPr>
                <w:sz w:val="20"/>
                <w:szCs w:val="20"/>
              </w:rPr>
              <w:t xml:space="preserve">Supporting document for September 2026 claim submission</w:t>
            </w:r>
          </w:p>
        </w:tc>
      </w:tr>
      <w:tr>
        <w:tc>
          <w:tcPr>
            <w:tcW w:type="dxa" w:w="2700"/>
            <w:tcMar>
              <w:top w:type="dxa" w:w="80"/>
              <w:bottom w:type="dxa" w:w="80"/>
            </w:tcMar>
          </w:tcPr>
          <w:p>
            <w:r>
              <w:rPr>
                <w:b/>
                <w:bCs/>
                <w:color w:val="444444"/>
                <w:sz w:val="20"/>
                <w:szCs w:val="20"/>
              </w:rPr>
              <w:t xml:space="preserve">Classification:</w:t>
            </w:r>
          </w:p>
        </w:tc>
        <w:tc>
          <w:tcPr>
            <w:tcW w:type="dxa" w:w="6300"/>
            <w:tcMar>
              <w:top w:type="dxa" w:w="80"/>
              <w:bottom w:type="dxa" w:w="80"/>
            </w:tcMar>
          </w:tcPr>
          <w:p>
            <w:r>
              <w:rPr>
                <w:b/>
                <w:bCs/>
                <w:color w:val="B4383C"/>
                <w:sz w:val="20"/>
                <w:szCs w:val="20"/>
              </w:rPr>
              <w:t xml:space="preserve">Internal – Confidential</w:t>
            </w:r>
          </w:p>
        </w:tc>
      </w:tr>
    </w:tbl>
    <w:p>
      <w:pPr>
        <w:pBdr>
          <w:bottom w:val="single" w:color="C9A84C" w:sz="4" w:space="4"/>
        </w:pBdr>
        <w:spacing w:after="80" w:before="320"/>
      </w:pPr>
      <w:r>
        <w:rPr>
          <w:b/>
          <w:bCs/>
          <w:color w:val="1B3A6B"/>
          <w:sz w:val="27"/>
          <w:szCs w:val="27"/>
        </w:rPr>
        <w:t xml:space="preserve">1.  Summary</w:t>
      </w:r>
    </w:p>
    <w:p>
      <w:pPr>
        <w:spacing w:after="160"/>
      </w:pPr>
      <w:r>
        <w:rPr>
          <w:sz w:val="21"/>
          <w:szCs w:val="21"/>
        </w:rPr>
        <w:t xml:space="preserve">This report summarises progress against the seven-phase timeline agreed in Project Charter v1.1, Section 15, for the period 1–29 September 2026. Requirement Gathering &amp; Validation remains complete. UI/UX &amp; Technical Design continued through an internal User Acceptance Testing round, pending formal design sign-off. Development is now substantially complete across all three pillars, including a maker-checker workflow extended to Financial Health and Resource &amp; People, and a go-live data cutover completed in preparation for production release. User Acceptance Testing (Round 1) has been conducted and closed out; Phases 4, 6 and 7 (SIT, Deployment, Hypercare) have not yet formally started. The accompanying Project Timeline tracker has been updated to reflect this progress — User Acceptance Testing and the Rollout / Go-Live data cutover step have both been pulled forward into September, ahead of the timeline's original October window. A follow-up production data-quality audit was then conducted across all three pillars, correcting several upload-entry errors surfaced after go-live. A follow-up client review of the Financial Health exhibits then surfaced further figure discrepancies, since traced to root cause and corrected in the underlying data, together with several presentation-layout alignments to match the client’s own report format.</w:t>
      </w:r>
    </w:p>
    <w:p>
      <w:pPr>
        <w:pBdr>
          <w:bottom w:val="single" w:color="C9A84C" w:sz="4" w:space="4"/>
        </w:pBdr>
        <w:spacing w:after="80" w:before="320"/>
      </w:pPr>
      <w:r>
        <w:rPr>
          <w:b/>
          <w:bCs/>
          <w:color w:val="1B3A6B"/>
          <w:sz w:val="27"/>
          <w:szCs w:val="27"/>
        </w:rPr>
        <w:t xml:space="preserve">2.  Progress Against Agreed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1400"/>
        <w:gridCol w:w="3300"/>
      </w:tblGrid>
      <w:tr>
        <w:trPr>
          <w:tblHeader/>
        </w:trPr>
        <w:tc>
          <w:tcPr>
            <w:tcW w:type="dxa" w:w="500"/>
            <w:shd w:fill="1B3A6B" w:val="clear"/>
            <w:tcMar>
              <w:top w:type="dxa" w:w="100"/>
              <w:left w:type="dxa" w:w="120"/>
              <w:bottom w:type="dxa" w:w="100"/>
              <w:right w:type="dxa" w:w="120"/>
            </w:tcMar>
          </w:tcPr>
          <w:p>
            <w:r>
              <w:rPr>
                <w:b/>
                <w:bCs/>
                <w:color w:val="FFFFFF"/>
                <w:sz w:val="20"/>
                <w:szCs w:val="20"/>
              </w:rPr>
              <w:t xml:space="preserve">#</w:t>
            </w:r>
          </w:p>
        </w:tc>
        <w:tc>
          <w:tcPr>
            <w:tcW w:type="dxa" w:w="2600"/>
            <w:shd w:fill="1B3A6B" w:val="clear"/>
            <w:tcMar>
              <w:top w:type="dxa" w:w="100"/>
              <w:left w:type="dxa" w:w="120"/>
              <w:bottom w:type="dxa" w:w="100"/>
              <w:right w:type="dxa" w:w="120"/>
            </w:tcMar>
          </w:tcPr>
          <w:p>
            <w:r>
              <w:rPr>
                <w:b/>
                <w:bCs/>
                <w:color w:val="FFFFFF"/>
                <w:sz w:val="20"/>
                <w:szCs w:val="20"/>
              </w:rPr>
              <w:t xml:space="preserve">Phase (per Charter §15)</w:t>
            </w:r>
          </w:p>
        </w:tc>
        <w:tc>
          <w:tcPr>
            <w:tcW w:type="dxa" w:w="1600"/>
            <w:shd w:fill="1B3A6B" w:val="clear"/>
            <w:tcMar>
              <w:top w:type="dxa" w:w="100"/>
              <w:left w:type="dxa" w:w="120"/>
              <w:bottom w:type="dxa" w:w="100"/>
              <w:right w:type="dxa" w:w="120"/>
            </w:tcMar>
          </w:tcPr>
          <w:p>
            <w:r>
              <w:rPr>
                <w:b/>
                <w:bCs/>
                <w:color w:val="FFFFFF"/>
                <w:sz w:val="20"/>
                <w:szCs w:val="20"/>
              </w:rPr>
              <w:t xml:space="preserve">Planned Duration</w:t>
            </w:r>
          </w:p>
        </w:tc>
        <w:tc>
          <w:tcPr>
            <w:tcW w:type="dxa" w:w="1400"/>
            <w:shd w:fill="1B3A6B" w:val="clear"/>
            <w:tcMar>
              <w:top w:type="dxa" w:w="100"/>
              <w:left w:type="dxa" w:w="120"/>
              <w:bottom w:type="dxa" w:w="100"/>
              <w:right w:type="dxa" w:w="120"/>
            </w:tcMar>
          </w:tcPr>
          <w:p>
            <w:r>
              <w:rPr>
                <w:b/>
                <w:bCs/>
                <w:color w:val="FFFFFF"/>
                <w:sz w:val="20"/>
                <w:szCs w:val="20"/>
              </w:rPr>
              <w:t xml:space="preserve">Status</w:t>
            </w:r>
          </w:p>
        </w:tc>
        <w:tc>
          <w:tcPr>
            <w:tcW w:type="dxa" w:w="3300"/>
            <w:shd w:fill="1B3A6B" w:val="clear"/>
            <w:tcMar>
              <w:top w:type="dxa" w:w="100"/>
              <w:left w:type="dxa" w:w="120"/>
              <w:bottom w:type="dxa" w:w="100"/>
              <w:right w:type="dxa" w:w="120"/>
            </w:tcMar>
          </w:tcPr>
          <w:p>
            <w:r>
              <w:rPr>
                <w:b/>
                <w:bCs/>
                <w:color w:val="FFFFFF"/>
                <w:sz w:val="20"/>
                <w:szCs w:val="20"/>
              </w:rPr>
              <w:t xml:space="preserve">Remarks</w:t>
            </w:r>
          </w:p>
        </w:tc>
      </w:tr>
      <w:tr>
        <w:tc>
          <w:tcPr>
            <w:tcW w:type="dxa" w:w="500"/>
            <w:tcMar>
              <w:top w:type="dxa" w:w="100"/>
              <w:left w:type="dxa" w:w="120"/>
              <w:bottom w:type="dxa" w:w="100"/>
              <w:right w:type="dxa" w:w="120"/>
            </w:tcMar>
          </w:tcPr>
          <w:p>
            <w:r>
              <w:rPr>
                <w:sz w:val="20"/>
                <w:szCs w:val="20"/>
              </w:rPr>
              <w:t xml:space="preserve">1</w:t>
            </w:r>
          </w:p>
        </w:tc>
        <w:tc>
          <w:tcPr>
            <w:tcW w:type="dxa" w:w="2600"/>
            <w:tcMar>
              <w:top w:type="dxa" w:w="100"/>
              <w:left w:type="dxa" w:w="120"/>
              <w:bottom w:type="dxa" w:w="100"/>
              <w:right w:type="dxa" w:w="120"/>
            </w:tcMar>
          </w:tcPr>
          <w:p>
            <w:r>
              <w:rPr>
                <w:sz w:val="20"/>
                <w:szCs w:val="20"/>
              </w:rPr>
              <w:t xml:space="preserve">Requirement Gathering &amp; Validation</w:t>
            </w:r>
          </w:p>
        </w:tc>
        <w:tc>
          <w:tcPr>
            <w:tcW w:type="dxa" w:w="1600"/>
            <w:tcMar>
              <w:top w:type="dxa" w:w="100"/>
              <w:left w:type="dxa" w:w="120"/>
              <w:bottom w:type="dxa" w:w="100"/>
              <w:right w:type="dxa" w:w="120"/>
            </w:tcMar>
          </w:tcPr>
          <w:p>
            <w:r>
              <w:rPr>
                <w:sz w:val="20"/>
                <w:szCs w:val="20"/>
              </w:rPr>
              <w:t xml:space="preserve">2–4 weeks</w:t>
            </w:r>
          </w:p>
        </w:tc>
        <w:tc>
          <w:tcPr>
            <w:tcW w:type="dxa" w:w="1400"/>
            <w:tcMar>
              <w:top w:type="dxa" w:w="100"/>
              <w:left w:type="dxa" w:w="120"/>
              <w:bottom w:type="dxa" w:w="100"/>
              <w:right w:type="dxa" w:w="120"/>
            </w:tcMar>
          </w:tcPr>
          <w:p>
            <w:r>
              <w:rPr>
                <w:sz w:val="20"/>
                <w:szCs w:val="20"/>
              </w:rPr>
              <w:t xml:space="preserve">Complete</w:t>
            </w:r>
          </w:p>
        </w:tc>
        <w:tc>
          <w:tcPr>
            <w:tcW w:type="dxa" w:w="3300"/>
            <w:tcMar>
              <w:top w:type="dxa" w:w="100"/>
              <w:left w:type="dxa" w:w="120"/>
              <w:bottom w:type="dxa" w:w="100"/>
              <w:right w:type="dxa" w:w="120"/>
            </w:tcMar>
          </w:tcPr>
          <w:p>
            <w:r>
              <w:rPr>
                <w:sz w:val="20"/>
                <w:szCs w:val="20"/>
              </w:rPr>
              <w:t xml:space="preserve">BRS v3.2 obtained and reviewed; KPI catalogue validated against Q1 2026 board decks; BRS Walkthrough held 6 Aug</w:t>
            </w:r>
          </w:p>
        </w:tc>
      </w:tr>
      <w:tr>
        <w:tc>
          <w:tcPr>
            <w:tcW w:type="dxa" w:w="500"/>
            <w:shd w:fill="E8EEF6" w:val="clear"/>
            <w:tcMar>
              <w:top w:type="dxa" w:w="100"/>
              <w:left w:type="dxa" w:w="120"/>
              <w:bottom w:type="dxa" w:w="100"/>
              <w:right w:type="dxa" w:w="120"/>
            </w:tcMar>
          </w:tcPr>
          <w:p>
            <w:r>
              <w:rPr>
                <w:sz w:val="20"/>
                <w:szCs w:val="20"/>
              </w:rPr>
              <w:t xml:space="preserve">2</w:t>
            </w:r>
          </w:p>
        </w:tc>
        <w:tc>
          <w:tcPr>
            <w:tcW w:type="dxa" w:w="2600"/>
            <w:shd w:fill="E8EEF6" w:val="clear"/>
            <w:tcMar>
              <w:top w:type="dxa" w:w="100"/>
              <w:left w:type="dxa" w:w="120"/>
              <w:bottom w:type="dxa" w:w="100"/>
              <w:right w:type="dxa" w:w="120"/>
            </w:tcMar>
          </w:tcPr>
          <w:p>
            <w:r>
              <w:rPr>
                <w:sz w:val="20"/>
                <w:szCs w:val="20"/>
              </w:rPr>
              <w:t xml:space="preserve">UI/UX &amp; Technical Design</w:t>
            </w:r>
          </w:p>
        </w:tc>
        <w:tc>
          <w:tcPr>
            <w:tcW w:type="dxa" w:w="1600"/>
            <w:shd w:fill="E8EEF6" w:val="clear"/>
            <w:tcMar>
              <w:top w:type="dxa" w:w="100"/>
              <w:left w:type="dxa" w:w="120"/>
              <w:bottom w:type="dxa" w:w="100"/>
              <w:right w:type="dxa" w:w="120"/>
            </w:tcMar>
          </w:tcPr>
          <w:p>
            <w:r>
              <w:rPr>
                <w:sz w:val="20"/>
                <w:szCs w:val="20"/>
              </w:rPr>
              <w:t xml:space="preserve">4–6 weeks</w:t>
            </w:r>
          </w:p>
        </w:tc>
        <w:tc>
          <w:tcPr>
            <w:tcW w:type="dxa" w:w="1400"/>
            <w:shd w:fill="E8EEF6" w:val="clear"/>
            <w:tcMar>
              <w:top w:type="dxa" w:w="100"/>
              <w:left w:type="dxa" w:w="120"/>
              <w:bottom w:type="dxa" w:w="100"/>
              <w:right w:type="dxa" w:w="120"/>
            </w:tcMar>
          </w:tcPr>
          <w:p>
            <w:r>
              <w:rPr>
                <w:sz w:val="20"/>
                <w:szCs w:val="20"/>
              </w:rPr>
              <w:t xml:space="preserve">In Progress</w:t>
            </w:r>
          </w:p>
        </w:tc>
        <w:tc>
          <w:tcPr>
            <w:tcW w:type="dxa" w:w="3300"/>
            <w:shd w:fill="E8EEF6" w:val="clear"/>
            <w:tcMar>
              <w:top w:type="dxa" w:w="100"/>
              <w:left w:type="dxa" w:w="120"/>
              <w:bottom w:type="dxa" w:w="100"/>
              <w:right w:type="dxa" w:w="120"/>
            </w:tcMar>
          </w:tcPr>
          <w:p>
            <w:r>
              <w:rPr>
                <w:sz w:val="20"/>
                <w:szCs w:val="20"/>
              </w:rPr>
              <w:t xml:space="preserve">Design iterations continued through the September UAT round and post-UAT refinement; infrastructure diagram and server specification delivered; formal design sign-off still pending confirmation with the Project Sponsor</w:t>
            </w:r>
          </w:p>
        </w:tc>
      </w:tr>
      <w:tr>
        <w:tc>
          <w:tcPr>
            <w:tcW w:type="dxa" w:w="500"/>
            <w:tcMar>
              <w:top w:type="dxa" w:w="100"/>
              <w:left w:type="dxa" w:w="120"/>
              <w:bottom w:type="dxa" w:w="100"/>
              <w:right w:type="dxa" w:w="120"/>
            </w:tcMar>
          </w:tcPr>
          <w:p>
            <w:r>
              <w:rPr>
                <w:sz w:val="20"/>
                <w:szCs w:val="20"/>
              </w:rPr>
              <w:t xml:space="preserve">3</w:t>
            </w:r>
          </w:p>
        </w:tc>
        <w:tc>
          <w:tcPr>
            <w:tcW w:type="dxa" w:w="2600"/>
            <w:tcMar>
              <w:top w:type="dxa" w:w="100"/>
              <w:left w:type="dxa" w:w="120"/>
              <w:bottom w:type="dxa" w:w="100"/>
              <w:right w:type="dxa" w:w="120"/>
            </w:tcMar>
          </w:tcPr>
          <w:p>
            <w:r>
              <w:rPr>
                <w:sz w:val="20"/>
                <w:szCs w:val="20"/>
              </w:rPr>
              <w:t xml:space="preserve">Development (L0–L3)</w:t>
            </w:r>
          </w:p>
        </w:tc>
        <w:tc>
          <w:tcPr>
            <w:tcW w:type="dxa" w:w="1600"/>
            <w:tcMar>
              <w:top w:type="dxa" w:w="100"/>
              <w:left w:type="dxa" w:w="120"/>
              <w:bottom w:type="dxa" w:w="100"/>
              <w:right w:type="dxa" w:w="120"/>
            </w:tcMar>
          </w:tcPr>
          <w:p>
            <w:r>
              <w:rPr>
                <w:sz w:val="20"/>
                <w:szCs w:val="20"/>
              </w:rPr>
              <w:t xml:space="preserve">8–12 weeks</w:t>
            </w:r>
          </w:p>
        </w:tc>
        <w:tc>
          <w:tcPr>
            <w:tcW w:type="dxa" w:w="1400"/>
            <w:tcMar>
              <w:top w:type="dxa" w:w="100"/>
              <w:left w:type="dxa" w:w="120"/>
              <w:bottom w:type="dxa" w:w="100"/>
              <w:right w:type="dxa" w:w="120"/>
            </w:tcMar>
          </w:tcPr>
          <w:p>
            <w:r>
              <w:rPr>
                <w:sz w:val="20"/>
                <w:szCs w:val="20"/>
              </w:rPr>
              <w:t xml:space="preserve">Substantially Complete</w:t>
            </w:r>
          </w:p>
        </w:tc>
        <w:tc>
          <w:tcPr>
            <w:tcW w:type="dxa" w:w="3300"/>
            <w:tcMar>
              <w:top w:type="dxa" w:w="100"/>
              <w:left w:type="dxa" w:w="120"/>
              <w:bottom w:type="dxa" w:w="100"/>
              <w:right w:type="dxa" w:w="120"/>
            </w:tcMar>
          </w:tcPr>
          <w:p>
            <w:r>
              <w:rPr>
                <w:sz w:val="20"/>
                <w:szCs w:val="20"/>
              </w:rPr>
              <w:t xml:space="preserve">Dashboard live and refined across all 19 screens on a working Supabase/Postgres backend; maker-checker Verify &amp; Publish workflow extended from Corporate Performance only to also cover Financial Health and Resource &amp; People, with per-pillar Head-of-Department scoping; go-live data cutover completed; role-based UI access control implemented — authenticated login and production-grade database security not yet implemented</w:t>
            </w:r>
          </w:p>
        </w:tc>
      </w:tr>
      <w:tr>
        <w:tc>
          <w:tcPr>
            <w:tcW w:type="dxa" w:w="500"/>
            <w:shd w:fill="E8EEF6" w:val="clear"/>
            <w:tcMar>
              <w:top w:type="dxa" w:w="100"/>
              <w:left w:type="dxa" w:w="120"/>
              <w:bottom w:type="dxa" w:w="100"/>
              <w:right w:type="dxa" w:w="120"/>
            </w:tcMar>
          </w:tcPr>
          <w:p>
            <w:r>
              <w:rPr>
                <w:sz w:val="20"/>
                <w:szCs w:val="20"/>
              </w:rPr>
              <w:t xml:space="preserve">4</w:t>
            </w:r>
          </w:p>
        </w:tc>
        <w:tc>
          <w:tcPr>
            <w:tcW w:type="dxa" w:w="2600"/>
            <w:shd w:fill="E8EEF6" w:val="clear"/>
            <w:tcMar>
              <w:top w:type="dxa" w:w="100"/>
              <w:left w:type="dxa" w:w="120"/>
              <w:bottom w:type="dxa" w:w="100"/>
              <w:right w:type="dxa" w:w="120"/>
            </w:tcMar>
          </w:tcPr>
          <w:p>
            <w:r>
              <w:rPr>
                <w:sz w:val="20"/>
                <w:szCs w:val="20"/>
              </w:rPr>
              <w:t xml:space="preserve">System Integration Testing</w:t>
            </w:r>
          </w:p>
        </w:tc>
        <w:tc>
          <w:tcPr>
            <w:tcW w:type="dxa" w:w="1600"/>
            <w:shd w:fill="E8EEF6" w:val="clear"/>
            <w:tcMar>
              <w:top w:type="dxa" w:w="100"/>
              <w:left w:type="dxa" w:w="120"/>
              <w:bottom w:type="dxa" w:w="100"/>
              <w:right w:type="dxa" w:w="120"/>
            </w:tcMar>
          </w:tcPr>
          <w:p>
            <w:r>
              <w:rPr>
                <w:sz w:val="20"/>
                <w:szCs w:val="20"/>
              </w:rPr>
              <w:t xml:space="preserve">2–3 weeks</w:t>
            </w:r>
          </w:p>
        </w:tc>
        <w:tc>
          <w:tcPr>
            <w:tcW w:type="dxa" w:w="1400"/>
            <w:shd w:fill="E8EEF6" w:val="clear"/>
            <w:tcMar>
              <w:top w:type="dxa" w:w="100"/>
              <w:left w:type="dxa" w:w="120"/>
              <w:bottom w:type="dxa" w:w="100"/>
              <w:right w:type="dxa" w:w="120"/>
            </w:tcMar>
          </w:tcPr>
          <w:p>
            <w:r>
              <w:rPr>
                <w:sz w:val="20"/>
                <w:szCs w:val="20"/>
              </w:rPr>
              <w:t xml:space="preserve">Not Started</w:t>
            </w:r>
          </w:p>
        </w:tc>
        <w:tc>
          <w:tcPr>
            <w:tcW w:type="dxa" w:w="3300"/>
            <w:shd w:fill="E8EEF6" w:val="clear"/>
            <w:tcMar>
              <w:top w:type="dxa" w:w="100"/>
              <w:left w:type="dxa" w:w="120"/>
              <w:bottom w:type="dxa" w:w="100"/>
              <w:right w:type="dxa" w:w="120"/>
            </w:tcMar>
          </w:tcPr>
          <w:p>
            <w:r>
              <w:rPr>
                <w:sz w:val="20"/>
                <w:szCs w:val="20"/>
              </w:rPr>
              <w:t xml:space="preserve">Sequenced after Development completion per agreed timeline</w:t>
            </w:r>
          </w:p>
        </w:tc>
      </w:tr>
      <w:tr>
        <w:tc>
          <w:tcPr>
            <w:tcW w:type="dxa" w:w="500"/>
            <w:tcMar>
              <w:top w:type="dxa" w:w="100"/>
              <w:left w:type="dxa" w:w="120"/>
              <w:bottom w:type="dxa" w:w="100"/>
              <w:right w:type="dxa" w:w="120"/>
            </w:tcMar>
          </w:tcPr>
          <w:p>
            <w:r>
              <w:rPr>
                <w:sz w:val="20"/>
                <w:szCs w:val="20"/>
              </w:rPr>
              <w:t xml:space="preserve">5</w:t>
            </w:r>
          </w:p>
        </w:tc>
        <w:tc>
          <w:tcPr>
            <w:tcW w:type="dxa" w:w="2600"/>
            <w:tcMar>
              <w:top w:type="dxa" w:w="100"/>
              <w:left w:type="dxa" w:w="120"/>
              <w:bottom w:type="dxa" w:w="100"/>
              <w:right w:type="dxa" w:w="120"/>
            </w:tcMar>
          </w:tcPr>
          <w:p>
            <w:r>
              <w:rPr>
                <w:sz w:val="20"/>
                <w:szCs w:val="20"/>
              </w:rPr>
              <w:t xml:space="preserve">User Acceptance Testing</w:t>
            </w:r>
          </w:p>
        </w:tc>
        <w:tc>
          <w:tcPr>
            <w:tcW w:type="dxa" w:w="1600"/>
            <w:tcMar>
              <w:top w:type="dxa" w:w="100"/>
              <w:left w:type="dxa" w:w="120"/>
              <w:bottom w:type="dxa" w:w="100"/>
              <w:right w:type="dxa" w:w="120"/>
            </w:tcMar>
          </w:tcPr>
          <w:p>
            <w:r>
              <w:rPr>
                <w:sz w:val="20"/>
                <w:szCs w:val="20"/>
              </w:rPr>
              <w:t xml:space="preserve">2–4 weeks</w:t>
            </w:r>
          </w:p>
        </w:tc>
        <w:tc>
          <w:tcPr>
            <w:tcW w:type="dxa" w:w="1400"/>
            <w:tcMar>
              <w:top w:type="dxa" w:w="100"/>
              <w:left w:type="dxa" w:w="120"/>
              <w:bottom w:type="dxa" w:w="100"/>
              <w:right w:type="dxa" w:w="120"/>
            </w:tcMar>
          </w:tcPr>
          <w:p>
            <w:r>
              <w:rPr>
                <w:sz w:val="20"/>
                <w:szCs w:val="20"/>
              </w:rPr>
              <w:t xml:space="preserve">In Progress</w:t>
            </w:r>
          </w:p>
        </w:tc>
        <w:tc>
          <w:tcPr>
            <w:tcW w:type="dxa" w:w="3300"/>
            <w:tcMar>
              <w:top w:type="dxa" w:w="100"/>
              <w:left w:type="dxa" w:w="120"/>
              <w:bottom w:type="dxa" w:w="100"/>
              <w:right w:type="dxa" w:w="120"/>
            </w:tcMar>
          </w:tcPr>
          <w:p>
            <w:r>
              <w:rPr>
                <w:sz w:val="20"/>
                <w:szCs w:val="20"/>
              </w:rPr>
              <w:t xml:space="preserve">Round 1 conducted 22–24 Sept 2026 with 5 participants against Test Script Masterlist v3; 9 bugs found and closed out; Round 2 to be scheduled</w:t>
            </w:r>
          </w:p>
        </w:tc>
      </w:tr>
      <w:tr>
        <w:tc>
          <w:tcPr>
            <w:tcW w:type="dxa" w:w="500"/>
            <w:shd w:fill="E8EEF6" w:val="clear"/>
            <w:tcMar>
              <w:top w:type="dxa" w:w="100"/>
              <w:left w:type="dxa" w:w="120"/>
              <w:bottom w:type="dxa" w:w="100"/>
              <w:right w:type="dxa" w:w="120"/>
            </w:tcMar>
          </w:tcPr>
          <w:p>
            <w:r>
              <w:rPr>
                <w:sz w:val="20"/>
                <w:szCs w:val="20"/>
              </w:rPr>
              <w:t xml:space="preserve">6</w:t>
            </w:r>
          </w:p>
        </w:tc>
        <w:tc>
          <w:tcPr>
            <w:tcW w:type="dxa" w:w="2600"/>
            <w:shd w:fill="E8EEF6" w:val="clear"/>
            <w:tcMar>
              <w:top w:type="dxa" w:w="100"/>
              <w:left w:type="dxa" w:w="120"/>
              <w:bottom w:type="dxa" w:w="100"/>
              <w:right w:type="dxa" w:w="120"/>
            </w:tcMar>
          </w:tcPr>
          <w:p>
            <w:r>
              <w:rPr>
                <w:sz w:val="20"/>
                <w:szCs w:val="20"/>
              </w:rPr>
              <w:t xml:space="preserve">Deployment &amp; Go-Live</w:t>
            </w:r>
          </w:p>
        </w:tc>
        <w:tc>
          <w:tcPr>
            <w:tcW w:type="dxa" w:w="1600"/>
            <w:shd w:fill="E8EEF6" w:val="clear"/>
            <w:tcMar>
              <w:top w:type="dxa" w:w="100"/>
              <w:left w:type="dxa" w:w="120"/>
              <w:bottom w:type="dxa" w:w="100"/>
              <w:right w:type="dxa" w:w="120"/>
            </w:tcMar>
          </w:tcPr>
          <w:p>
            <w:r>
              <w:rPr>
                <w:sz w:val="20"/>
                <w:szCs w:val="20"/>
              </w:rPr>
              <w:t xml:space="preserve">1–2 weeks</w:t>
            </w:r>
          </w:p>
        </w:tc>
        <w:tc>
          <w:tcPr>
            <w:tcW w:type="dxa" w:w="1400"/>
            <w:shd w:fill="E8EEF6" w:val="clear"/>
            <w:tcMar>
              <w:top w:type="dxa" w:w="100"/>
              <w:left w:type="dxa" w:w="120"/>
              <w:bottom w:type="dxa" w:w="100"/>
              <w:right w:type="dxa" w:w="120"/>
            </w:tcMar>
          </w:tcPr>
          <w:p>
            <w:r>
              <w:rPr>
                <w:sz w:val="20"/>
                <w:szCs w:val="20"/>
              </w:rPr>
              <w:t xml:space="preserve">In Progress</w:t>
            </w:r>
          </w:p>
        </w:tc>
        <w:tc>
          <w:tcPr>
            <w:tcW w:type="dxa" w:w="3300"/>
            <w:shd w:fill="E8EEF6" w:val="clear"/>
            <w:tcMar>
              <w:top w:type="dxa" w:w="100"/>
              <w:left w:type="dxa" w:w="120"/>
              <w:bottom w:type="dxa" w:w="100"/>
              <w:right w:type="dxa" w:w="120"/>
            </w:tcMar>
          </w:tcPr>
          <w:p>
            <w:r>
              <w:rPr>
                <w:sz w:val="20"/>
                <w:szCs w:val="20"/>
              </w:rPr>
              <w:t xml:space="preserve">Go-live data cutover completed 28 Sept 2026 in preparation for production release; formal deployment date not yet confirmed; post-cutover production data-quality audit completed, correcting several upload-entry errors across Corporate Performance, Financial Health and Resource &amp; People</w:t>
            </w:r>
          </w:p>
        </w:tc>
      </w:tr>
      <w:tr>
        <w:tc>
          <w:tcPr>
            <w:tcW w:type="dxa" w:w="500"/>
            <w:tcMar>
              <w:top w:type="dxa" w:w="100"/>
              <w:left w:type="dxa" w:w="120"/>
              <w:bottom w:type="dxa" w:w="100"/>
              <w:right w:type="dxa" w:w="120"/>
            </w:tcMar>
          </w:tcPr>
          <w:p>
            <w:r>
              <w:rPr>
                <w:sz w:val="20"/>
                <w:szCs w:val="20"/>
              </w:rPr>
              <w:t xml:space="preserve">7</w:t>
            </w:r>
          </w:p>
        </w:tc>
        <w:tc>
          <w:tcPr>
            <w:tcW w:type="dxa" w:w="2600"/>
            <w:tcMar>
              <w:top w:type="dxa" w:w="100"/>
              <w:left w:type="dxa" w:w="120"/>
              <w:bottom w:type="dxa" w:w="100"/>
              <w:right w:type="dxa" w:w="120"/>
            </w:tcMar>
          </w:tcPr>
          <w:p>
            <w:r>
              <w:rPr>
                <w:sz w:val="20"/>
                <w:szCs w:val="20"/>
              </w:rPr>
              <w:t xml:space="preserve">Hypercare Support</w:t>
            </w:r>
          </w:p>
        </w:tc>
        <w:tc>
          <w:tcPr>
            <w:tcW w:type="dxa" w:w="1600"/>
            <w:tcMar>
              <w:top w:type="dxa" w:w="100"/>
              <w:left w:type="dxa" w:w="120"/>
              <w:bottom w:type="dxa" w:w="100"/>
              <w:right w:type="dxa" w:w="120"/>
            </w:tcMar>
          </w:tcPr>
          <w:p>
            <w:r>
              <w:rPr>
                <w:sz w:val="20"/>
                <w:szCs w:val="20"/>
              </w:rPr>
              <w:t xml:space="preserve">1 month</w:t>
            </w:r>
          </w:p>
        </w:tc>
        <w:tc>
          <w:tcPr>
            <w:tcW w:type="dxa" w:w="1400"/>
            <w:tcMar>
              <w:top w:type="dxa" w:w="100"/>
              <w:left w:type="dxa" w:w="120"/>
              <w:bottom w:type="dxa" w:w="100"/>
              <w:right w:type="dxa" w:w="120"/>
            </w:tcMar>
          </w:tcPr>
          <w:p>
            <w:r>
              <w:rPr>
                <w:sz w:val="20"/>
                <w:szCs w:val="20"/>
              </w:rPr>
              <w:t xml:space="preserve">Not Started</w:t>
            </w:r>
          </w:p>
        </w:tc>
        <w:tc>
          <w:tcPr>
            <w:tcW w:type="dxa" w:w="3300"/>
            <w:tcMar>
              <w:top w:type="dxa" w:w="100"/>
              <w:left w:type="dxa" w:w="120"/>
              <w:bottom w:type="dxa" w:w="100"/>
              <w:right w:type="dxa" w:w="120"/>
            </w:tcMar>
          </w:tcPr>
          <w:p>
            <w:r>
              <w:rPr>
                <w:sz w:val="20"/>
                <w:szCs w:val="20"/>
              </w:rPr>
              <w:t xml:space="preserve">—</w:t>
            </w:r>
          </w:p>
        </w:tc>
      </w:tr>
    </w:tbl>
    <w:p>
      <w:pPr>
        <w:pBdr>
          <w:bottom w:val="single" w:color="C9A84C" w:sz="4" w:space="4"/>
        </w:pBdr>
        <w:spacing w:after="80" w:before="320"/>
      </w:pPr>
      <w:r>
        <w:rPr>
          <w:b/>
          <w:bCs/>
          <w:color w:val="1B3A6B"/>
          <w:sz w:val="27"/>
          <w:szCs w:val="27"/>
        </w:rPr>
        <w:t xml:space="preserve">3.  Key Activities Completed This Period</w:t>
      </w:r>
    </w:p>
    <w:p>
      <w:pPr>
        <w:pStyle w:val="ListParagraph"/>
        <w:numPr>
          <w:ilvl w:val="0"/>
          <w:numId w:val="1"/>
        </w:numPr>
        <w:spacing w:after="60"/>
        <w:rPr>
          <w:sz w:val="21"/>
          <w:szCs w:val="21"/>
        </w:rPr>
      </w:pPr>
      <w:r>
        <w:t xml:space="preserve">Conducted User Acceptance Testing Round 1 (22–24 Sept) with 5 participants against Test Script Masterlist v3</w:t>
      </w:r>
    </w:p>
    <w:p>
      <w:pPr>
        <w:pStyle w:val="ListParagraph"/>
        <w:numPr>
          <w:ilvl w:val="0"/>
          <w:numId w:val="1"/>
        </w:numPr>
        <w:spacing w:after="60"/>
        <w:rPr>
          <w:sz w:val="21"/>
          <w:szCs w:val="21"/>
        </w:rPr>
      </w:pPr>
      <w:r>
        <w:t xml:space="preserve">Fixed all 9 bugs surfaced by the UAT round, including CSV export encoding/column-fit issues and wide-table JPEG export truncation</w:t>
      </w:r>
    </w:p>
    <w:p>
      <w:pPr>
        <w:pStyle w:val="ListParagraph"/>
        <w:numPr>
          <w:ilvl w:val="0"/>
          <w:numId w:val="1"/>
        </w:numPr>
        <w:spacing w:after="60"/>
        <w:rPr>
          <w:sz w:val="21"/>
          <w:szCs w:val="21"/>
        </w:rPr>
      </w:pPr>
      <w:r>
        <w:t xml:space="preserve">Extended the maker-checker Verify &amp; Publish workflow from Corporate Performance only to also cover Financial Health and Resource &amp; People data, with per-pillar Head-of-Department scoping and a non-destructive backfill of already-live historical entries</w:t>
      </w:r>
    </w:p>
    <w:p>
      <w:pPr>
        <w:pStyle w:val="ListParagraph"/>
        <w:numPr>
          <w:ilvl w:val="0"/>
          <w:numId w:val="1"/>
        </w:numPr>
        <w:spacing w:after="60"/>
        <w:rPr>
          <w:sz w:val="21"/>
          <w:szCs w:val="21"/>
        </w:rPr>
      </w:pPr>
      <w:r>
        <w:t xml:space="preserve">Completed the go-live data cutover — pre-launch FY2025 data hidden from every period picker, while genuine FY2025 figures remain available as quarter-over-quarter and trend comparison inputs where the client confirmed they are needed</w:t>
      </w:r>
    </w:p>
    <w:p>
      <w:pPr>
        <w:pStyle w:val="ListParagraph"/>
        <w:numPr>
          <w:ilvl w:val="0"/>
          <w:numId w:val="1"/>
        </w:numPr>
        <w:spacing w:after="60"/>
        <w:rPr>
          <w:sz w:val="21"/>
          <w:szCs w:val="21"/>
        </w:rPr>
      </w:pPr>
      <w:r>
        <w:t xml:space="preserve">Added a new Department Headcount section to the Resource &amp; People demographics screen and reconnected several dashboard sections that had been showing a frozen exhibit instead of live per-quarter data</w:t>
      </w:r>
    </w:p>
    <w:p>
      <w:pPr>
        <w:pStyle w:val="ListParagraph"/>
        <w:numPr>
          <w:ilvl w:val="0"/>
          <w:numId w:val="1"/>
        </w:numPr>
        <w:spacing w:after="60"/>
        <w:rPr>
          <w:sz w:val="21"/>
          <w:szCs w:val="21"/>
        </w:rPr>
      </w:pPr>
      <w:r>
        <w:t xml:space="preserve">Removed unused legacy data-accessor functions and closed the one remaining Excel-template gap (Financial Health's Other Investment Deals effective-rate note), following a full per-pillar template-to-database audit</w:t>
      </w:r>
    </w:p>
    <w:p>
      <w:pPr>
        <w:pStyle w:val="ListParagraph"/>
        <w:numPr>
          <w:ilvl w:val="0"/>
          <w:numId w:val="1"/>
        </w:numPr>
        <w:spacing w:after="60"/>
        <w:rPr>
          <w:sz w:val="21"/>
          <w:szCs w:val="21"/>
        </w:rPr>
      </w:pPr>
      <w:r>
        <w:t xml:space="preserve">Applied post-UAT access-control hardening — refined the role view-access matrix and locked down in-session role switching — per client feedback</w:t>
      </w:r>
    </w:p>
    <w:p>
      <w:pPr>
        <w:pStyle w:val="ListParagraph"/>
        <w:numPr>
          <w:ilvl w:val="0"/>
          <w:numId w:val="1"/>
        </w:numPr>
        <w:spacing w:after="60"/>
        <w:rPr>
          <w:sz w:val="21"/>
          <w:szCs w:val="21"/>
        </w:rPr>
      </w:pPr>
      <w:r>
        <w:t xml:space="preserve">Prepared Progress Meeting #1 minutes and the resulting action checklist for the Prokhas team</w:t>
      </w:r>
    </w:p>
    <w:p>
      <w:pPr>
        <w:pStyle w:val="ListParagraph"/>
        <w:numPr>
          <w:ilvl w:val="0"/>
          <w:numId w:val="1"/>
        </w:numPr>
        <w:spacing w:after="60"/>
        <w:rPr>
          <w:sz w:val="21"/>
          <w:szCs w:val="21"/>
        </w:rPr>
      </w:pPr>
      <w:r>
        <w:t xml:space="preserve">Conducted a full post-go-live production data-quality audit across Corporate Performance, Financial Health and Resource &amp; People, and corrected the issues it surfaced — a duplicate Excel-template field collision that had silently dropped a receivables-aging bucket, a mismatched Department Headcount label format against HR's real upload file, and several currency unit-scale and decimal-fraction entry errors (RM'000 vs RM million in the PBT/CIR breakdown and Revenue by Source; whole-number vs decimal-fraction in the Recruitment Efficiency Index weightings)</w:t>
      </w:r>
    </w:p>
    <w:p>
      <w:pPr>
        <w:pStyle w:val="ListParagraph"/>
        <w:numPr>
          <w:ilvl w:val="0"/>
          <w:numId w:val="1"/>
        </w:numPr>
        <w:spacing w:after="60"/>
        <w:rPr>
          <w:sz w:val="21"/>
          <w:szCs w:val="21"/>
        </w:rPr>
      </w:pPr>
      <w:r>
        <w:t xml:space="preserve">Fixed a display bug where the PBT/CIR income-statement breakdown table on the Financial Perspective and Financial Health Overview screens always showed the latest quarter's figures regardless of which period was selected</w:t>
      </w:r>
    </w:p>
    <w:p>
      <w:pPr>
        <w:pStyle w:val="ListParagraph"/>
        <w:numPr>
          <w:ilvl w:val="0"/>
          <w:numId w:val="1"/>
        </w:numPr>
        <w:spacing w:after="60"/>
        <w:rPr>
          <w:sz w:val="21"/>
          <w:szCs w:val="21"/>
        </w:rPr>
      </w:pPr>
      <w:r>
        <w:t xml:space="preserve">Added remarks to the Data Entry Excel template's “Displayed on Dashboard” column across the affected sections, so preparers are warned about the correct unit and decimal convention before the next quarterly upload</w:t>
      </w:r>
    </w:p>
    <w:p>
      <w:pPr>
        <w:pStyle w:val="ListParagraph"/>
        <w:numPr>
          <w:ilvl w:val="0"/>
          <w:numId w:val="1"/>
        </w:numPr>
        <w:spacing w:after="60"/>
        <w:rPr>
          <w:sz w:val="21"/>
          <w:szCs w:val="21"/>
        </w:rPr>
      </w:pPr>
      <w:r>
        <w:t xml:space="preserve">Added the ability to download the originally uploaded Excel file at both Verify &amp; Publish and Upload History, for audit-trail purposes</w:t>
      </w:r>
    </w:p>
    <w:p>
      <w:pPr>
        <w:pStyle w:val="ListParagraph"/>
        <w:numPr>
          <w:ilvl w:val="0"/>
          <w:numId w:val="1"/>
        </w:numPr>
        <w:spacing w:after="60"/>
        <w:rPr>
          <w:sz w:val="21"/>
          <w:szCs w:val="21"/>
        </w:rPr>
      </w:pPr>
      <w:r>
        <w:t xml:space="preserve">Investigated and corrected a series of Financial Health data-accuracy issues raised in client review of the Q2 FY2026 exhibits, including a previously unreconciled RM3.26 million gap in the quarterly expense figures, traced to a one-off reversal of an FY25 bonus provision that had not been captured as its own line item</w:t>
      </w:r>
    </w:p>
    <w:p>
      <w:pPr>
        <w:pStyle w:val="ListParagraph"/>
        <w:numPr>
          <w:ilvl w:val="0"/>
          <w:numId w:val="1"/>
        </w:numPr>
        <w:spacing w:after="60"/>
        <w:rPr>
          <w:sz w:val="21"/>
          <w:szCs w:val="21"/>
        </w:rPr>
      </w:pPr>
      <w:r>
        <w:t xml:space="preserve">Corrected a Profit After Tax field in the underlying data that had been holding Profit Before Tax figures, a budget dividend entry with an extra digit, and a duplicated revenue-budget line item, cross-checked against the client’s own reference figures</w:t>
      </w:r>
    </w:p>
    <w:p>
      <w:pPr>
        <w:pStyle w:val="ListParagraph"/>
        <w:numPr>
          <w:ilvl w:val="0"/>
          <w:numId w:val="1"/>
        </w:numPr>
        <w:spacing w:after="60"/>
        <w:rPr>
          <w:sz w:val="21"/>
          <w:szCs w:val="21"/>
        </w:rPr>
      </w:pPr>
      <w:r>
        <w:t xml:space="preserve">Revised the Statement of Financial Position’s comparative column to the prior financial year-end (31 December 2025) rather than the immediately preceding quarter, matching standard balance-sheet reporting convention, and corrected the resulting Q2 figures</w:t>
      </w:r>
    </w:p>
    <w:p>
      <w:pPr>
        <w:pStyle w:val="ListParagraph"/>
        <w:numPr>
          <w:ilvl w:val="0"/>
          <w:numId w:val="1"/>
        </w:numPr>
        <w:spacing w:after="60"/>
        <w:rPr>
          <w:sz w:val="21"/>
          <w:szCs w:val="21"/>
        </w:rPr>
      </w:pPr>
      <w:r>
        <w:t xml:space="preserve">Aligned the Related Party Transactions table’s quarter headers and the Actual vs Budget table’s column labels with the client’s own report format</w:t>
      </w:r>
    </w:p>
    <w:p>
      <w:pPr>
        <w:pStyle w:val="ListParagraph"/>
        <w:numPr>
          <w:ilvl w:val="0"/>
          <w:numId w:val="1"/>
        </w:numPr>
        <w:spacing w:after="60"/>
        <w:rPr>
          <w:sz w:val="21"/>
          <w:szCs w:val="21"/>
        </w:rPr>
      </w:pPr>
      <w:r>
        <w:t xml:space="preserve">Restricted the login screen’s Entity selector to Prokhas only and removed the staging-environment banner from the application</w:t>
      </w:r>
    </w:p>
    <w:p>
      <w:pPr>
        <w:pStyle w:val="ListParagraph"/>
        <w:numPr>
          <w:ilvl w:val="0"/>
          <w:numId w:val="1"/>
        </w:numPr>
        <w:spacing w:after="60"/>
        <w:rPr>
          <w:sz w:val="21"/>
          <w:szCs w:val="21"/>
        </w:rPr>
      </w:pPr>
      <w:r>
        <w:t xml:space="preserve">Identified and rejected a stale test data-upload batch of 166 pending line items for Q2 FY2026 that, if approved, would have silently overwritten the corrected figures — preserving the maker-checker audit trail</w:t>
      </w:r>
    </w:p>
    <w:p>
      <w:pPr>
        <w:pBdr>
          <w:bottom w:val="single" w:color="C9A84C" w:sz="4" w:space="4"/>
        </w:pBdr>
        <w:spacing w:after="80" w:before="320"/>
      </w:pPr>
      <w:r>
        <w:rPr>
          <w:b/>
          <w:bCs/>
          <w:color w:val="1B3A6B"/>
          <w:sz w:val="27"/>
          <w:szCs w:val="27"/>
        </w:rPr>
        <w:t xml:space="preserve">4.  Milestone Status (Ref: Charter Addendum 1)</w:t>
      </w:r>
    </w:p>
    <w:p>
      <w:pPr>
        <w:spacing w:after="160"/>
      </w:pPr>
      <w:r>
        <w:rPr>
          <w:sz w:val="21"/>
          <w:szCs w:val="21"/>
        </w:rPr>
        <w:t xml:space="preserve">Against the payment milestones set out in Charter Addendum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200"/>
      </w:tblGrid>
      <w:tr>
        <w:trPr>
          <w:tblHeader/>
        </w:trPr>
        <w:tc>
          <w:tcPr>
            <w:tcW w:type="dxa" w:w="3800"/>
            <w:shd w:fill="1B3A6B" w:val="clear"/>
            <w:tcMar>
              <w:top w:type="dxa" w:w="100"/>
              <w:left w:type="dxa" w:w="120"/>
              <w:bottom w:type="dxa" w:w="100"/>
              <w:right w:type="dxa" w:w="120"/>
            </w:tcMar>
          </w:tcPr>
          <w:p>
            <w:r>
              <w:rPr>
                <w:b/>
                <w:bCs/>
                <w:color w:val="FFFFFF"/>
                <w:sz w:val="20"/>
                <w:szCs w:val="20"/>
              </w:rPr>
              <w:t xml:space="preserve">Milestone</w:t>
            </w:r>
          </w:p>
        </w:tc>
        <w:tc>
          <w:tcPr>
            <w:tcW w:type="dxa" w:w="1800"/>
            <w:shd w:fill="1B3A6B" w:val="clear"/>
            <w:tcMar>
              <w:top w:type="dxa" w:w="100"/>
              <w:left w:type="dxa" w:w="120"/>
              <w:bottom w:type="dxa" w:w="100"/>
              <w:right w:type="dxa" w:w="120"/>
            </w:tcMar>
          </w:tcPr>
          <w:p>
            <w:r>
              <w:rPr>
                <w:b/>
                <w:bCs/>
                <w:color w:val="FFFFFF"/>
                <w:sz w:val="20"/>
                <w:szCs w:val="20"/>
              </w:rPr>
              <w:t xml:space="preserve">% of Contract Value</w:t>
            </w:r>
          </w:p>
        </w:tc>
        <w:tc>
          <w:tcPr>
            <w:tcW w:type="dxa" w:w="3200"/>
            <w:shd w:fill="1B3A6B" w:val="clear"/>
            <w:tcMar>
              <w:top w:type="dxa" w:w="100"/>
              <w:left w:type="dxa" w:w="120"/>
              <w:bottom w:type="dxa" w:w="100"/>
              <w:right w:type="dxa" w:w="120"/>
            </w:tcMar>
          </w:tcPr>
          <w:p>
            <w:r>
              <w:rPr>
                <w:b/>
                <w:bCs/>
                <w:color w:val="FFFFFF"/>
                <w:sz w:val="20"/>
                <w:szCs w:val="20"/>
              </w:rPr>
              <w:t xml:space="preserve">Status</w:t>
            </w:r>
          </w:p>
        </w:tc>
      </w:tr>
      <w:tr>
        <w:tc>
          <w:tcPr>
            <w:tcW w:type="dxa" w:w="3800"/>
            <w:tcMar>
              <w:top w:type="dxa" w:w="100"/>
              <w:left w:type="dxa" w:w="120"/>
              <w:bottom w:type="dxa" w:w="100"/>
              <w:right w:type="dxa" w:w="120"/>
            </w:tcMar>
          </w:tcPr>
          <w:p>
            <w:r>
              <w:rPr>
                <w:sz w:val="20"/>
                <w:szCs w:val="20"/>
              </w:rPr>
              <w:t xml:space="preserve">M1 — Charter &amp; BRS Sign-off</w:t>
            </w:r>
          </w:p>
        </w:tc>
        <w:tc>
          <w:tcPr>
            <w:tcW w:type="dxa" w:w="1800"/>
            <w:tcMar>
              <w:top w:type="dxa" w:w="100"/>
              <w:left w:type="dxa" w:w="120"/>
              <w:bottom w:type="dxa" w:w="100"/>
              <w:right w:type="dxa" w:w="120"/>
            </w:tcMar>
          </w:tcPr>
          <w:p>
            <w:r>
              <w:rPr>
                <w:sz w:val="20"/>
                <w:szCs w:val="20"/>
              </w:rPr>
              <w:t xml:space="preserve">15%</w:t>
            </w:r>
          </w:p>
        </w:tc>
        <w:tc>
          <w:tcPr>
            <w:tcW w:type="dxa" w:w="3200"/>
            <w:tcMar>
              <w:top w:type="dxa" w:w="100"/>
              <w:left w:type="dxa" w:w="120"/>
              <w:bottom w:type="dxa" w:w="100"/>
              <w:right w:type="dxa" w:w="120"/>
            </w:tcMar>
          </w:tcPr>
          <w:p>
            <w:r>
              <w:rPr>
                <w:sz w:val="20"/>
                <w:szCs w:val="20"/>
              </w:rPr>
              <w:t xml:space="preserve">Substantially met — BRS reviewed and validated; formal sign-off to be confirmed with Project Sponsor</w:t>
            </w:r>
          </w:p>
        </w:tc>
      </w:tr>
      <w:tr>
        <w:tc>
          <w:tcPr>
            <w:tcW w:type="dxa" w:w="3800"/>
            <w:shd w:fill="E8EEF6" w:val="clear"/>
            <w:tcMar>
              <w:top w:type="dxa" w:w="100"/>
              <w:left w:type="dxa" w:w="120"/>
              <w:bottom w:type="dxa" w:w="100"/>
              <w:right w:type="dxa" w:w="120"/>
            </w:tcMar>
          </w:tcPr>
          <w:p>
            <w:r>
              <w:rPr>
                <w:sz w:val="20"/>
                <w:szCs w:val="20"/>
              </w:rPr>
              <w:t xml:space="preserve">M2 — Design Sign-off</w:t>
            </w:r>
          </w:p>
        </w:tc>
        <w:tc>
          <w:tcPr>
            <w:tcW w:type="dxa" w:w="1800"/>
            <w:shd w:fill="E8EEF6" w:val="clear"/>
            <w:tcMar>
              <w:top w:type="dxa" w:w="100"/>
              <w:left w:type="dxa" w:w="120"/>
              <w:bottom w:type="dxa" w:w="100"/>
              <w:right w:type="dxa" w:w="120"/>
            </w:tcMar>
          </w:tcPr>
          <w:p>
            <w:r>
              <w:rPr>
                <w:sz w:val="20"/>
                <w:szCs w:val="20"/>
              </w:rPr>
              <w:t xml:space="preserve">15%</w:t>
            </w:r>
          </w:p>
        </w:tc>
        <w:tc>
          <w:tcPr>
            <w:tcW w:type="dxa" w:w="3200"/>
            <w:shd w:fill="E8EEF6" w:val="clear"/>
            <w:tcMar>
              <w:top w:type="dxa" w:w="100"/>
              <w:left w:type="dxa" w:w="120"/>
              <w:bottom w:type="dxa" w:w="100"/>
              <w:right w:type="dxa" w:w="120"/>
            </w:tcMar>
          </w:tcPr>
          <w:p>
            <w:r>
              <w:rPr>
                <w:sz w:val="20"/>
                <w:szCs w:val="20"/>
              </w:rPr>
              <w:t xml:space="preserve">In progress — design iterations complete; awaiting formal stakeholder sign-off</w:t>
            </w:r>
          </w:p>
        </w:tc>
      </w:tr>
      <w:tr>
        <w:tc>
          <w:tcPr>
            <w:tcW w:type="dxa" w:w="3800"/>
            <w:tcMar>
              <w:top w:type="dxa" w:w="100"/>
              <w:left w:type="dxa" w:w="120"/>
              <w:bottom w:type="dxa" w:w="100"/>
              <w:right w:type="dxa" w:w="120"/>
            </w:tcMar>
          </w:tcPr>
          <w:p>
            <w:r>
              <w:rPr>
                <w:sz w:val="20"/>
                <w:szCs w:val="20"/>
              </w:rPr>
              <w:t xml:space="preserve">M3 — Development Complete</w:t>
            </w:r>
          </w:p>
        </w:tc>
        <w:tc>
          <w:tcPr>
            <w:tcW w:type="dxa" w:w="1800"/>
            <w:tcMar>
              <w:top w:type="dxa" w:w="100"/>
              <w:left w:type="dxa" w:w="120"/>
              <w:bottom w:type="dxa" w:w="100"/>
              <w:right w:type="dxa" w:w="120"/>
            </w:tcMar>
          </w:tcPr>
          <w:p>
            <w:r>
              <w:rPr>
                <w:sz w:val="20"/>
                <w:szCs w:val="20"/>
              </w:rPr>
              <w:t xml:space="preserve">30%</w:t>
            </w:r>
          </w:p>
        </w:tc>
        <w:tc>
          <w:tcPr>
            <w:tcW w:type="dxa" w:w="3200"/>
            <w:tcMar>
              <w:top w:type="dxa" w:w="100"/>
              <w:left w:type="dxa" w:w="120"/>
              <w:bottom w:type="dxa" w:w="100"/>
              <w:right w:type="dxa" w:w="120"/>
            </w:tcMar>
          </w:tcPr>
          <w:p>
            <w:r>
              <w:rPr>
                <w:sz w:val="20"/>
                <w:szCs w:val="20"/>
              </w:rPr>
              <w:t xml:space="preserve">Not yet due — in progress; functional build substantially complete across all 19 screens, including the extended maker-checker workflow and go-live data cutover; UAT Round 1 closed out; post-cutover data-quality audit completed; authentication and production-hardening outstanding</w:t>
            </w:r>
          </w:p>
        </w:tc>
      </w:tr>
    </w:tbl>
    <w:p>
      <w:pPr>
        <w:spacing w:after="160"/>
      </w:pPr>
      <w:r>
        <w:rPr>
          <w:i/>
          <w:iCs/>
          <w:color w:val="6B7280"/>
          <w:sz w:val="19"/>
          <w:szCs w:val="19"/>
        </w:rPr>
        <w:t xml:space="preserve">This report is submitted in support of hours claimed for September 2026 (see accompanying Contract Associate Time Sheet); it is not itself a claim for milestone payment.</w:t>
      </w:r>
    </w:p>
    <w:p>
      <w:pPr>
        <w:pBdr>
          <w:bottom w:val="single" w:color="C9A84C" w:sz="4" w:space="4"/>
        </w:pBdr>
        <w:spacing w:after="80" w:before="320"/>
      </w:pPr>
      <w:r>
        <w:rPr>
          <w:b/>
          <w:bCs/>
          <w:color w:val="1B3A6B"/>
          <w:sz w:val="27"/>
          <w:szCs w:val="27"/>
        </w:rPr>
        <w:t xml:space="preserve">5.  Next Steps</w:t>
      </w:r>
    </w:p>
    <w:p>
      <w:pPr>
        <w:pStyle w:val="ListParagraph"/>
        <w:numPr>
          <w:ilvl w:val="0"/>
          <w:numId w:val="1"/>
        </w:numPr>
        <w:spacing w:after="60"/>
        <w:rPr>
          <w:sz w:val="21"/>
          <w:szCs w:val="21"/>
        </w:rPr>
      </w:pPr>
      <w:r>
        <w:t xml:space="preserve">Obtain formal Design sign-off (Milestone M2) from the Project Sponsor</w:t>
      </w:r>
    </w:p>
    <w:p>
      <w:pPr>
        <w:pStyle w:val="ListParagraph"/>
        <w:numPr>
          <w:ilvl w:val="0"/>
          <w:numId w:val="1"/>
        </w:numPr>
        <w:spacing w:after="60"/>
        <w:rPr>
          <w:sz w:val="21"/>
          <w:szCs w:val="21"/>
        </w:rPr>
      </w:pPr>
      <w:r>
        <w:t xml:space="preserve">Schedule UAT Round 2 and begin System Integration Testing preparation</w:t>
      </w:r>
    </w:p>
    <w:p>
      <w:pPr>
        <w:pStyle w:val="ListParagraph"/>
        <w:numPr>
          <w:ilvl w:val="0"/>
          <w:numId w:val="1"/>
        </w:numPr>
        <w:spacing w:after="60"/>
        <w:rPr>
          <w:sz w:val="21"/>
          <w:szCs w:val="21"/>
        </w:rPr>
      </w:pPr>
      <w:r>
        <w:t xml:space="preserve">Progress authentication (login) and production-grade database hardening ahead of go-live</w:t>
      </w:r>
    </w:p>
    <w:p>
      <w:pPr>
        <w:pStyle w:val="ListParagraph"/>
        <w:numPr>
          <w:ilvl w:val="0"/>
          <w:numId w:val="1"/>
        </w:numPr>
        <w:spacing w:after="60"/>
        <w:rPr>
          <w:sz w:val="21"/>
          <w:szCs w:val="21"/>
        </w:rPr>
      </w:pPr>
      <w:r>
        <w:t xml:space="preserve">Confirm the 3-month Warranty clarification raised in Charter Addendum 1, and continue weekly progress meetings per the agreed cadence</w:t>
      </w:r>
    </w:p>
    <w:p>
      <w:pPr>
        <w:pBdr>
          <w:bottom w:val="single" w:color="C9A84C" w:sz="4" w:space="4"/>
        </w:pBdr>
        <w:spacing w:after="80" w:before="320"/>
      </w:pPr>
      <w:r>
        <w:rPr>
          <w:b/>
          <w:bCs/>
          <w:color w:val="1B3A6B"/>
          <w:sz w:val="27"/>
          <w:szCs w:val="27"/>
        </w:rPr>
        <w:t xml:space="preserve">6.  Document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600"/>
      </w:tblGrid>
      <w:tr>
        <w:trPr>
          <w:tblHeader/>
        </w:trPr>
        <w:tc>
          <w:tcPr>
            <w:tcW w:type="dxa" w:w="1200"/>
            <w:shd w:fill="1B3A6B" w:val="clear"/>
            <w:tcMar>
              <w:top w:type="dxa" w:w="100"/>
              <w:left w:type="dxa" w:w="120"/>
              <w:bottom w:type="dxa" w:w="100"/>
              <w:right w:type="dxa" w:w="120"/>
            </w:tcMar>
          </w:tcPr>
          <w:p>
            <w:r>
              <w:rPr>
                <w:b/>
                <w:bCs/>
                <w:color w:val="FFFFFF"/>
                <w:sz w:val="20"/>
                <w:szCs w:val="20"/>
              </w:rPr>
              <w:t xml:space="preserve">Version</w:t>
            </w:r>
          </w:p>
        </w:tc>
        <w:tc>
          <w:tcPr>
            <w:tcW w:type="dxa" w:w="1800"/>
            <w:shd w:fill="1B3A6B" w:val="clear"/>
            <w:tcMar>
              <w:top w:type="dxa" w:w="100"/>
              <w:left w:type="dxa" w:w="120"/>
              <w:bottom w:type="dxa" w:w="100"/>
              <w:right w:type="dxa" w:w="120"/>
            </w:tcMar>
          </w:tcPr>
          <w:p>
            <w:r>
              <w:rPr>
                <w:b/>
                <w:bCs/>
                <w:color w:val="FFFFFF"/>
                <w:sz w:val="20"/>
                <w:szCs w:val="20"/>
              </w:rPr>
              <w:t xml:space="preserve">Date</w:t>
            </w:r>
          </w:p>
        </w:tc>
        <w:tc>
          <w:tcPr>
            <w:tcW w:type="dxa" w:w="2600"/>
            <w:shd w:fill="1B3A6B" w:val="clear"/>
            <w:tcMar>
              <w:top w:type="dxa" w:w="100"/>
              <w:left w:type="dxa" w:w="120"/>
              <w:bottom w:type="dxa" w:w="100"/>
              <w:right w:type="dxa" w:w="120"/>
            </w:tcMar>
          </w:tcPr>
          <w:p>
            <w:r>
              <w:rPr>
                <w:b/>
                <w:bCs/>
                <w:color w:val="FFFFFF"/>
                <w:sz w:val="20"/>
                <w:szCs w:val="20"/>
              </w:rPr>
              <w:t xml:space="preserve">Author</w:t>
            </w:r>
          </w:p>
        </w:tc>
        <w:tc>
          <w:tcPr>
            <w:tcW w:type="dxa" w:w="3600"/>
            <w:shd w:fill="1B3A6B" w:val="clear"/>
            <w:tcMar>
              <w:top w:type="dxa" w:w="100"/>
              <w:left w:type="dxa" w:w="120"/>
              <w:bottom w:type="dxa" w:w="100"/>
              <w:right w:type="dxa" w:w="120"/>
            </w:tcMar>
          </w:tcPr>
          <w:p>
            <w:r>
              <w:rPr>
                <w:b/>
                <w:bCs/>
                <w:color w:val="FFFFFF"/>
                <w:sz w:val="20"/>
                <w:szCs w:val="20"/>
              </w:rPr>
              <w:t xml:space="preserve">Description</w:t>
            </w:r>
          </w:p>
        </w:tc>
      </w:tr>
      <w:tr>
        <w:tc>
          <w:tcPr>
            <w:tcW w:type="dxa" w:w="1200"/>
            <w:tcMar>
              <w:top w:type="dxa" w:w="100"/>
              <w:left w:type="dxa" w:w="120"/>
              <w:bottom w:type="dxa" w:w="100"/>
              <w:right w:type="dxa" w:w="120"/>
            </w:tcMar>
          </w:tcPr>
          <w:p>
            <w:r>
              <w:rPr>
                <w:sz w:val="20"/>
                <w:szCs w:val="20"/>
              </w:rPr>
              <w:t xml:space="preserve">1.0</w:t>
            </w:r>
          </w:p>
        </w:tc>
        <w:tc>
          <w:tcPr>
            <w:tcW w:type="dxa" w:w="1800"/>
            <w:tcMar>
              <w:top w:type="dxa" w:w="100"/>
              <w:left w:type="dxa" w:w="120"/>
              <w:bottom w:type="dxa" w:w="100"/>
              <w:right w:type="dxa" w:w="120"/>
            </w:tcMar>
          </w:tcPr>
          <w:p>
            <w:r>
              <w:rPr>
                <w:sz w:val="20"/>
                <w:szCs w:val="20"/>
              </w:rPr>
              <w:t xml:space="preserve">28 August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Initial progress report — August 2026 claim support</w:t>
            </w:r>
          </w:p>
        </w:tc>
      </w:tr>
      <w:tr>
        <w:tc>
          <w:tcPr>
            <w:tcW w:type="dxa" w:w="1200"/>
            <w:tcMar>
              <w:top w:type="dxa" w:w="100"/>
              <w:left w:type="dxa" w:w="120"/>
              <w:bottom w:type="dxa" w:w="100"/>
              <w:right w:type="dxa" w:w="120"/>
            </w:tcMar>
          </w:tcPr>
          <w:p>
            <w:r>
              <w:rPr>
                <w:sz w:val="20"/>
                <w:szCs w:val="20"/>
              </w:rPr>
              <w:t xml:space="preserve">1.1</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September 2026 progress update — claim support</w:t>
            </w:r>
          </w:p>
        </w:tc>
      </w:tr>
      <w:tr>
        <w:tc>
          <w:tcPr>
            <w:tcW w:type="dxa" w:w="1200"/>
            <w:tcMar>
              <w:top w:type="dxa" w:w="100"/>
              <w:left w:type="dxa" w:w="120"/>
              <w:bottom w:type="dxa" w:w="100"/>
              <w:right w:type="dxa" w:w="120"/>
            </w:tcMar>
          </w:tcPr>
          <w:p>
            <w:r>
              <w:rPr>
                <w:sz w:val="20"/>
                <w:szCs w:val="20"/>
              </w:rPr>
              <w:t xml:space="preserve">1.2</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Aligned report with updated Project Timeline tracker (UAT and Rollout data cutover pulled forward)</w:t>
            </w:r>
          </w:p>
        </w:tc>
      </w:tr>
      <w:tr>
        <w:tc>
          <w:tcPr>
            <w:tcW w:type="dxa" w:w="1200"/>
            <w:tcMar>
              <w:top w:type="dxa" w:w="100"/>
              <w:left w:type="dxa" w:w="120"/>
              <w:bottom w:type="dxa" w:w="100"/>
              <w:right w:type="dxa" w:w="120"/>
            </w:tcMar>
          </w:tcPr>
          <w:p>
            <w:r>
              <w:rPr>
                <w:sz w:val="20"/>
                <w:szCs w:val="20"/>
              </w:rPr>
              <w:t xml:space="preserve">1.3</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Documented the post-go-live production data-quality audit and corrections across all three pillars, and the new upload file-download feature</w:t>
            </w:r>
          </w:p>
        </w:tc>
      </w:tr>
      <w:tr>
        <w:tc>
          <w:tcPr>
            <w:tcW w:type="dxa" w:w="1200"/>
            <w:tcMar>
              <w:top w:type="dxa" w:w="100"/>
              <w:left w:type="dxa" w:w="120"/>
              <w:bottom w:type="dxa" w:w="100"/>
              <w:right w:type="dxa" w:w="120"/>
            </w:tcMar>
          </w:tcPr>
          <w:p>
            <w:r>
              <w:rPr>
                <w:sz w:val="20"/>
                <w:szCs w:val="20"/>
              </w:rPr>
              <w:t xml:space="preserve">1.4</w:t>
            </w:r>
          </w:p>
        </w:tc>
        <w:tc>
          <w:tcPr>
            <w:tcW w:type="dxa" w:w="1800"/>
            <w:tcMar>
              <w:top w:type="dxa" w:w="100"/>
              <w:left w:type="dxa" w:w="120"/>
              <w:bottom w:type="dxa" w:w="100"/>
              <w:right w:type="dxa" w:w="120"/>
            </w:tcMar>
          </w:tcPr>
          <w:p>
            <w:r>
              <w:rPr>
                <w:sz w:val="20"/>
                <w:szCs w:val="20"/>
              </w:rPr>
              <w:t xml:space="preserve">29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Fixed a display bug where the PBT/Cost-to-Income Ratio income-statement breakdown always showed the latest quarter’s figures regardless of the period selected, and added unit/decimal-convention remarks to the Data Entry Excel template’s “Displayed on Dashboard” column</w:t>
            </w:r>
          </w:p>
        </w:tc>
      </w:tr>
      <w:tr>
        <w:tc>
          <w:tcPr>
            <w:tcW w:type="dxa" w:w="1200"/>
            <w:tcMar>
              <w:top w:type="dxa" w:w="100"/>
              <w:left w:type="dxa" w:w="120"/>
              <w:bottom w:type="dxa" w:w="100"/>
              <w:right w:type="dxa" w:w="120"/>
            </w:tcMar>
          </w:tcPr>
          <w:p>
            <w:r>
              <w:rPr>
                <w:sz w:val="20"/>
                <w:szCs w:val="20"/>
              </w:rPr>
              <w:t xml:space="preserve">1.5</w:t>
            </w:r>
          </w:p>
        </w:tc>
        <w:tc>
          <w:tcPr>
            <w:tcW w:type="dxa" w:w="1800"/>
            <w:tcMar>
              <w:top w:type="dxa" w:w="100"/>
              <w:left w:type="dxa" w:w="120"/>
              <w:bottom w:type="dxa" w:w="100"/>
              <w:right w:type="dxa" w:w="120"/>
            </w:tcMar>
          </w:tcPr>
          <w:p>
            <w:r>
              <w:rPr>
                <w:sz w:val="20"/>
                <w:szCs w:val="20"/>
              </w:rPr>
              <w:t xml:space="preserve">30 September 2026</w:t>
            </w:r>
          </w:p>
        </w:tc>
        <w:tc>
          <w:tcPr>
            <w:tcW w:type="dxa" w:w="2600"/>
            <w:tcMar>
              <w:top w:type="dxa" w:w="100"/>
              <w:left w:type="dxa" w:w="120"/>
              <w:bottom w:type="dxa" w:w="100"/>
              <w:right w:type="dxa" w:w="120"/>
            </w:tcMar>
          </w:tcPr>
          <w:p>
            <w:r>
              <w:rPr>
                <w:sz w:val="20"/>
                <w:szCs w:val="20"/>
              </w:rPr>
              <w:t xml:space="preserve">Ahmad Najmi</w:t>
            </w:r>
          </w:p>
        </w:tc>
        <w:tc>
          <w:tcPr>
            <w:tcW w:type="dxa" w:w="3600"/>
            <w:tcMar>
              <w:top w:type="dxa" w:w="100"/>
              <w:left w:type="dxa" w:w="120"/>
              <w:bottom w:type="dxa" w:w="100"/>
              <w:right w:type="dxa" w:w="120"/>
            </w:tcMar>
          </w:tcPr>
          <w:p>
            <w:r>
              <w:rPr>
                <w:sz w:val="20"/>
                <w:szCs w:val="20"/>
              </w:rPr>
              <w:t xml:space="preserve">Corrected several Financial Health figures raised in client review of the Q2 FY2026 exhibits — a missing one-off bonus-provision reversal line, a mislabelled Profit After Tax figure, a budget dividend entry error, and a duplicated revenue budget line — and revised the Statement of Financial Position’s comparative basis to the prior financial year-end per standard reporting convention; aligned the Related Party Transactions and Actual vs Budget table layouts with the client’s own report format; restricted the login Entity selector to Prokhas only; removed the staging-environment banner; and rejected a stale test data-upload batch that would otherwise have overwritten the corrected figures once approved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72"/>
      </w:tabs>
    </w:pPr>
    <w:r>
      <w:rPr>
        <w:color w:val="888888"/>
        <w:sz w:val="16"/>
        <w:szCs w:val="16"/>
      </w:rPr>
      <w:t xml:space="preserve">Operational Excellence Department | Prokhas Sdn Bhd</w:t>
    </w:r>
    <w: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888888"/>
        <w:sz w:val="16"/>
        <w:szCs w:val="16"/>
      </w:rPr>
      <w:t xml:space="preserve">PROKHAS SDN BHD | Executive Dashboard Project | Progress Report | </w:t>
    </w:r>
    <w:r>
      <w:rPr>
        <w:b/>
        <w:bCs/>
        <w:color w:val="B438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2026-08-28T04:52:26.901Z</dcterms:created>
  <dcterms:modified xsi:type="dcterms:W3CDTF">2026-08-28T04:52:26.915Z</dcterms:modified>
</cp:coreProperties>
</file>

<file path=docProps/custom.xml><?xml version="1.0" encoding="utf-8"?>
<Properties xmlns="http://schemas.openxmlformats.org/officeDocument/2006/custom-properties" xmlns:vt="http://schemas.openxmlformats.org/officeDocument/2006/docPropsVTypes"/>
</file>