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附件3</w:t>
      </w:r>
    </w:p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  <w:t>浙江创新馆（筹建）展品</w:t>
      </w: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  <w:lang w:eastAsia="zh"/>
        </w:rPr>
        <w:t>汇总</w:t>
      </w: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  <w:t>表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2"/>
        </w:rPr>
        <w:t>填报单位（盖章）：              联系人：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872"/>
        <w:gridCol w:w="1161"/>
        <w:gridCol w:w="1284"/>
        <w:gridCol w:w="1285"/>
        <w:gridCol w:w="1170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序号</w:t>
            </w:r>
          </w:p>
        </w:tc>
        <w:tc>
          <w:tcPr>
            <w:tcW w:w="1872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展品名称</w:t>
            </w:r>
          </w:p>
        </w:tc>
        <w:tc>
          <w:tcPr>
            <w:tcW w:w="1161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所属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领域</w:t>
            </w:r>
          </w:p>
        </w:tc>
        <w:tc>
          <w:tcPr>
            <w:tcW w:w="1284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形式</w:t>
            </w:r>
          </w:p>
        </w:tc>
        <w:tc>
          <w:tcPr>
            <w:tcW w:w="1285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</w:t>
            </w:r>
          </w:p>
        </w:tc>
        <w:tc>
          <w:tcPr>
            <w:tcW w:w="1170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联系人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联系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蓄冰盘管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新材料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等比缩小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实物、视频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冰厚传感器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高效水蓄能装置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样本、PPT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电极式锅炉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样本、PPT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变风量末端装置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实物、视频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PLC楼宇控制器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7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温控器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8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电磁热量表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9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电磁流量计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10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电磁水表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  <w:sectPr>
          <w:headerReference r:id="rId3" w:type="default"/>
          <w:footerReference r:id="rId4" w:type="default"/>
          <w:pgSz w:w="11906" w:h="16838"/>
          <w:pgMar w:top="2098" w:right="1474" w:bottom="1984" w:left="1587" w:header="851" w:footer="992" w:gutter="0"/>
          <w:cols w:space="0" w:num="1"/>
          <w:docGrid w:type="lines" w:linePitch="318" w:charSpace="0"/>
        </w:sect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附件4</w:t>
      </w:r>
    </w:p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color w:val="000000"/>
          <w:sz w:val="40"/>
          <w:szCs w:val="40"/>
        </w:rPr>
      </w:pPr>
    </w:p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color w:val="000000"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color w:val="000000"/>
          <w:sz w:val="40"/>
          <w:szCs w:val="40"/>
        </w:rPr>
        <w:t>浙江创新馆（筹建）展品征集申报表</w:t>
      </w:r>
    </w:p>
    <w:p>
      <w:pPr>
        <w:pStyle w:val="2"/>
        <w:spacing w:line="600" w:lineRule="exac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 xml:space="preserve">          </w:t>
      </w:r>
    </w:p>
    <w:tbl>
      <w:tblPr>
        <w:tblStyle w:val="5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422"/>
        <w:gridCol w:w="711"/>
        <w:gridCol w:w="2276"/>
        <w:gridCol w:w="712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展品名称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电磁热量表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1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单位名称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杭州国电能源环境设计研究院有限公司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单位地址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杭州市临安区青山湖科技城大园路聚贤街1号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联系人</w:t>
            </w:r>
          </w:p>
        </w:tc>
        <w:tc>
          <w:tcPr>
            <w:tcW w:w="1422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711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电话</w:t>
            </w:r>
          </w:p>
        </w:tc>
        <w:tc>
          <w:tcPr>
            <w:tcW w:w="22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0571-61110372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手机</w:t>
            </w:r>
          </w:p>
        </w:tc>
        <w:tc>
          <w:tcPr>
            <w:tcW w:w="2164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98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单位简介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杭州国电能源院，源自于电力工业部杭州机械设计研究所，传承其60余年国家级科研院所的厚重历史和文化底蕴，具有人才、科研、产品、市场等综合资源优势，发展储能与节能技术，是综合能源、健康环境与智慧水务（供热）领域的国家重点高新技术企业。多年来致力于城市碳中和事业，专注于以可再生能源为主的多能源互补，以储能为核心的冷热电协同，以云平台为中心全程能效管控的区域能源技术。重点在综合能源、建筑环境、智慧水务（供热）等领域提供科学研究、工程设计、核心设备制造、安装调试以及运行维护等全过程服务。</w:t>
            </w: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国电能源院——高效蓄能及变风量空调领跑企业，拥有综合能源设备（蓄冰盘管&amp;水蓄能罐&amp;电热水机组）、智能仪表（电磁水表&amp;电磁流量计&amp;电磁冷热量表）、变风量末端装置等核心产品和一体化解决方案，利用物联网技术打造中央空调专业服务平台，为客户创造健康、舒适、节能的人居环境。</w:t>
            </w:r>
          </w:p>
          <w:p>
            <w:pPr>
              <w:pStyle w:val="2"/>
              <w:rPr>
                <w:rFonts w:hint="eastAsia" w:asciiTheme="majorEastAsia" w:hAnsiTheme="majorEastAsia" w:eastAsiaTheme="majorEastAsia" w:cstheme="majorEastAsia"/>
              </w:rPr>
            </w:pP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公司拥有员工总数200人。其中，博士生导师、教授级工程师等专业技术人员46人；大专文化程度及以上者165人(博士后和博士学位4人)。由多位国内知名的能源和建筑行业专家担任技术顾问，“新世纪百千万人才”、国务院特殊津贴专家、杭州市“131人才计划”入选人员、“钱江人才”、海外留学归国人员等优秀人才业已成为公司的技术骨干和中坚力量。与浙江大学、同济大学、华北电力大学、上海海事大学和国电能源院等联合培养研究生，向美国威斯康辛大学和国电能源院互派访问学者。承担并完成国家863项目、“十二五”国家重大科技支撑计划、国家火炬计划、国家中小企业创新基金等国家级项目7项，浙江省重大专项等省级科技计划项目近10项。</w:t>
            </w: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参与编写国家及行业标准8项，发表学术论文40余篇。荣获《2020年度国家科学技术进步二等奖》等国家及省部级科技进步奖等奖项10余项，获得77项专利及著作权(其中10项是国家发明专利)。多项科技成果经鉴定达到国际先进水平并填补国内空白，自主知识产权产品及技术服务高达销售总额的80%以上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节能产品与技术已累计在人民大会堂、北京中国尊大厦、北京丽泽平安金融中心、上海白玉兰广场、上海迪士尼能源站、上海虹桥机场、上海浦东机场、成都天府机场、广州珠江城大厦、广州大学城、广州雪松总部大楼、深圳能源大厦、百丽大厦、深圳北站、深圳前海、珠海横琴新区、杭州东站、杭州市民中心、杭州奥体中心、马来西亚吉隆坡国家中央政务区GDC、迪拜范思哲皇冠大酒店等国内外500多栋低碳节能大楼中成功应用，赢得了良好的市场口碑。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展品所属领域类别（单选）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□互联网+     □生命健康    □新材料    √碳达峰碳中和 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□海洋强省    □农业科技    □其他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u w:val="single"/>
              </w:rPr>
              <w:t xml:space="preserve">               （自填）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41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展品介绍(着重介绍先进性和在行业领域的水平)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ind w:left="0" w:leftChars="0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2"/>
                <w:lang w:val="en-US" w:eastAsia="zh-CN" w:bidi="ar-SA"/>
              </w:rPr>
              <w:t>电磁热量表由流量测量管段、能量积算仪、配对温度传感器三部分组成，实现计算、累积、存储和显示系统及设备吸收或释放的冷、热量；符合GB/T32224-2020《热量表》、CJ128-2007《热量表》、JJG225-2001《热能表检定规程》标准；广泛应用于暖通工业及民用领域，主要用于供冷供热贸易结算、建筑空调能耗分析、自控系统精细化控制等。</w:t>
            </w:r>
          </w:p>
          <w:p>
            <w:pPr>
              <w:ind w:left="0" w:leftChars="0"/>
              <w:rPr>
                <w:rFonts w:hint="eastAsia"/>
              </w:rPr>
            </w:pPr>
          </w:p>
          <w:p>
            <w:pPr>
              <w:pStyle w:val="2"/>
              <w:ind w:firstLine="420" w:firstLineChars="200"/>
              <w:rPr>
                <w:rFonts w:hint="default" w:asciiTheme="majorEastAsia" w:hAnsiTheme="majorEastAsia" w:eastAsiaTheme="majorEastAsia" w:cstheme="majorEastAsia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源牌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电磁热量表</w:t>
            </w:r>
            <w:r>
              <w:rPr>
                <w:rFonts w:hint="eastAsia" w:asciiTheme="majorEastAsia" w:hAnsiTheme="majorEastAsia" w:eastAsiaTheme="majorEastAsia" w:cstheme="majorEastAsia"/>
              </w:rPr>
              <w:t>具有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计量精准、运行稳定、使用寿命长、免维护</w:t>
            </w:r>
            <w:r>
              <w:rPr>
                <w:rFonts w:hint="eastAsia" w:asciiTheme="majorEastAsia" w:hAnsiTheme="majorEastAsia" w:eastAsiaTheme="majorEastAsia" w:cstheme="majorEastAsia"/>
              </w:rPr>
              <w:t>等优点，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已</w:t>
            </w:r>
            <w:r>
              <w:rPr>
                <w:rFonts w:hint="eastAsia" w:asciiTheme="majorEastAsia" w:hAnsiTheme="majorEastAsia" w:eastAsiaTheme="majorEastAsia" w:cstheme="majorEastAsia"/>
              </w:rPr>
              <w:t>取得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若干项</w:t>
            </w:r>
            <w:r>
              <w:rPr>
                <w:rFonts w:hint="eastAsia" w:asciiTheme="majorEastAsia" w:hAnsiTheme="majorEastAsia" w:eastAsiaTheme="majorEastAsia" w:cstheme="majorEastAsia"/>
              </w:rPr>
              <w:t>国家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发明</w:t>
            </w:r>
            <w:r>
              <w:rPr>
                <w:rFonts w:hint="eastAsia" w:asciiTheme="majorEastAsia" w:hAnsiTheme="majorEastAsia" w:eastAsiaTheme="majorEastAsia" w:cstheme="majorEastAsia"/>
              </w:rPr>
              <w:t>专利</w:t>
            </w: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</w:rPr>
              <w:t>技术成熟稳定</w:t>
            </w: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在给排水、污水处理、通用工业、化工、楼宇、城市综合体等领域有着广泛的应用。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4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展品创新点或行业地位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源牌电磁热量表优势：</w:t>
            </w:r>
          </w:p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无压损、零故障、免维护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产品采用通径直管段、无活动不见，工业级设计保证强抗干扰性和长久的稳定性。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更好的流量测量技术</w:t>
            </w:r>
          </w:p>
          <w:p>
            <w:pPr>
              <w:pStyle w:val="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传感器磁场采用优化设计，确保磁场分布最佳，在很低的流速下保证良好的精度。</w:t>
            </w:r>
          </w:p>
          <w:p>
            <w:pPr>
              <w:pStyle w:val="2"/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电极特殊设计，防结垢、极化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采用独特的防结垢电极，保证感应信号传导效果良好。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低功耗设计配备大容量电池</w:t>
            </w:r>
          </w:p>
          <w:p>
            <w:pPr>
              <w:pStyle w:val="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采用低功耗电路设计，同时配备大容量充电电池，可选配外部电源等。</w:t>
            </w:r>
          </w:p>
          <w:p>
            <w:pPr>
              <w:pStyle w:val="2"/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积算仪高度集成，稳定性高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采用32位ARM智能处理器及先进的SMT贴片工艺，抗干扰，防静电保护。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开放的通讯协议和多种通讯接口</w:t>
            </w:r>
          </w:p>
          <w:p>
            <w:pPr>
              <w:pStyle w:val="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支持MODBUS、BACnet等两种国际通用通讯协议；硬件支持各种通讯接口。</w:t>
            </w:r>
          </w:p>
          <w:p>
            <w:pPr>
              <w:pStyle w:val="2"/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温度传感器专利化设计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长度定制、铅封放盗热设计、与护套之间采用螺纹连接，提高安装效率和可靠性。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4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重大工程应用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源牌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电磁热量表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典型案例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中国人民银行、北京国贸大厦、上海世博B片区、上海中美信托大厦、上海虹桥机场商务区、上海海事大学、深圳平湖医院、深圳百丽大厦、广州亚运城综合体育馆、广州大学城、杭州海康总部、顺丰创新基地、阿里巴巴西溪五期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5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展品照片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Cs w:val="21"/>
              </w:rPr>
              <w:t>所提供的电子版照片应为JPG 格式，每张照片的存图不小于 2M（各单位自行保存好不小于 14 寸的原版照片），每张照片注释不超过20字，可附后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展品类型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√实物    □模型    □图文    □多媒体    □其他形式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展品规格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尺寸：</w:t>
            </w:r>
            <w:r>
              <w:rPr>
                <w:rFonts w:ascii="宋体" w:hAnsi="宋体" w:eastAsia="宋体" w:cs="宋体"/>
                <w:sz w:val="24"/>
                <w:szCs w:val="24"/>
              </w:rPr>
              <w:t>分体式热量表（DN40）40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cm</w:t>
            </w:r>
            <w:r>
              <w:rPr>
                <w:rFonts w:ascii="宋体" w:hAnsi="宋体" w:eastAsia="宋体" w:cs="宋体"/>
                <w:sz w:val="24"/>
                <w:szCs w:val="24"/>
              </w:rPr>
              <w:t>×20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cm</w:t>
            </w:r>
            <w:r>
              <w:rPr>
                <w:rFonts w:ascii="宋体" w:hAnsi="宋体" w:eastAsia="宋体" w:cs="宋体"/>
                <w:sz w:val="24"/>
                <w:szCs w:val="24"/>
              </w:rPr>
              <w:t>×30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cm</w:t>
            </w:r>
          </w:p>
          <w:p>
            <w:pPr>
              <w:snapToGrid w:val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P系列热量表20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cm</w:t>
            </w:r>
            <w:r>
              <w:rPr>
                <w:rFonts w:ascii="宋体" w:hAnsi="宋体" w:eastAsia="宋体" w:cs="宋体"/>
                <w:sz w:val="24"/>
                <w:szCs w:val="24"/>
              </w:rPr>
              <w:t>×10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cm</w:t>
            </w:r>
            <w:r>
              <w:rPr>
                <w:rFonts w:ascii="宋体" w:hAnsi="宋体" w:eastAsia="宋体" w:cs="宋体"/>
                <w:sz w:val="24"/>
                <w:szCs w:val="24"/>
              </w:rPr>
              <w:t>×15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cm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重量：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5kg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；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展示条件要求：需要展台；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是否需要24小时供电：□是    √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否；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其它：无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6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其他需要</w:t>
            </w:r>
          </w:p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说明的事项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wordWrap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napToGrid w:val="0"/>
        <w:spacing w:line="27" w:lineRule="atLeast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snapToGrid w:val="0"/>
        <w:spacing w:line="27" w:lineRule="atLeast"/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备注：1.一项展品一张表，如有多个展品请附多张表。</w:t>
      </w:r>
    </w:p>
    <w:p>
      <w:pPr>
        <w:pStyle w:val="2"/>
        <w:ind w:left="1200" w:leftChars="457" w:hanging="240" w:hanging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2.如有可充分体现成果、产品特点的资料（宣传册、说明书、获得的荣誉等）可一并形成压缩包提供。</w:t>
      </w: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sectPr>
      <w:pgSz w:w="11906" w:h="16838"/>
      <w:pgMar w:top="2098" w:right="1474" w:bottom="1984" w:left="1587" w:header="851" w:footer="992" w:gutter="0"/>
      <w:cols w:space="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 xml:space="preserve">－ 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 xml:space="preserve">－ 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  <w:t>11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F199C"/>
    <w:multiLevelType w:val="singleLevel"/>
    <w:tmpl w:val="537F19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DF"/>
    <w:rsid w:val="00002E87"/>
    <w:rsid w:val="0005545B"/>
    <w:rsid w:val="000E7BC1"/>
    <w:rsid w:val="00150C7C"/>
    <w:rsid w:val="001778DF"/>
    <w:rsid w:val="00181CD6"/>
    <w:rsid w:val="00251B09"/>
    <w:rsid w:val="00264FE1"/>
    <w:rsid w:val="00332C71"/>
    <w:rsid w:val="00341EA4"/>
    <w:rsid w:val="003D1587"/>
    <w:rsid w:val="004D5F3D"/>
    <w:rsid w:val="005C72B8"/>
    <w:rsid w:val="005E2779"/>
    <w:rsid w:val="006678A6"/>
    <w:rsid w:val="006B7E66"/>
    <w:rsid w:val="00986E5E"/>
    <w:rsid w:val="00DA267A"/>
    <w:rsid w:val="00DC0310"/>
    <w:rsid w:val="00DE5FD9"/>
    <w:rsid w:val="00E3146B"/>
    <w:rsid w:val="00EA5308"/>
    <w:rsid w:val="018D1BF8"/>
    <w:rsid w:val="0D943AD3"/>
    <w:rsid w:val="0F2042C9"/>
    <w:rsid w:val="116052E1"/>
    <w:rsid w:val="12092610"/>
    <w:rsid w:val="1A97581F"/>
    <w:rsid w:val="1D1862B5"/>
    <w:rsid w:val="1FDF0092"/>
    <w:rsid w:val="215163E1"/>
    <w:rsid w:val="240B637B"/>
    <w:rsid w:val="2643619D"/>
    <w:rsid w:val="270267A5"/>
    <w:rsid w:val="338A5419"/>
    <w:rsid w:val="3C7E4683"/>
    <w:rsid w:val="3EE16DD4"/>
    <w:rsid w:val="43237472"/>
    <w:rsid w:val="458F242B"/>
    <w:rsid w:val="49AC7340"/>
    <w:rsid w:val="510F6A01"/>
    <w:rsid w:val="55290FBE"/>
    <w:rsid w:val="572E12A5"/>
    <w:rsid w:val="57F01BBE"/>
    <w:rsid w:val="5E6B1D93"/>
    <w:rsid w:val="65C86071"/>
    <w:rsid w:val="673B79F5"/>
    <w:rsid w:val="681E252B"/>
    <w:rsid w:val="69CB3756"/>
    <w:rsid w:val="6ED9A03E"/>
    <w:rsid w:val="71FF2E75"/>
    <w:rsid w:val="7263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  <w:rPr>
      <w:rFonts w:ascii="Times New Roman" w:hAnsi="Times New Roman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qFormat/>
    <w:uiPriority w:val="0"/>
  </w:style>
  <w:style w:type="paragraph" w:styleId="9">
    <w:name w:val="List Paragraph"/>
    <w:basedOn w:val="1"/>
    <w:link w:val="10"/>
    <w:qFormat/>
    <w:uiPriority w:val="34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 w:val="24"/>
      <w:szCs w:val="20"/>
    </w:rPr>
  </w:style>
  <w:style w:type="character" w:customStyle="1" w:styleId="10">
    <w:name w:val="列出段落 字符"/>
    <w:basedOn w:val="7"/>
    <w:link w:val="9"/>
    <w:qFormat/>
    <w:locked/>
    <w:uiPriority w:val="34"/>
    <w:rPr>
      <w:kern w:val="2"/>
      <w:sz w:val="24"/>
    </w:rPr>
  </w:style>
  <w:style w:type="table" w:customStyle="1" w:styleId="11">
    <w:name w:val="网格表 2 - 着色 11"/>
    <w:basedOn w:val="5"/>
    <w:qFormat/>
    <w:uiPriority w:val="47"/>
    <w:rPr>
      <w:rFonts w:asciiTheme="minorHAnsi" w:hAnsiTheme="minorHAnsi" w:eastAsiaTheme="minorEastAsia" w:cstheme="minorBidi"/>
    </w:rPr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809</Words>
  <Characters>4617</Characters>
  <Lines>38</Lines>
  <Paragraphs>10</Paragraphs>
  <TotalTime>3</TotalTime>
  <ScaleCrop>false</ScaleCrop>
  <LinksUpToDate>false</LinksUpToDate>
  <CharactersWithSpaces>5416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2022-02-16T22:42:00Z</dcterms:created>
  <dc:creator>raoxin</dc:creator>
  <cp:lastModifiedBy>Administrator</cp:lastModifiedBy>
  <cp:lastPrinted>2022-02-18T08:14:00Z</cp:lastPrinted>
  <dcterms:modified xsi:type="dcterms:W3CDTF">2022-03-03T08:26:25Z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491C2F13B8004281A4173635D7EB9440</vt:lpwstr>
  </property>
</Properties>
</file>