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附件3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浙江创新馆（筹建）展品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  <w:lang w:eastAsia="zh"/>
        </w:rPr>
        <w:t>汇总</w:t>
      </w: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表</w:t>
      </w: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2"/>
          <w:szCs w:val="32"/>
        </w:rPr>
        <w:t>填报单位（盖章）：              联系人：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所属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</w:t>
            </w:r>
          </w:p>
          <w:p>
            <w:pPr>
              <w:snapToGrid w:val="0"/>
              <w:spacing w:line="27" w:lineRule="atLeast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蓄冰盘管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新材料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等比缩小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冰厚传感器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高效水蓄能装置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电极式锅炉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样本、PPT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变风量末端装置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实物、视频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PLC楼宇控制器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温控器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电磁热量表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电磁流量计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电磁水表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碳中和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实物</w:t>
            </w:r>
          </w:p>
        </w:tc>
        <w:tc>
          <w:tcPr>
            <w:tcW w:w="128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能源院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14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6909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  <w:sectPr>
          <w:headerReference r:id="rId3" w:type="default"/>
          <w:footerReference r:id="rId4" w:type="default"/>
          <w:pgSz w:w="11906" w:h="16838"/>
          <w:pgMar w:top="2098" w:right="1474" w:bottom="1984" w:left="1587" w:header="851" w:footer="992" w:gutter="0"/>
          <w:cols w:space="0" w:num="1"/>
          <w:docGrid w:type="lines" w:linePitch="318" w:charSpace="0"/>
        </w:sect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附件4</w:t>
      </w: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</w:p>
    <w:p>
      <w:pPr>
        <w:spacing w:line="700" w:lineRule="exact"/>
        <w:jc w:val="center"/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0"/>
          <w:szCs w:val="40"/>
        </w:rPr>
        <w:t>浙江创新馆（筹建）展品征集申报表</w:t>
      </w:r>
    </w:p>
    <w:p>
      <w:pPr>
        <w:pStyle w:val="2"/>
        <w:spacing w:line="600" w:lineRule="exact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        </w:t>
      </w:r>
    </w:p>
    <w:tbl>
      <w:tblPr>
        <w:tblStyle w:val="5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22"/>
        <w:gridCol w:w="711"/>
        <w:gridCol w:w="2276"/>
        <w:gridCol w:w="712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电磁流量计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杭州国电能源环境设计研究院有限公司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杭州市临安区青山湖科技城大园路聚贤街1号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13148356909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8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杭州国电能源院，源自于电力工业部杭州机械设计研究所，传承其60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国电能源院——高效蓄能及变风量空调领跑企业，拥有综合能源设备（蓄冰盘管&amp;水蓄能罐&amp;电热水机组）、智能仪表（电磁水表&amp;电磁流量计&amp;电磁冷热量表）、变风量末端装置等核心产品和一体化解决方案，利用物联网技术打造中央空调专业服务平台，为客户创造健康、舒适、节能的人居环境。</w:t>
            </w:r>
          </w:p>
          <w:p>
            <w:pPr>
              <w:pStyle w:val="2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公司拥有员工总数200人。其中，博士生导师、教授级工程师等专业技术人员46人；大专文化程度及以上者165人(博士后和博士学位4人)。由多位国内知名的能源和建筑行业专家担任技术顾问，“新世纪百千万人才”、国务院特殊津贴专家、杭州市“131人才计划”入选人员、“钱江人才”、海外留学归国人员等优秀人才业已成为公司的技术骨干和中坚力量。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。</w:t>
            </w: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参与编写国家及行业标准8项，发表学术论文40余篇。荣获《2020年度国家科学技术进步二等奖》等国家及省部级科技进步奖等奖项10余项，获得77项专利及著作权(其中10项是国家发明专利)。多项科技成果经鉴定达到国际先进水平并填补国内空白，自主知识产权产品及技术服务高达销售总额的80%以上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spacing w:line="460" w:lineRule="exact"/>
              <w:ind w:firstLine="42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节能产品与技术已累计在人民大会堂、北京中国尊大厦、北京丽泽平安金融中心、上海白玉兰广场、上海迪士尼能源站、上海虹桥机场、上海浦东机场、成都天府机场、广州珠江城大厦、广州大学城、广州雪松总部大楼、深圳能源大厦、百丽大厦、深圳北站、深圳前海、珠海横琴新区、杭州东站、杭州市民中心、杭州奥体中心、马来西亚吉隆坡国家中央政务区GDC、迪拜范思哲皇冠大酒店等国内外500多栋低碳节能大楼中成功应用，赢得了良好的市场口碑。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□互联网+     □生命健康    □新材料    √碳达峰碳中和 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□海洋强省    □农业科技    □其他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u w:val="single"/>
              </w:rPr>
              <w:t xml:space="preserve">               （自填）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41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展品介绍(着重介绍先进性和在行业领域的水平)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left="0" w:leftChars="0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  <w:t>电磁流量计为我公司自主研发的新一代产品，由传感器和转换器两部分构成；</w:t>
            </w:r>
          </w:p>
          <w:p>
            <w:pPr>
              <w:ind w:left="0" w:leftChars="0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  <w:t>测量电导率＞5μS/cm流体介质，获得介质瞬时流量，流速，正、反累积流量。</w:t>
            </w:r>
          </w:p>
          <w:p>
            <w:pPr>
              <w:ind w:left="0" w:leftChars="0"/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1"/>
                <w:szCs w:val="22"/>
                <w:lang w:val="en-US" w:eastAsia="zh-CN" w:bidi="ar-SA"/>
              </w:rPr>
              <w:t>符合《JJG 1033—2007&lt;电磁流量计&gt;》、《JB/T 9248-2015电磁流量计》标准。目前运用于暖通、水利、水务、环保、造纸、化工、消防等行业。</w:t>
            </w:r>
          </w:p>
          <w:p>
            <w:pPr>
              <w:ind w:left="0" w:leftChars="0"/>
              <w:rPr>
                <w:rFonts w:hint="eastAsia"/>
              </w:rPr>
            </w:pPr>
          </w:p>
          <w:p>
            <w:pPr>
              <w:pStyle w:val="2"/>
              <w:ind w:firstLine="420" w:firstLineChars="200"/>
              <w:rPr>
                <w:rFonts w:hint="default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电磁流量计</w:t>
            </w:r>
            <w:r>
              <w:rPr>
                <w:rFonts w:hint="eastAsia" w:asciiTheme="majorEastAsia" w:hAnsiTheme="majorEastAsia" w:eastAsiaTheme="majorEastAsia" w:cstheme="majorEastAsia"/>
              </w:rPr>
              <w:t>具有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计量精准、运行稳定、使用寿命长、免维护</w:t>
            </w:r>
            <w:r>
              <w:rPr>
                <w:rFonts w:hint="eastAsia" w:asciiTheme="majorEastAsia" w:hAnsiTheme="majorEastAsia" w:eastAsiaTheme="majorEastAsia" w:cstheme="majorEastAsia"/>
              </w:rPr>
              <w:t>等优点，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已</w:t>
            </w:r>
            <w:r>
              <w:rPr>
                <w:rFonts w:hint="eastAsia" w:asciiTheme="majorEastAsia" w:hAnsiTheme="majorEastAsia" w:eastAsiaTheme="majorEastAsia" w:cstheme="majorEastAsia"/>
              </w:rPr>
              <w:t>取得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若干项</w:t>
            </w:r>
            <w:r>
              <w:rPr>
                <w:rFonts w:hint="eastAsia" w:asciiTheme="majorEastAsia" w:hAnsiTheme="majorEastAsia" w:eastAsiaTheme="majorEastAsia" w:cstheme="majorEastAsia"/>
              </w:rPr>
              <w:t>国家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发明</w:t>
            </w:r>
            <w:r>
              <w:rPr>
                <w:rFonts w:hint="eastAsia" w:asciiTheme="majorEastAsia" w:hAnsiTheme="majorEastAsia" w:eastAsiaTheme="majorEastAsia" w:cstheme="majorEastAsia"/>
              </w:rPr>
              <w:t>专利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</w:rPr>
              <w:t>技术成熟稳定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在给排水、污水处理、通用工业、化工、楼宇、城市综合体等领域有着广泛的应用。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源牌电磁流量计优势：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无压损、零故障、免维护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产品采用通径直管段、无活动不见，工业级设计保证强抗干扰性和长久的稳定性。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更好的小流量测量技术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传感器磁场采用优化设计，确保磁场分布最佳，在很低的流速下保证良好的精度。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电极特殊设计，防结垢、极化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采用独特的防结垢电极，保证感应信号传导效果良好。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低功耗设计配备大容量电池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采用低功耗电路设计，同时配备大容量充电电池，可选配外部电源等。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积算仪高度集成，稳定性高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采用32位ARM智能处理器及先进的SMT贴片工艺，抗干扰，防静电保护。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开放的通讯协议和多种通讯接口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支持MODBUS、BACnet等两种国际通用通讯协议；硬件支持各种通讯接口。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最新零点自动跟踪，性能可靠卓越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采用先进的零点自动跟踪技术+内置四电极，彻底解决零漂，计量不稳。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整体不锈钢设计，IP68设计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可分离安装，分体距离可达100米，适用复杂的安装环境。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直流宽电压供电（8-32V）</w:t>
            </w:r>
          </w:p>
          <w:p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特适用于12V光伏供电系统。</w:t>
            </w:r>
          </w:p>
          <w:p>
            <w:pPr>
              <w:pStyle w:val="2"/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内置两个存储器芯片，参数和累计流量同时保存。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具有阀控功能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支持3线制阀门或6线制阀门。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4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源牌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电磁流量计</w:t>
            </w: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典型案例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eastAsia="zh-CN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珠海横琴新区、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上海虹桥商务区能源中心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、合肥供水集团、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杭州青山湖科技城1#、2#、3#能源站、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成都地铁集团、阿里巴巴北京总部、</w:t>
            </w:r>
            <w:r>
              <w:rPr>
                <w:rFonts w:hint="eastAsia" w:ascii="Times New Roman" w:hAnsi="Times New Roman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重庆江北嘴金融中心能源站</w:t>
            </w:r>
            <w:r>
              <w:rPr>
                <w:rFonts w:hint="eastAsia" w:ascii="Times New Roman" w:hAnsi="Times New Roman" w:cstheme="minorBidi"/>
                <w:kern w:val="2"/>
                <w:sz w:val="21"/>
                <w:szCs w:val="22"/>
                <w:lang w:val="en-US" w:eastAsia="zh-CN" w:bidi="ar-SA"/>
              </w:rPr>
              <w:t>、天津黑牛城道1#、2#能源站等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FF0000"/>
                <w:szCs w:val="21"/>
              </w:rPr>
              <w:t>所提供的电子版照片应为JPG 格式，每张照片的存图不小于 2M（各单位自行保存好不小于 14 寸的原版照片），每张照片注释不超过20字，可附后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√实物    □模型    □图文    □多媒体    □其他形式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bookmarkStart w:id="0" w:name="_GoBack"/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 xml:space="preserve"> 展品规格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snapToGrid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尺寸：</w:t>
            </w:r>
            <w:r>
              <w:rPr>
                <w:rFonts w:ascii="宋体" w:hAnsi="宋体" w:eastAsia="宋体" w:cs="宋体"/>
                <w:sz w:val="24"/>
                <w:szCs w:val="24"/>
              </w:rPr>
              <w:t>一体式流量计（DN80）40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  <w:r>
              <w:rPr>
                <w:rFonts w:ascii="宋体" w:hAnsi="宋体" w:eastAsia="宋体" w:cs="宋体"/>
                <w:sz w:val="24"/>
                <w:szCs w:val="24"/>
              </w:rPr>
              <w:t>×20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cm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重量：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4kg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展示条件要求：需要展台；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是否需要24小时供电：□是    √否；</w:t>
            </w:r>
          </w:p>
          <w:p>
            <w:pPr>
              <w:snapToGrid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其它：无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6" w:hRule="atLeast"/>
        </w:trPr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其他需要</w:t>
            </w:r>
          </w:p>
          <w:p>
            <w:pPr>
              <w:snapToGrid w:val="0"/>
              <w:jc w:val="center"/>
              <w:rPr>
                <w:rFonts w:hint="eastAsia"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>
            <w:pPr>
              <w:wordWrap w:val="0"/>
              <w:rPr>
                <w:rFonts w:hint="eastAsia"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snapToGrid w:val="0"/>
        <w:spacing w:line="27" w:lineRule="atLeast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snapToGrid w:val="0"/>
        <w:spacing w:line="27" w:lineRule="atLeast"/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备注：1.一项展品一张表，如有多个展品请附多张表。</w:t>
      </w:r>
    </w:p>
    <w:p>
      <w:pPr>
        <w:pStyle w:val="2"/>
        <w:ind w:left="1200" w:leftChars="457" w:hanging="240" w:hanging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2.如有可充分体现成果、产品特点的资料（宣传册、说明书、获得的荣誉等）可一并形成压缩包提供。</w:t>
      </w: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sectPr>
      <w:pgSz w:w="11906" w:h="16838"/>
      <w:pgMar w:top="2098" w:right="1474" w:bottom="1984" w:left="1587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11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F199C"/>
    <w:multiLevelType w:val="singleLevel"/>
    <w:tmpl w:val="537F19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5545B"/>
    <w:rsid w:val="000E7BC1"/>
    <w:rsid w:val="00150C7C"/>
    <w:rsid w:val="001778DF"/>
    <w:rsid w:val="00181CD6"/>
    <w:rsid w:val="00251B09"/>
    <w:rsid w:val="00264FE1"/>
    <w:rsid w:val="00332C71"/>
    <w:rsid w:val="00341EA4"/>
    <w:rsid w:val="003D1587"/>
    <w:rsid w:val="004D5F3D"/>
    <w:rsid w:val="005C72B8"/>
    <w:rsid w:val="005E2779"/>
    <w:rsid w:val="006678A6"/>
    <w:rsid w:val="006B7E66"/>
    <w:rsid w:val="00986E5E"/>
    <w:rsid w:val="00DA267A"/>
    <w:rsid w:val="00DC0310"/>
    <w:rsid w:val="00DE5FD9"/>
    <w:rsid w:val="00E3146B"/>
    <w:rsid w:val="00EA5308"/>
    <w:rsid w:val="018D1BF8"/>
    <w:rsid w:val="06A928FF"/>
    <w:rsid w:val="08B00E21"/>
    <w:rsid w:val="0D943AD3"/>
    <w:rsid w:val="0EF062F7"/>
    <w:rsid w:val="0F2042C9"/>
    <w:rsid w:val="116052E1"/>
    <w:rsid w:val="12092610"/>
    <w:rsid w:val="12D22A68"/>
    <w:rsid w:val="1A97581F"/>
    <w:rsid w:val="1D1862B5"/>
    <w:rsid w:val="1DFE0973"/>
    <w:rsid w:val="1FDF0092"/>
    <w:rsid w:val="215163E1"/>
    <w:rsid w:val="21C103D9"/>
    <w:rsid w:val="240B637B"/>
    <w:rsid w:val="25451BB5"/>
    <w:rsid w:val="263A27AD"/>
    <w:rsid w:val="2643619D"/>
    <w:rsid w:val="270267A5"/>
    <w:rsid w:val="2C6F2229"/>
    <w:rsid w:val="2DB46E03"/>
    <w:rsid w:val="300E5F06"/>
    <w:rsid w:val="338A5419"/>
    <w:rsid w:val="3C7E4683"/>
    <w:rsid w:val="3EE16DD4"/>
    <w:rsid w:val="458F242B"/>
    <w:rsid w:val="49AC7340"/>
    <w:rsid w:val="4BB038C5"/>
    <w:rsid w:val="510F6A01"/>
    <w:rsid w:val="55290FBE"/>
    <w:rsid w:val="554228B6"/>
    <w:rsid w:val="572E12A5"/>
    <w:rsid w:val="57F01BBE"/>
    <w:rsid w:val="5E6B1D93"/>
    <w:rsid w:val="630F5489"/>
    <w:rsid w:val="65C86071"/>
    <w:rsid w:val="673B79F5"/>
    <w:rsid w:val="681E252B"/>
    <w:rsid w:val="69CB3756"/>
    <w:rsid w:val="6B2510EF"/>
    <w:rsid w:val="6ED9A03E"/>
    <w:rsid w:val="71FF2E75"/>
    <w:rsid w:val="726340C9"/>
    <w:rsid w:val="7C703CC1"/>
    <w:rsid w:val="7E9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rPr>
      <w:rFonts w:ascii="Times New Roman" w:hAnsi="Times New Roma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qFormat/>
    <w:uiPriority w:val="0"/>
  </w:style>
  <w:style w:type="paragraph" w:styleId="9">
    <w:name w:val="List Paragraph"/>
    <w:basedOn w:val="1"/>
    <w:link w:val="10"/>
    <w:qFormat/>
    <w:uiPriority w:val="34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0">
    <w:name w:val="列出段落 字符"/>
    <w:basedOn w:val="7"/>
    <w:link w:val="9"/>
    <w:qFormat/>
    <w:locked/>
    <w:uiPriority w:val="34"/>
    <w:rPr>
      <w:kern w:val="2"/>
      <w:sz w:val="24"/>
    </w:rPr>
  </w:style>
  <w:style w:type="table" w:customStyle="1" w:styleId="11">
    <w:name w:val="网格表 2 - 着色 11"/>
    <w:basedOn w:val="5"/>
    <w:qFormat/>
    <w:uiPriority w:val="47"/>
    <w:rPr>
      <w:rFonts w:asciiTheme="minorHAnsi" w:hAnsiTheme="minorHAnsi" w:eastAsiaTheme="minorEastAsia" w:cstheme="minorBidi"/>
    </w:r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809</Words>
  <Characters>4617</Characters>
  <Lines>38</Lines>
  <Paragraphs>10</Paragraphs>
  <TotalTime>1</TotalTime>
  <ScaleCrop>false</ScaleCrop>
  <LinksUpToDate>false</LinksUpToDate>
  <CharactersWithSpaces>5416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2022-02-16T22:42:00Z</dcterms:created>
  <dc:creator>raoxin</dc:creator>
  <cp:lastModifiedBy>Administrator</cp:lastModifiedBy>
  <cp:lastPrinted>2022-02-18T08:14:00Z</cp:lastPrinted>
  <dcterms:modified xsi:type="dcterms:W3CDTF">2022-03-03T08:27:03Z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491C2F13B8004281A4173635D7EB9440</vt:lpwstr>
  </property>
</Properties>
</file>