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F62FE"/>
          <w:sz w:val="52"/>
          <w:szCs w:val="52"/>
        </w:rPr>
        <w:t xml:space="preserve">MCC Workflow Agentic Solution</w:t>
      </w:r>
    </w:p>
    <w:p>
      <w:pPr>
        <w:spacing w:after="400"/>
        <w:jc w:val="center"/>
      </w:pPr>
      <w:r>
        <w:rPr>
          <w:rFonts w:ascii="Arial" w:cs="Arial" w:eastAsia="Arial" w:hAnsi="Arial"/>
          <w:b/>
          <w:bCs/>
          <w:color w:val="0F62FE"/>
          <w:sz w:val="52"/>
          <w:szCs w:val="52"/>
        </w:rPr>
        <w:t xml:space="preserve">Analysis Cards</w:t>
      </w:r>
    </w:p>
    <w:p>
      <w:pPr>
        <w:pBdr>
          <w:bottom w:val="single" w:color="0F62FE" w:sz="12" w:space="8"/>
        </w:pBdr>
        <w:spacing w:after="400"/>
        <w:jc w:val="center"/>
      </w:pPr>
    </w:p>
    <w:p>
      <w:pPr>
        <w:spacing w:after="120"/>
        <w:jc w:val="center"/>
      </w:pPr>
      <w:r>
        <w:rPr>
          <w:rFonts w:ascii="Arial" w:cs="Arial" w:eastAsia="Arial" w:hAnsi="Arial"/>
          <w:color w:val="161616"/>
          <w:sz w:val="28"/>
          <w:szCs w:val="28"/>
        </w:rPr>
        <w:t xml:space="preserve">Domain: Innovation Studio &amp; Client Experience</w:t>
      </w:r>
    </w:p>
    <w:p>
      <w:pPr>
        <w:spacing w:after="120"/>
        <w:jc w:val="center"/>
      </w:pPr>
      <w:r>
        <w:rPr>
          <w:rFonts w:ascii="Arial" w:cs="Arial" w:eastAsia="Arial" w:hAnsi="Arial"/>
          <w:color w:val="525252"/>
          <w:sz w:val="24"/>
          <w:szCs w:val="24"/>
        </w:rPr>
        <w:t xml:space="preserve">Source: Workflow Discovery Interview - February 26, 2026</w:t>
      </w:r>
    </w:p>
    <w:p>
      <w:pPr>
        <w:spacing w:after="120"/>
        <w:jc w:val="center"/>
      </w:pPr>
      <w:r>
        <w:rPr>
          <w:rFonts w:ascii="Arial" w:cs="Arial" w:eastAsia="Arial" w:hAnsi="Arial"/>
          <w:color w:val="525252"/>
          <w:sz w:val="22"/>
          <w:szCs w:val="22"/>
        </w:rPr>
        <w:t xml:space="preserve">Participants: Nigel Gopie, Sonal Kirtikar, David Latinovic, Puja Gupta,</w:t>
      </w:r>
    </w:p>
    <w:p>
      <w:pPr>
        <w:spacing w:after="400"/>
        <w:jc w:val="center"/>
      </w:pPr>
      <w:r>
        <w:rPr>
          <w:rFonts w:ascii="Arial" w:cs="Arial" w:eastAsia="Arial" w:hAnsi="Arial"/>
          <w:color w:val="525252"/>
          <w:sz w:val="22"/>
          <w:szCs w:val="22"/>
        </w:rPr>
        <w:t xml:space="preserve">Tucker Rizzi, David Gerken, Eric Karnani</w:t>
      </w:r>
    </w:p>
    <w:p>
      <w:pPr>
        <w:spacing w:after="200"/>
        <w:jc w:val="center"/>
      </w:pPr>
      <w:r>
        <w:rPr>
          <w:rFonts w:ascii="Arial" w:cs="Arial" w:eastAsia="Arial" w:hAnsi="Arial"/>
          <w:b/>
          <w:bCs/>
          <w:color w:val="161616"/>
          <w:sz w:val="24"/>
          <w:szCs w:val="24"/>
        </w:rPr>
        <w:t xml:space="preserve">Five Workflows Analyzed:</w:t>
      </w:r>
    </w:p>
    <w:p>
      <w:pPr>
        <w:spacing w:after="80"/>
        <w:jc w:val="center"/>
      </w:pPr>
      <w:r>
        <w:rPr>
          <w:rFonts w:ascii="Arial" w:cs="Arial" w:eastAsia="Arial" w:hAnsi="Arial"/>
          <w:color w:val="0F62FE"/>
          <w:sz w:val="22"/>
          <w:szCs w:val="22"/>
        </w:rPr>
        <w:t xml:space="preserve">1. Request Intake &amp; Client Nomination Agent</w:t>
      </w:r>
    </w:p>
    <w:p>
      <w:pPr>
        <w:spacing w:after="80"/>
        <w:jc w:val="center"/>
      </w:pPr>
      <w:r>
        <w:rPr>
          <w:rFonts w:ascii="Arial" w:cs="Arial" w:eastAsia="Arial" w:hAnsi="Arial"/>
          <w:color w:val="0F62FE"/>
          <w:sz w:val="22"/>
          <w:szCs w:val="22"/>
        </w:rPr>
        <w:t xml:space="preserve">2. Agenda Creation &amp; SME Coordination Agent</w:t>
      </w:r>
    </w:p>
    <w:p>
      <w:pPr>
        <w:spacing w:after="80"/>
        <w:jc w:val="center"/>
      </w:pPr>
      <w:r>
        <w:rPr>
          <w:rFonts w:ascii="Arial" w:cs="Arial" w:eastAsia="Arial" w:hAnsi="Arial"/>
          <w:color w:val="0F62FE"/>
          <w:sz w:val="22"/>
          <w:szCs w:val="22"/>
        </w:rPr>
        <w:t xml:space="preserve">3. Demo &amp; Content Discovery Agent</w:t>
      </w:r>
    </w:p>
    <w:p>
      <w:pPr>
        <w:spacing w:after="80"/>
        <w:jc w:val="center"/>
      </w:pPr>
      <w:r>
        <w:rPr>
          <w:rFonts w:ascii="Arial" w:cs="Arial" w:eastAsia="Arial" w:hAnsi="Arial"/>
          <w:color w:val="0F62FE"/>
          <w:sz w:val="22"/>
          <w:szCs w:val="22"/>
        </w:rPr>
        <w:t xml:space="preserve">4. CTEBA Approval &amp; Registration Agent</w:t>
      </w:r>
    </w:p>
    <w:p>
      <w:pPr>
        <w:spacing w:after="80"/>
        <w:jc w:val="center"/>
      </w:pPr>
      <w:r>
        <w:rPr>
          <w:rFonts w:ascii="Arial" w:cs="Arial" w:eastAsia="Arial" w:hAnsi="Arial"/>
          <w:color w:val="0F62FE"/>
          <w:sz w:val="22"/>
          <w:szCs w:val="22"/>
        </w:rPr>
        <w:t xml:space="preserve">5. Feedback, Follow-Up &amp; Pipeline Reconciliation Agent</w:t>
      </w:r>
    </w:p>
    <w:p>
      <w:r>
        <w:br w:type="page"/>
      </w:r>
    </w:p>
    <w:p>
      <w:pPr>
        <w:pStyle w:val="Heading1"/>
        <w:spacing w:before="360" w:after="200"/>
      </w:pPr>
      <w:r>
        <w:rPr>
          <w:rFonts w:ascii="Arial" w:cs="Arial" w:eastAsia="Arial" w:hAnsi="Arial"/>
          <w:b/>
          <w:bCs/>
          <w:color w:val="0F62FE"/>
          <w:sz w:val="36"/>
          <w:szCs w:val="36"/>
        </w:rPr>
        <w:t xml:space="preserve">WORKFLOW 1: Request Intake &amp; Client Nomination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Innovation Studio Request Intake &amp; Client Nomination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validates, classifies, and triages incoming Innovation Studio engagement requests from sellers and marketing, and proactively nominates high-fit clients for studio experiences based on account relationship stage, seniority balance, and past Innovation Studio engagement history. It serves engagement leaders, studio managers, sellers, and the broader named account marketing organization.</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Revenue progression and operational efficiency. Innovation Studios run over 10,000 engagements per year, touch $12 billion of pipeline, progress $5 billion of pipeline, and achieve a 42% yield rate (14 points above IBM average). Today, the intake process is manual: sellers or marketing teams submit requests, and engagement leaders manually triage and match clients to experiences. AI-assisted validation and nomination timing would directly reduce rework across all downstream stages and enable smarter selection of which clients to engage, when, and with what experience pattern. The prioritization screenshot rates this workflow at 4.0/5 for business impact (Productivity Savings: 4, Cycle Time Reduction: 5, Revenue/Engagement: 3, Risk Reduction: 5).</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 seller or account team submits a request to bring a client into an Innovation Studio.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IBM marketing identifies target clients based on data signals and demand engine matching, then routes them toward studio experiences. Nigel described both paths explicitly: 'an account team wants to bring a client in' and 'IBM marketing matches clients based on data.'</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Nigel Gopie - Innovation Studio global lead</w:t>
      </w:r>
    </w:p>
    <w:p>
      <w:pPr>
        <w:pStyle w:val="ListParagraph"/>
        <w:numPr>
          <w:ilvl w:val="0"/>
          <w:numId w:val="2"/>
        </w:numPr>
        <w:spacing w:after="60"/>
      </w:pPr>
      <w:r>
        <w:rPr>
          <w:rFonts w:ascii="Arial" w:cs="Arial" w:eastAsia="Arial" w:hAnsi="Arial"/>
          <w:color w:val="161616"/>
          <w:sz w:val="22"/>
          <w:szCs w:val="22"/>
        </w:rPr>
        <w:t xml:space="preserve">Sonal Kirtikar - Global team lead</w:t>
      </w:r>
    </w:p>
    <w:p>
      <w:pPr>
        <w:pStyle w:val="ListParagraph"/>
        <w:numPr>
          <w:ilvl w:val="0"/>
          <w:numId w:val="2"/>
        </w:numPr>
        <w:spacing w:after="60"/>
      </w:pPr>
      <w:r>
        <w:rPr>
          <w:rFonts w:ascii="Arial" w:cs="Arial" w:eastAsia="Arial" w:hAnsi="Arial"/>
          <w:color w:val="161616"/>
          <w:sz w:val="22"/>
          <w:szCs w:val="22"/>
        </w:rPr>
        <w:t xml:space="preserve">David Latinovic - POC/solution development lead</w:t>
      </w:r>
    </w:p>
    <w:p>
      <w:pPr>
        <w:pStyle w:val="ListParagraph"/>
        <w:numPr>
          <w:ilvl w:val="0"/>
          <w:numId w:val="2"/>
        </w:numPr>
        <w:spacing w:after="60"/>
      </w:pPr>
      <w:r>
        <w:rPr>
          <w:rFonts w:ascii="Arial" w:cs="Arial" w:eastAsia="Arial" w:hAnsi="Arial"/>
          <w:color w:val="161616"/>
          <w:sz w:val="22"/>
          <w:szCs w:val="22"/>
        </w:rPr>
        <w:t xml:space="preserve">Engagement leaders (studio staff) - Request triaging and experience matching</w:t>
      </w:r>
    </w:p>
    <w:p>
      <w:pPr>
        <w:pStyle w:val="ListParagraph"/>
        <w:numPr>
          <w:ilvl w:val="0"/>
          <w:numId w:val="2"/>
        </w:numPr>
        <w:spacing w:after="60"/>
      </w:pPr>
      <w:r>
        <w:rPr>
          <w:rFonts w:ascii="Arial" w:cs="Arial" w:eastAsia="Arial" w:hAnsi="Arial"/>
          <w:color w:val="161616"/>
          <w:sz w:val="22"/>
          <w:szCs w:val="22"/>
        </w:rPr>
        <w:t xml:space="preserve">Sellers and account teams - Request originators</w:t>
      </w:r>
    </w:p>
    <w:p>
      <w:pPr>
        <w:pStyle w:val="ListParagraph"/>
        <w:numPr>
          <w:ilvl w:val="0"/>
          <w:numId w:val="2"/>
        </w:numPr>
        <w:spacing w:after="60"/>
      </w:pPr>
      <w:r>
        <w:rPr>
          <w:rFonts w:ascii="Arial" w:cs="Arial" w:eastAsia="Arial" w:hAnsi="Arial"/>
          <w:color w:val="161616"/>
          <w:sz w:val="22"/>
          <w:szCs w:val="22"/>
        </w:rPr>
        <w:t xml:space="preserve">Marketing/demand engine teams - Client nomination source</w:t>
      </w:r>
    </w:p>
    <w:p>
      <w:pPr>
        <w:pStyle w:val="ListParagraph"/>
        <w:numPr>
          <w:ilvl w:val="0"/>
          <w:numId w:val="2"/>
        </w:numPr>
        <w:spacing w:after="60"/>
      </w:pPr>
      <w:r>
        <w:rPr>
          <w:rFonts w:ascii="Arial" w:cs="Arial" w:eastAsia="Arial" w:hAnsi="Arial"/>
          <w:color w:val="161616"/>
          <w:sz w:val="22"/>
          <w:szCs w:val="22"/>
        </w:rPr>
        <w:t xml:space="preserve">CIO team - Platform/development (not yet engaged)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engagement leaders are there globally? What is the FTE breakdown by studio?</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3"/>
        </w:numPr>
        <w:spacing w:after="60"/>
      </w:pPr>
      <w:r>
        <w:rPr>
          <w:rFonts w:ascii="Arial" w:cs="Arial" w:eastAsia="Arial" w:hAnsi="Arial"/>
          <w:b/>
          <w:bCs/>
          <w:color w:val="161616"/>
          <w:sz w:val="22"/>
          <w:szCs w:val="22"/>
        </w:rPr>
        <w:t xml:space="preserve">Step 1 - Request Submission: </w:t>
      </w:r>
      <w:r>
        <w:rPr>
          <w:rFonts w:ascii="Arial" w:cs="Arial" w:eastAsia="Arial" w:hAnsi="Arial"/>
          <w:color w:val="161616"/>
          <w:sz w:val="22"/>
          <w:szCs w:val="22"/>
        </w:rPr>
        <w:t xml:space="preserve">Seller or marketing team submits a request to bring a client into an Innovation Studio. Performed by: Seller/account team or marketing. System: BRS (Briefing Source). Handoff: Request queued for engagement leader review.</w:t>
      </w:r>
    </w:p>
    <w:p>
      <w:pPr>
        <w:pStyle w:val="ListParagraph"/>
        <w:numPr>
          <w:ilvl w:val="0"/>
          <w:numId w:val="3"/>
        </w:numPr>
        <w:spacing w:after="60"/>
      </w:pPr>
      <w:r>
        <w:rPr>
          <w:rFonts w:ascii="Arial" w:cs="Arial" w:eastAsia="Arial" w:hAnsi="Arial"/>
          <w:b/>
          <w:bCs/>
          <w:color w:val="161616"/>
          <w:sz w:val="22"/>
          <w:szCs w:val="22"/>
        </w:rPr>
        <w:t xml:space="preserve">Step 2 - Client Briefing Review: </w:t>
      </w:r>
      <w:r>
        <w:rPr>
          <w:rFonts w:ascii="Arial" w:cs="Arial" w:eastAsia="Arial" w:hAnsi="Arial"/>
          <w:color w:val="161616"/>
          <w:sz w:val="22"/>
          <w:szCs w:val="22"/>
        </w:rPr>
        <w:t xml:space="preserve">Engagement leader reviews the client briefing to understand persona, use cases, industry, and objectives. Performed by: Engagement leader. System: BRS + manual review. Handoff: Client needs understood.</w:t>
      </w:r>
    </w:p>
    <w:p>
      <w:pPr>
        <w:pStyle w:val="ListParagraph"/>
        <w:numPr>
          <w:ilvl w:val="0"/>
          <w:numId w:val="3"/>
        </w:numPr>
        <w:spacing w:after="60"/>
      </w:pPr>
      <w:r>
        <w:rPr>
          <w:rFonts w:ascii="Arial" w:cs="Arial" w:eastAsia="Arial" w:hAnsi="Arial"/>
          <w:b/>
          <w:bCs/>
          <w:color w:val="161616"/>
          <w:sz w:val="22"/>
          <w:szCs w:val="22"/>
        </w:rPr>
        <w:t xml:space="preserve">Step 3 - Validation &amp; Triage: </w:t>
      </w:r>
      <w:r>
        <w:rPr>
          <w:rFonts w:ascii="Arial" w:cs="Arial" w:eastAsia="Arial" w:hAnsi="Arial"/>
          <w:color w:val="161616"/>
          <w:sz w:val="22"/>
          <w:szCs w:val="22"/>
        </w:rPr>
        <w:t xml:space="preserve">Engagement leader determines if the request is a good fit for the studio, considering timing, seniority, and relevance. Currently manual and judgment-based. Performed by: Engagement leader. System: Manual. Handoff: Request accepted or redirected.</w:t>
      </w:r>
    </w:p>
    <w:p>
      <w:pPr>
        <w:pStyle w:val="ListParagraph"/>
        <w:numPr>
          <w:ilvl w:val="0"/>
          <w:numId w:val="3"/>
        </w:numPr>
        <w:spacing w:after="60"/>
      </w:pPr>
      <w:r>
        <w:rPr>
          <w:rFonts w:ascii="Arial" w:cs="Arial" w:eastAsia="Arial" w:hAnsi="Arial"/>
          <w:b/>
          <w:bCs/>
          <w:color w:val="161616"/>
          <w:sz w:val="22"/>
          <w:szCs w:val="22"/>
        </w:rPr>
        <w:t xml:space="preserve">Step 4 - Experience Matching: </w:t>
      </w:r>
      <w:r>
        <w:rPr>
          <w:rFonts w:ascii="Arial" w:cs="Arial" w:eastAsia="Arial" w:hAnsi="Arial"/>
          <w:color w:val="161616"/>
          <w:sz w:val="22"/>
          <w:szCs w:val="22"/>
        </w:rPr>
        <w:t xml:space="preserve">If accepted, the engagement leader identifies which experience blueprints/patterns best match the client's needs. This is where the request transitions to the Agenda Creation workflow. Performed by: Engagement leader. System: Blueprint library (manual search). Handoff: Agenda creation begins.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are the specific criteria used to accept or decline a request today? Is there a scoring rubric?</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does the BRS submission form capture? What fields are required vs. optional?</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BRS (Briefing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Request intake and registration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intake tool; data is structured and available for AI classification per feasibility assessment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CRM / ISC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 intelligence and engagement history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Integration between BRS and CRM is the primary technical dependency per the feasibility rationale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Virtual Portal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Client-facing registration and logistics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 of multi-system integration requirement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Manual Triage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Judgment-based request evaluation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Currently done by engagement leaders from memory/experience</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data fields does CRM provide that would inform AI-based nomination recommendations?</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AI suggests attendee mix based on account relationship stage, seniority balance, and past Innovation Studio engagement history. This is directly called out in the prioritization matrix.</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AI validates incoming requests, flagging incomplete submissions, mismatches between client needs and studio capabilities, and timing conflicts. Reduces rework across downstream stages.</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AI routes validated requests to the appropriate engagement leader and studio based on geography, topic expertise, and capacity.</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AI flags repeat clients who have already experienced similar content, or requests that conflict with account relationship data.</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Automated validation and nomination timing directly reduces rework across all downstream stages per the matrix rationale.</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DIRECTLY APPLICABLE]</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DIRECTLY APPLICABLE]</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Request Intake &amp; Client Nomination Agent would sit at the front door of the Innovation Studio workflow, ingesting BRS submissions and CRM account intelligence to: (1) validate completeness and appropriateness of the request; (2) recommend optimal attendee mix by cross-referencing account relationship stage, engagement history, and seniority data; and (3) proactively nominate high-fit clients from the demand engine when studio capacity is available. Human-in-the-loop: engagement leaders approve or override AI recommendations before requests flow to agenda creation.</w:t>
      </w:r>
    </w:p>
    <w:p>
      <w:pPr>
        <w:spacing w:before="200" w:after="100"/>
      </w:pPr>
      <w:r>
        <w:rPr>
          <w:rFonts w:ascii="Arial" w:cs="Arial" w:eastAsia="Arial" w:hAnsi="Arial"/>
          <w:b/>
          <w:bCs/>
          <w:color w:val="525252"/>
          <w:sz w:val="24"/>
          <w:szCs w:val="24"/>
        </w:rPr>
        <w:t xml:space="preserve">Conversational Refinement</w:t>
      </w:r>
    </w:p>
    <w:p>
      <w:pPr>
        <w:spacing w:after="120"/>
      </w:pPr>
      <w:r>
        <w:rPr>
          <w:rFonts w:ascii="Arial" w:cs="Arial" w:eastAsia="Arial" w:hAnsi="Arial"/>
          <w:color w:val="161616"/>
          <w:sz w:val="22"/>
          <w:szCs w:val="22"/>
        </w:rPr>
        <w:t xml:space="preserve">Not explicitly discussed for intake, but Nigel described a future state where the system could help triage engagements ('not the right experience, not the right time, we'll talk to you later'), suggesting the agent should support conversational back-and-forth with requestors.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Engagement leaders manually review each request, consulting with account teams and cross-referencing their own memory/knowledge of studio blueprints and client history. Nigel described engagement leaders as relying on 'basically their Wikipedia.'</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Intake requires coordination between sellers, account teams, marketing/demand engine, and engagement leaders. Nigel described two separate intake paths (seller-driven and marketing-driven) that both converge on the engagement leader.</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No automated cross-reference between incoming requests and account engagement history, CRM data, or past studio visits. The engagement leader must manually assess fit.</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Nigel described studios as operating at approximately 80% utilization with engagement leaders handling 3-5 engagements per week, spending 1-2 days preparing each. Intake triage adds to this burden.</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Teams juggle between ISC, BRS, and other tools. Sonal explicitly stated: 'our teams have to juggle between several tools.'</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Translation / localization overload: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[NOT DISCUSSED for intake specifically]</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manual triage of incoming requests by engagement leaders who rely on institutional knowledge rather than data-driven decision-making. Nigel acknowledged that today they are 'basically accommodating any seller who raises their hand,' and the team cannot prioritize effectively without an analytical framework. He envisions a future where the system helps say 'actually, not the right experience, not the right time.' The lack of automated matching between request data and CRM/engagement history means engagement leaders spend significant time on intake that could be automated, reducing the time available for the higher-value experience delivery work that Nigel described as 'the magic.'</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(4.0/5 per matrix). Productivity Savings: 4, Cycle Time Reduction: 5, Revenue/Engagement: 3, Risk Reduction: 5. Reducing intake rework propagates savings across all downstream stages. Better client nomination directly improves yield rates beyond the already-strong 42%.</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MEDIUM-HIGH (3.7/5 per matrix). Data Readiness: 4, Tool Maturity: 4, Change Readiness: 3. BRS and CRM data are structured and available for AI classification. Workflow automation for intake validation is mature. Integration between BRS submission data and CRM account intelligence is the primary technical dependency.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Engagement leaders across global studios (exact count unspecified). Each handles 3-5 engagements per week.</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studio staff, sellers/account teams who submit requests, and marketing/demand engine teams. 10,000+ engagements per year.</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engagement leaders are there globally? What is the average time spent on intake triage per engagement?</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Innovation Studios operate at approximately 80% utilization across 10,000+ annual engagements, with engagement leaders handling 3-5 engagements per week while spending 1-2 days preparing each. The current intake process is entirely manual and judgment-based, with no data-driven prioritization. Nigel noted that competitors use analytical triage that IBM does not. With the team spending 32,000 hours annually on manual preparation (across all workflow stages), and David Gerken identifying potential to increase engagements by 20-30% through efficiency gains, smarter intake is the gateway to unlocking that capacity. Every minute saved on intake validation and triage cascades through agenda creation, content assembly, and registration.</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High reusability. The request validation and client nomination pattern applies to any MCC domain that manages inbound engagement requests:</w:t>
      </w:r>
    </w:p>
    <w:p>
      <w:pPr>
        <w:pStyle w:val="ListParagraph"/>
        <w:numPr>
          <w:ilvl w:val="0"/>
          <w:numId w:val="2"/>
        </w:numPr>
        <w:spacing w:after="60"/>
      </w:pPr>
      <w:r>
        <w:rPr>
          <w:rFonts w:ascii="Arial" w:cs="Arial" w:eastAsia="Arial" w:hAnsi="Arial"/>
          <w:color w:val="161616"/>
          <w:sz w:val="22"/>
          <w:szCs w:val="22"/>
        </w:rPr>
        <w:t xml:space="preserve">Event marketing teams: Same intake/triage challenge for event registrations and client invitations.</w:t>
      </w:r>
    </w:p>
    <w:p>
      <w:pPr>
        <w:pStyle w:val="ListParagraph"/>
        <w:numPr>
          <w:ilvl w:val="0"/>
          <w:numId w:val="2"/>
        </w:numPr>
        <w:spacing w:after="60"/>
      </w:pPr>
      <w:r>
        <w:rPr>
          <w:rFonts w:ascii="Arial" w:cs="Arial" w:eastAsia="Arial" w:hAnsi="Arial"/>
          <w:color w:val="161616"/>
          <w:sz w:val="22"/>
          <w:szCs w:val="22"/>
        </w:rPr>
        <w:t xml:space="preserve">CXO/SLE programs: Client nomination logic (relationship stage, seniority, engagement history) directly applicable.</w:t>
      </w:r>
    </w:p>
    <w:p>
      <w:pPr>
        <w:pStyle w:val="ListParagraph"/>
        <w:numPr>
          <w:ilvl w:val="0"/>
          <w:numId w:val="2"/>
        </w:numPr>
        <w:spacing w:after="60"/>
      </w:pPr>
      <w:r>
        <w:rPr>
          <w:rFonts w:ascii="Arial" w:cs="Arial" w:eastAsia="Arial" w:hAnsi="Arial"/>
          <w:color w:val="161616"/>
          <w:sz w:val="22"/>
          <w:szCs w:val="22"/>
        </w:rPr>
        <w:t xml:space="preserve">Field marketing: Demand engine matching logic could serve broader field marketing client targeting.</w:t>
      </w:r>
    </w:p>
    <w:p>
      <w:pPr>
        <w:pStyle w:val="ListParagraph"/>
        <w:numPr>
          <w:ilvl w:val="0"/>
          <w:numId w:val="2"/>
        </w:numPr>
        <w:spacing w:after="60"/>
      </w:pPr>
      <w:r>
        <w:rPr>
          <w:rFonts w:ascii="Arial" w:cs="Arial" w:eastAsia="Arial" w:hAnsi="Arial"/>
          <w:color w:val="161616"/>
          <w:sz w:val="22"/>
          <w:szCs w:val="22"/>
        </w:rPr>
        <w:t xml:space="preserve">Any experiential marketing: Pop-ups, client briefing centers, regional events all require similar intake workflows.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Medium-High. Seller behavior change is the most significant adoption barrier per the feasibility matrix (Change Readiness: 3). Sellers need to provide better request data for AI to classify effectively. CIO engagement required for BRS-CRM integration.</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BRS-CRM integration layer for real-time account intelligence during intake validation.</w:t>
      </w:r>
    </w:p>
    <w:p>
      <w:pPr>
        <w:pStyle w:val="ListParagraph"/>
        <w:numPr>
          <w:ilvl w:val="0"/>
          <w:numId w:val="2"/>
        </w:numPr>
        <w:spacing w:after="60"/>
      </w:pPr>
      <w:r>
        <w:rPr>
          <w:rFonts w:ascii="Arial" w:cs="Arial" w:eastAsia="Arial" w:hAnsi="Arial"/>
          <w:color w:val="161616"/>
          <w:sz w:val="22"/>
          <w:szCs w:val="22"/>
        </w:rPr>
        <w:t xml:space="preserve">AI classification model trained on historical request data and engagement outcomes.</w:t>
      </w:r>
    </w:p>
    <w:p>
      <w:pPr>
        <w:pStyle w:val="ListParagraph"/>
        <w:numPr>
          <w:ilvl w:val="0"/>
          <w:numId w:val="2"/>
        </w:numPr>
        <w:spacing w:after="60"/>
      </w:pPr>
      <w:r>
        <w:rPr>
          <w:rFonts w:ascii="Arial" w:cs="Arial" w:eastAsia="Arial" w:hAnsi="Arial"/>
          <w:color w:val="161616"/>
          <w:sz w:val="22"/>
          <w:szCs w:val="22"/>
        </w:rPr>
        <w:t xml:space="preserve">Client nomination engine using CRM relationship stage, engagement history, and seniority data.</w:t>
      </w:r>
    </w:p>
    <w:p>
      <w:pPr>
        <w:pStyle w:val="ListParagraph"/>
        <w:numPr>
          <w:ilvl w:val="0"/>
          <w:numId w:val="2"/>
        </w:numPr>
        <w:spacing w:after="60"/>
      </w:pPr>
      <w:r>
        <w:rPr>
          <w:rFonts w:ascii="Arial" w:cs="Arial" w:eastAsia="Arial" w:hAnsi="Arial"/>
          <w:color w:val="161616"/>
          <w:sz w:val="22"/>
          <w:szCs w:val="22"/>
        </w:rPr>
        <w:t xml:space="preserve">Notification/recommendation interface for engagement leaders to approve/override AI suggestions.</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BRS data schema review: what fields are captured, what is the data quality baseline?</w:t>
      </w:r>
    </w:p>
    <w:p>
      <w:pPr>
        <w:pStyle w:val="ListParagraph"/>
        <w:numPr>
          <w:ilvl w:val="0"/>
          <w:numId w:val="2"/>
        </w:numPr>
        <w:spacing w:after="60"/>
      </w:pPr>
      <w:r>
        <w:rPr>
          <w:rFonts w:ascii="Arial" w:cs="Arial" w:eastAsia="Arial" w:hAnsi="Arial"/>
          <w:color w:val="161616"/>
          <w:sz w:val="22"/>
          <w:szCs w:val="22"/>
        </w:rPr>
        <w:t xml:space="preserve">CRM integration feasibility assessment with CIO.</w:t>
      </w:r>
    </w:p>
    <w:p>
      <w:pPr>
        <w:pStyle w:val="ListParagraph"/>
        <w:numPr>
          <w:ilvl w:val="0"/>
          <w:numId w:val="2"/>
        </w:numPr>
        <w:spacing w:after="60"/>
      </w:pPr>
      <w:r>
        <w:rPr>
          <w:rFonts w:ascii="Arial" w:cs="Arial" w:eastAsia="Arial" w:hAnsi="Arial"/>
          <w:color w:val="161616"/>
          <w:sz w:val="22"/>
          <w:szCs w:val="22"/>
        </w:rPr>
        <w:t xml:space="preserve">Historical engagement outcome data: is it structured enough to train a recommendation model?</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BRS-CRM integration: Primary technical dependency. Must be built or API-connected.</w:t>
      </w:r>
    </w:p>
    <w:p>
      <w:pPr>
        <w:pStyle w:val="ListParagraph"/>
        <w:numPr>
          <w:ilvl w:val="0"/>
          <w:numId w:val="2"/>
        </w:numPr>
        <w:spacing w:after="60"/>
      </w:pPr>
      <w:r>
        <w:rPr>
          <w:rFonts w:ascii="Arial" w:cs="Arial" w:eastAsia="Arial" w:hAnsi="Arial"/>
          <w:color w:val="161616"/>
          <w:sz w:val="22"/>
          <w:szCs w:val="22"/>
        </w:rPr>
        <w:t xml:space="preserve">Seller behavior change: Sellers must provide higher-quality request data. This is the top change management risk.</w:t>
      </w:r>
    </w:p>
    <w:p>
      <w:pPr>
        <w:pStyle w:val="ListParagraph"/>
        <w:numPr>
          <w:ilvl w:val="0"/>
          <w:numId w:val="2"/>
        </w:numPr>
        <w:spacing w:after="60"/>
      </w:pPr>
      <w:r>
        <w:rPr>
          <w:rFonts w:ascii="Arial" w:cs="Arial" w:eastAsia="Arial" w:hAnsi="Arial"/>
          <w:color w:val="161616"/>
          <w:sz w:val="22"/>
          <w:szCs w:val="22"/>
        </w:rPr>
        <w:t xml:space="preserve">CRM data quality: Account relationship stage and engagement history must be current and accurate in CRM.</w:t>
      </w:r>
    </w:p>
    <w:p>
      <w:pPr>
        <w:pStyle w:val="ListParagraph"/>
        <w:numPr>
          <w:ilvl w:val="0"/>
          <w:numId w:val="2"/>
        </w:numPr>
        <w:spacing w:after="60"/>
      </w:pPr>
      <w:r>
        <w:rPr>
          <w:rFonts w:ascii="Arial" w:cs="Arial" w:eastAsia="Arial" w:hAnsi="Arial"/>
          <w:color w:val="161616"/>
          <w:sz w:val="22"/>
          <w:szCs w:val="22"/>
        </w:rPr>
        <w:t xml:space="preserve">Privacy/compliance: Client nomination based on CRM data may require PIA review.</w:t>
      </w:r>
    </w:p>
    <w:p>
      <w:pPr>
        <w:pStyle w:val="ListParagraph"/>
        <w:numPr>
          <w:ilvl w:val="0"/>
          <w:numId w:val="2"/>
        </w:numPr>
        <w:spacing w:after="60"/>
      </w:pPr>
      <w:r>
        <w:rPr>
          <w:rFonts w:ascii="Arial" w:cs="Arial" w:eastAsia="Arial" w:hAnsi="Arial"/>
          <w:color w:val="161616"/>
          <w:sz w:val="22"/>
          <w:szCs w:val="22"/>
        </w:rPr>
        <w:t xml:space="preserve">CIO engagement: Not yet initiated for this workflow.</w:t>
      </w:r>
    </w:p>
    <w:p>
      <w:pPr>
        <w:pStyle w:val="Heading2"/>
        <w:spacing w:before="280" w:after="160"/>
      </w:pPr>
      <w:r>
        <w:rPr>
          <w:rFonts w:ascii="Arial" w:cs="Arial" w:eastAsia="Arial" w:hAnsi="Arial"/>
          <w:b/>
          <w:bCs/>
          <w:color w:val="161616"/>
          <w:sz w:val="28"/>
          <w:szCs w:val="28"/>
        </w:rPr>
        <w:t xml:space="preserve">10. Callouts &amp; Questions</w:t>
      </w:r>
    </w:p>
    <w:p>
      <w:pPr>
        <w:spacing w:before="200" w:after="100"/>
      </w:pPr>
      <w:r>
        <w:rPr>
          <w:rFonts w:ascii="Arial" w:cs="Arial" w:eastAsia="Arial" w:hAnsi="Arial"/>
          <w:b/>
          <w:bCs/>
          <w:color w:val="525252"/>
          <w:sz w:val="24"/>
          <w:szCs w:val="24"/>
        </w:rPr>
        <w:t xml:space="preserve">Questions from the Transcript</w:t>
      </w:r>
    </w:p>
    <w:p>
      <w:pPr>
        <w:pStyle w:val="ListParagraph"/>
        <w:numPr>
          <w:ilvl w:val="0"/>
          <w:numId w:val="2"/>
        </w:numPr>
        <w:spacing w:after="60"/>
      </w:pPr>
      <w:r>
        <w:rPr>
          <w:rFonts w:ascii="Arial" w:cs="Arial" w:eastAsia="Arial" w:hAnsi="Arial"/>
          <w:color w:val="161616"/>
          <w:sz w:val="22"/>
          <w:szCs w:val="22"/>
        </w:rPr>
        <w:t xml:space="preserve">How do we ensure sellers provide complete and accurate request data? What incentive structure supports this?</w:t>
      </w:r>
    </w:p>
    <w:p>
      <w:pPr>
        <w:pStyle w:val="ListParagraph"/>
        <w:numPr>
          <w:ilvl w:val="0"/>
          <w:numId w:val="2"/>
        </w:numPr>
        <w:spacing w:after="60"/>
      </w:pPr>
      <w:r>
        <w:rPr>
          <w:rFonts w:ascii="Arial" w:cs="Arial" w:eastAsia="Arial" w:hAnsi="Arial"/>
          <w:color w:val="161616"/>
          <w:sz w:val="22"/>
          <w:szCs w:val="22"/>
        </w:rPr>
        <w:t xml:space="preserve">Can we quantify the rework cost when poorly triaged requests flow downstream?</w:t>
      </w:r>
    </w:p>
    <w:p>
      <w:pPr>
        <w:pStyle w:val="ListParagraph"/>
        <w:numPr>
          <w:ilvl w:val="0"/>
          <w:numId w:val="2"/>
        </w:numPr>
        <w:spacing w:after="60"/>
      </w:pPr>
      <w:r>
        <w:rPr>
          <w:rFonts w:ascii="Arial" w:cs="Arial" w:eastAsia="Arial" w:hAnsi="Arial"/>
          <w:color w:val="161616"/>
          <w:sz w:val="22"/>
          <w:szCs w:val="22"/>
        </w:rPr>
        <w:t xml:space="preserve">What is the untapped demand? Nigel estimated 20-30% more engagements possible with efficiency gains.</w:t>
      </w:r>
    </w:p>
    <w:p>
      <w:pPr>
        <w:spacing w:before="200" w:after="100"/>
      </w:pPr>
      <w:r>
        <w:rPr>
          <w:rFonts w:ascii="Arial" w:cs="Arial" w:eastAsia="Arial" w:hAnsi="Arial"/>
          <w:b/>
          <w:bCs/>
          <w:color w:val="525252"/>
          <w:sz w:val="24"/>
          <w:szCs w:val="24"/>
        </w:rPr>
        <w:t xml:space="preserve">Strategic Questions Not Raised</w:t>
      </w:r>
    </w:p>
    <w:p>
      <w:pPr>
        <w:pStyle w:val="ListParagraph"/>
        <w:numPr>
          <w:ilvl w:val="0"/>
          <w:numId w:val="2"/>
        </w:numPr>
        <w:spacing w:after="60"/>
      </w:pPr>
      <w:r>
        <w:rPr>
          <w:rFonts w:ascii="Arial" w:cs="Arial" w:eastAsia="Arial" w:hAnsi="Arial"/>
          <w:color w:val="161616"/>
          <w:sz w:val="22"/>
          <w:szCs w:val="22"/>
        </w:rPr>
        <w:t xml:space="preserve">Should the nomination engine proactively push studio recommendations to sellers based on CRM signals, rather than waiting for inbound requests?</w:t>
      </w:r>
    </w:p>
    <w:p>
      <w:pPr>
        <w:pStyle w:val="ListParagraph"/>
        <w:numPr>
          <w:ilvl w:val="0"/>
          <w:numId w:val="2"/>
        </w:numPr>
        <w:spacing w:after="60"/>
      </w:pPr>
      <w:r>
        <w:rPr>
          <w:rFonts w:ascii="Arial" w:cs="Arial" w:eastAsia="Arial" w:hAnsi="Arial"/>
          <w:color w:val="161616"/>
          <w:sz w:val="22"/>
          <w:szCs w:val="22"/>
        </w:rPr>
        <w:t xml:space="preserve">How does this connect to the Named Account playbook agent? Could playbook creation trigger studio nominations?</w:t>
      </w:r>
    </w:p>
    <w:p>
      <w:pPr>
        <w:pStyle w:val="ListParagraph"/>
        <w:numPr>
          <w:ilvl w:val="0"/>
          <w:numId w:val="2"/>
        </w:numPr>
        <w:spacing w:after="60"/>
      </w:pPr>
      <w:r>
        <w:rPr>
          <w:rFonts w:ascii="Arial" w:cs="Arial" w:eastAsia="Arial" w:hAnsi="Arial"/>
          <w:color w:val="161616"/>
          <w:sz w:val="22"/>
          <w:szCs w:val="22"/>
        </w:rPr>
        <w:t xml:space="preserve">What is the false-positive risk of AI-declined requests? How do we ensure high-value edge cases aren't filtered out?</w:t>
      </w:r>
    </w:p>
    <w:p>
      <w:r>
        <w:br w:type="page"/>
      </w:r>
    </w:p>
    <w:p>
      <w:pPr>
        <w:pStyle w:val="Heading1"/>
        <w:spacing w:before="360" w:after="200"/>
      </w:pPr>
      <w:r>
        <w:rPr>
          <w:rFonts w:ascii="Arial" w:cs="Arial" w:eastAsia="Arial" w:hAnsi="Arial"/>
          <w:b/>
          <w:bCs/>
          <w:color w:val="0F62FE"/>
          <w:sz w:val="36"/>
          <w:szCs w:val="36"/>
        </w:rPr>
        <w:t xml:space="preserve">WORKFLOW 2: Agenda Creation &amp; SME Coordination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Innovation Studio Agenda Creation &amp; SME Coordination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generates customized client engagement agendas from a library of proven Innovation Studio blueprints and experience patterns, matched to client persona, industry, use cases, and objectives, while also recommending and coordinating relevant subject matter experts and internal speakers. It serves engagement leaders, studio teams, and account teams preparing for client Innovation Studio visits.</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Operational efficiency and stakeholder engagement. This is the highest-impact and most ready-to-deploy AI application identified by the team (4.3/5 business impact per the prioritization matrix). Currently, engagement leaders spend the bulk of 32,000 annual hours on manual preparation, with agenda creation being the most labor-intensive component. Each engagement leader handles 3-5 engagements per week, spending 1-2 full days preparing each. The team has already built and tested a POC on IBM Consulting Advantage that generates agendas from proven templates. Approximately 50-60% of engagements already draw from existing blueprints, with the remainder requiring cobbled combinations or custom builds.</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 validated engagement request (from Workflow 1) is ready for agenda development. The engagement leader has the client briefing data: persona, industry, use cases, objectives.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An engagement leader or seller needs to quickly assemble a bespoke agenda for a short-notice request (Tucker described trying to schedule two days in advance).</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David Latinovic - POC builder, solution architecture lead</w:t>
      </w:r>
    </w:p>
    <w:p>
      <w:pPr>
        <w:pStyle w:val="ListParagraph"/>
        <w:numPr>
          <w:ilvl w:val="0"/>
          <w:numId w:val="2"/>
        </w:numPr>
        <w:spacing w:after="60"/>
      </w:pPr>
      <w:r>
        <w:rPr>
          <w:rFonts w:ascii="Arial" w:cs="Arial" w:eastAsia="Arial" w:hAnsi="Arial"/>
          <w:color w:val="161616"/>
          <w:sz w:val="22"/>
          <w:szCs w:val="22"/>
        </w:rPr>
        <w:t xml:space="preserve">Sonal Kirtikar - Global team lead, strategy</w:t>
      </w:r>
    </w:p>
    <w:p>
      <w:pPr>
        <w:pStyle w:val="ListParagraph"/>
        <w:numPr>
          <w:ilvl w:val="0"/>
          <w:numId w:val="2"/>
        </w:numPr>
        <w:spacing w:after="60"/>
      </w:pPr>
      <w:r>
        <w:rPr>
          <w:rFonts w:ascii="Arial" w:cs="Arial" w:eastAsia="Arial" w:hAnsi="Arial"/>
          <w:color w:val="161616"/>
          <w:sz w:val="22"/>
          <w:szCs w:val="22"/>
        </w:rPr>
        <w:t xml:space="preserve">Nigel Gopie - Innovation Studio global lead</w:t>
      </w:r>
    </w:p>
    <w:p>
      <w:pPr>
        <w:pStyle w:val="ListParagraph"/>
        <w:numPr>
          <w:ilvl w:val="0"/>
          <w:numId w:val="2"/>
        </w:numPr>
        <w:spacing w:after="60"/>
      </w:pPr>
      <w:r>
        <w:rPr>
          <w:rFonts w:ascii="Arial" w:cs="Arial" w:eastAsia="Arial" w:hAnsi="Arial"/>
          <w:color w:val="161616"/>
          <w:sz w:val="22"/>
          <w:szCs w:val="22"/>
        </w:rPr>
        <w:t xml:space="preserve">Engagement leaders (global studio staff) - Primary users</w:t>
      </w:r>
    </w:p>
    <w:p>
      <w:pPr>
        <w:pStyle w:val="ListParagraph"/>
        <w:numPr>
          <w:ilvl w:val="0"/>
          <w:numId w:val="2"/>
        </w:numPr>
        <w:spacing w:after="60"/>
      </w:pPr>
      <w:r>
        <w:rPr>
          <w:rFonts w:ascii="Arial" w:cs="Arial" w:eastAsia="Arial" w:hAnsi="Arial"/>
          <w:color w:val="161616"/>
          <w:sz w:val="22"/>
          <w:szCs w:val="22"/>
        </w:rPr>
        <w:t xml:space="preserve">SMEs and internal speakers - Recommended by agent, manually booked today</w:t>
      </w:r>
    </w:p>
    <w:p>
      <w:pPr>
        <w:pStyle w:val="ListParagraph"/>
        <w:numPr>
          <w:ilvl w:val="0"/>
          <w:numId w:val="2"/>
        </w:numPr>
        <w:spacing w:after="60"/>
      </w:pPr>
      <w:r>
        <w:rPr>
          <w:rFonts w:ascii="Arial" w:cs="Arial" w:eastAsia="Arial" w:hAnsi="Arial"/>
          <w:color w:val="161616"/>
          <w:sz w:val="22"/>
          <w:szCs w:val="22"/>
        </w:rPr>
        <w:t xml:space="preserve">Account teams/sellers - Provide client briefing, validate agenda alignment</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are SMEs currently identified and booked? Is there a directory or is it relationship-based?</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5"/>
        </w:numPr>
        <w:spacing w:after="60"/>
      </w:pPr>
      <w:r>
        <w:rPr>
          <w:rFonts w:ascii="Arial" w:cs="Arial" w:eastAsia="Arial" w:hAnsi="Arial"/>
          <w:b/>
          <w:bCs/>
          <w:color w:val="161616"/>
          <w:sz w:val="22"/>
          <w:szCs w:val="22"/>
        </w:rPr>
        <w:t xml:space="preserve">Step 1 - Client Briefing Intake: </w:t>
      </w:r>
      <w:r>
        <w:rPr>
          <w:rFonts w:ascii="Arial" w:cs="Arial" w:eastAsia="Arial" w:hAnsi="Arial"/>
          <w:color w:val="161616"/>
          <w:sz w:val="22"/>
          <w:szCs w:val="22"/>
        </w:rPr>
        <w:t xml:space="preserve">Engagement leader receives client briefing data (persona, industry, use cases, objectives) from the validated request. Performed by: Engagement leader. System: BRS + manual notes. Handoff: Briefing understood.</w:t>
      </w:r>
    </w:p>
    <w:p>
      <w:pPr>
        <w:pStyle w:val="ListParagraph"/>
        <w:numPr>
          <w:ilvl w:val="0"/>
          <w:numId w:val="5"/>
        </w:numPr>
        <w:spacing w:after="60"/>
      </w:pPr>
      <w:r>
        <w:rPr>
          <w:rFonts w:ascii="Arial" w:cs="Arial" w:eastAsia="Arial" w:hAnsi="Arial"/>
          <w:b/>
          <w:bCs/>
          <w:color w:val="161616"/>
          <w:sz w:val="22"/>
          <w:szCs w:val="22"/>
        </w:rPr>
        <w:t xml:space="preserve">Step 2 - Blueprint Matching: </w:t>
      </w:r>
      <w:r>
        <w:rPr>
          <w:rFonts w:ascii="Arial" w:cs="Arial" w:eastAsia="Arial" w:hAnsi="Arial"/>
          <w:color w:val="161616"/>
          <w:sz w:val="22"/>
          <w:szCs w:val="22"/>
        </w:rPr>
        <w:t xml:space="preserve">Engagement leader searches the library of proven experience blueprints to find patterns that match the client's needs. Often requires combining multiple blueprints. Performed by: Engagement leader. System: Blueprint library (manual search). Handoff: Candidate blueprints identified.</w:t>
      </w:r>
    </w:p>
    <w:p>
      <w:pPr>
        <w:pStyle w:val="ListParagraph"/>
        <w:numPr>
          <w:ilvl w:val="0"/>
          <w:numId w:val="5"/>
        </w:numPr>
        <w:spacing w:after="60"/>
      </w:pPr>
      <w:r>
        <w:rPr>
          <w:rFonts w:ascii="Arial" w:cs="Arial" w:eastAsia="Arial" w:hAnsi="Arial"/>
          <w:b/>
          <w:bCs/>
          <w:color w:val="161616"/>
          <w:sz w:val="22"/>
          <w:szCs w:val="22"/>
        </w:rPr>
        <w:t xml:space="preserve">Step 3 - Agenda Assembly: </w:t>
      </w:r>
      <w:r>
        <w:rPr>
          <w:rFonts w:ascii="Arial" w:cs="Arial" w:eastAsia="Arial" w:hAnsi="Arial"/>
          <w:color w:val="161616"/>
          <w:sz w:val="22"/>
          <w:szCs w:val="22"/>
        </w:rPr>
        <w:t xml:space="preserve">Engagement leader assembles a custom agenda by pulling elements from matched blueprints, adding talking points, narratives, and execution guidance. Performed by: Engagement leader. System: Manual document creation. Handoff: Draft agenda created.</w:t>
      </w:r>
    </w:p>
    <w:p>
      <w:pPr>
        <w:pStyle w:val="ListParagraph"/>
        <w:numPr>
          <w:ilvl w:val="0"/>
          <w:numId w:val="5"/>
        </w:numPr>
        <w:spacing w:after="60"/>
      </w:pPr>
      <w:r>
        <w:rPr>
          <w:rFonts w:ascii="Arial" w:cs="Arial" w:eastAsia="Arial" w:hAnsi="Arial"/>
          <w:b/>
          <w:bCs/>
          <w:color w:val="161616"/>
          <w:sz w:val="22"/>
          <w:szCs w:val="22"/>
        </w:rPr>
        <w:t xml:space="preserve">Step 4 - Content &amp; Asset Identification: </w:t>
      </w:r>
      <w:r>
        <w:rPr>
          <w:rFonts w:ascii="Arial" w:cs="Arial" w:eastAsia="Arial" w:hAnsi="Arial"/>
          <w:color w:val="161616"/>
          <w:sz w:val="22"/>
          <w:szCs w:val="22"/>
        </w:rPr>
        <w:t xml:space="preserve">Engagement leader searches for content and assets needed to execute the agenda (demos, slides, client journeys, case studies). This is described as 'one of the most manual' steps. Performed by: Engagement leader. Systems: Seismic, Box, manual search. Handoff: Content mapped to agenda.</w:t>
      </w:r>
    </w:p>
    <w:p>
      <w:pPr>
        <w:pStyle w:val="ListParagraph"/>
        <w:numPr>
          <w:ilvl w:val="0"/>
          <w:numId w:val="5"/>
        </w:numPr>
        <w:spacing w:after="60"/>
      </w:pPr>
      <w:r>
        <w:rPr>
          <w:rFonts w:ascii="Arial" w:cs="Arial" w:eastAsia="Arial" w:hAnsi="Arial"/>
          <w:b/>
          <w:bCs/>
          <w:color w:val="161616"/>
          <w:sz w:val="22"/>
          <w:szCs w:val="22"/>
        </w:rPr>
        <w:t xml:space="preserve">Step 5 - SME Identification &amp; Booking: </w:t>
      </w:r>
      <w:r>
        <w:rPr>
          <w:rFonts w:ascii="Arial" w:cs="Arial" w:eastAsia="Arial" w:hAnsi="Arial"/>
          <w:color w:val="161616"/>
          <w:sz w:val="22"/>
          <w:szCs w:val="22"/>
        </w:rPr>
        <w:t xml:space="preserve">Engagement leader identifies and books subject matter experts for relevant agenda sessions. 'Finding SMEs is sometimes very challenging.' Performed by: Engagement leader. System: Manual (SME directory, personal network). Handoff: SMEs confirmed.</w:t>
      </w:r>
    </w:p>
    <w:p>
      <w:pPr>
        <w:pStyle w:val="ListParagraph"/>
        <w:numPr>
          <w:ilvl w:val="0"/>
          <w:numId w:val="5"/>
        </w:numPr>
        <w:spacing w:after="60"/>
      </w:pPr>
      <w:r>
        <w:rPr>
          <w:rFonts w:ascii="Arial" w:cs="Arial" w:eastAsia="Arial" w:hAnsi="Arial"/>
          <w:b/>
          <w:bCs/>
          <w:color w:val="161616"/>
          <w:sz w:val="22"/>
          <w:szCs w:val="22"/>
        </w:rPr>
        <w:t xml:space="preserve">Step 6 - Account Team Validation: </w:t>
      </w:r>
      <w:r>
        <w:rPr>
          <w:rFonts w:ascii="Arial" w:cs="Arial" w:eastAsia="Arial" w:hAnsi="Arial"/>
          <w:color w:val="161616"/>
          <w:sz w:val="22"/>
          <w:szCs w:val="22"/>
        </w:rPr>
        <w:t xml:space="preserve">Draft agenda is reviewed with the account team/seller to confirm alignment with client expectations. Performed by: Engagement leader + account team. System: Manual consultation (calls, email). Handoff: Agenda finalized.</w:t>
      </w:r>
    </w:p>
    <w:p>
      <w:pPr>
        <w:pStyle w:val="ListParagraph"/>
        <w:numPr>
          <w:ilvl w:val="0"/>
          <w:numId w:val="5"/>
        </w:numPr>
        <w:spacing w:after="60"/>
      </w:pPr>
      <w:r>
        <w:rPr>
          <w:rFonts w:ascii="Arial" w:cs="Arial" w:eastAsia="Arial" w:hAnsi="Arial"/>
          <w:b/>
          <w:bCs/>
          <w:color w:val="161616"/>
          <w:sz w:val="22"/>
          <w:szCs w:val="22"/>
        </w:rPr>
        <w:t xml:space="preserve">Step 7 - Registration &amp; Logistics: </w:t>
      </w:r>
      <w:r>
        <w:rPr>
          <w:rFonts w:ascii="Arial" w:cs="Arial" w:eastAsia="Arial" w:hAnsi="Arial"/>
          <w:color w:val="161616"/>
          <w:sz w:val="22"/>
          <w:szCs w:val="22"/>
        </w:rPr>
        <w:t xml:space="preserve">Engagement is registered in BRS and logistics are arranged (room booking, technology setup, catering if applicable). Performed by: Engagement leader. System: BRS. Handoff: Engagement ready for execution.</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IBM Consulting Advantage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POC platform for AI-assisted agenda generation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Already tested; limited to basic AI (not agentic). Team hit ceiling of capability.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BRS (Briefing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Registration, tracking, and administrative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Existing template library provides strong AI training data per feasibility assessment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Blueprint Library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Proven experience patterns and agenda templates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50-60% of engagements use these; globally consistent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Seismic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repository for engagement assets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David tested API access as POC; needs build help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 storage for content and assets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integration tested in POC</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ISC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 intelligence (cross-sell/upsell opportunities)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Would be queried by agent for account context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SME Directory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Subject matter expert identification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Unclear if formalized or relationship-based</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Is the blueprint library stored in a structured format (database, tagged repository) or unstructured (documents, slides)?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SME directory? Is it a formal system or informal knowledge?</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Core function: AI generates agendas from proven templates, providing key talking points, narratives, execution guidance, and links to client journeys and SME directories. This has been tested in POC on Consulting Advantage.</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AI recommends internal SMEs and speakers based on client challenge, product relevance, and availability. Also pulls ISC data for cross-sell/upsell context.</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Agentic AI goes beyond the POC to pull live content from Seismic/Box, query ISC for account intelligence, and coordinate SME booking.</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End-to-end from client briefing intake through agenda generation, content mapping, SME recommendation, and BRS registration.</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DIRECTLY APPLICABLE]</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[NOT DISCUSSED for this workflow]</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but implied for global studios]</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Agenda Creation &amp; SME Coordination Agent would accept structured client briefing data (persona, industry, use cases, objectives) and: (1) match against the proven blueprint library to recommend the best experience pattern or combination of patterns; (2) generate a customized agenda with talking points, narratives, and execution guidance; (3) pull the latest content and assets from Seismic and Box to populate the agenda; (4) query ISC for cross-sell/upsell opportunities relevant to the client; (5) recommend and facilitate SME booking. Human-in-the-loop: engagement leader reviews and refines the generated agenda, validates with account team, and adjusts based on feedback.</w:t>
      </w:r>
    </w:p>
    <w:p>
      <w:pPr>
        <w:spacing w:before="200" w:after="100"/>
      </w:pPr>
      <w:r>
        <w:rPr>
          <w:rFonts w:ascii="Arial" w:cs="Arial" w:eastAsia="Arial" w:hAnsi="Arial"/>
          <w:b/>
          <w:bCs/>
          <w:color w:val="525252"/>
          <w:sz w:val="24"/>
          <w:szCs w:val="24"/>
        </w:rPr>
        <w:t xml:space="preserve">Conversational Refinement</w:t>
      </w:r>
    </w:p>
    <w:p>
      <w:pPr>
        <w:spacing w:after="120"/>
      </w:pPr>
      <w:r>
        <w:rPr>
          <w:rFonts w:ascii="Arial" w:cs="Arial" w:eastAsia="Arial" w:hAnsi="Arial"/>
          <w:color w:val="161616"/>
          <w:sz w:val="22"/>
          <w:szCs w:val="22"/>
        </w:rPr>
        <w:t xml:space="preserve">Strongly supported. Nigel and Sonal both described wanting to upload successful agendas back into the model ('I have this amazing agenda, worked really well for the client. I would want to upload it'), and provide feedback ('this sucked, it didn't work for these reasons'). The agent should support iterative refinement, learning from each engagement.</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Engagement leaders manually search blueprint libraries, cobble together elements from multiple experience patterns, and create custom agendas. David Latinovic described this as 'a lot of manual work because every client comes with specific use cases.' Clients often want combinations (e.g., Agentic AI + governance + data), requiring manual assembly from multiple blueprints.</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Sonal explicitly stated: 'our teams have to juggle between several tools. They have to go to ISC, they have to do our own internal registration in BRS. There's a lot of juggling.' Content search spans Seismic, Box, and other systems.</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Content and assets are not surfaced contextually. Engagement leaders must know where to find things. New content may exist that they're unaware of. Sonal described wanting the system to automatically surface new content.</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Agenda creation requires consulting with account teams, booking SMEs, and coordinating across global studios. SME identification is 'sometimes very challenging.'</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Content is constantly being updated. Engagement leaders struggle to stay current. Sonal described wanting feedback to 'automatically show up for the next one.'</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Translation / localization overload: </w:t>
      </w:r>
      <w:r>
        <w:rPr>
          <w:rFonts w:ascii="Arial" w:cs="Arial" w:eastAsia="Arial" w:hAnsi="Arial"/>
          <w:color w:val="161616"/>
          <w:sz w:val="22"/>
          <w:szCs w:val="22"/>
        </w:rPr>
        <w:t xml:space="preserve">[NOT DISCUSSED - recommend follow-up for global studios]</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[NOT DISCUSSED for agenda creation]</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manual assembly of customized agendas from multiple experience blueprints, followed by the labor-intensive search for supporting content and assets. David Latinovic described building a POC on Consulting Advantage that demonstrated significant time savings but hit the ceiling of what basic AI (non-agentic) could do. The team cannot access Seismic or Box APIs to pull content automatically, cannot train the model on new successful agendas contributed by studio staff, and cannot integrate ISC data for account context. Nigel framed the opportunity clearly: engagement leaders spend 1-2 days preparing each engagement, handling 3-5 per week, and the team wants them to 'focus on delivering that experience instead of thinking about that agenda.' The 32,000 annual hours of manual preparation across 10,000+ engagements represents the scale of the problem.</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(4.3/5 per matrix). Productivity Savings: 5, Cycle Time Reduction: 5, Revenue/Engagement: 4, Risk Reduction: 3. Highest-impact and most ready-to-deploy AI application identified. Directly reduces the bulk of 32,000 annual preparation hours.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MEDIUM-HIGH (3.7/5 per matrix). Data Readiness: 4, Tool Maturity: 4, Change Readiness: 3. Existing BRS template library provides strong AI training data. Generative AI for structured agenda drafting is highly mature. Team has already built and tested a POC.</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Engagement leaders across all global Innovation Studios. Each spends 1-2 days per engagement on preparation, handling 3-5 per week.</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studio staff, sellers/account teams, SMEs, and potentially field marketers, event teams, and technical sales who could use the agenda engine for other client-facing interactions.</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Can we quantify the exact time spent on agenda creation vs. content search vs. SME booking as a breakdown of the 32,000 hours?</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This is the team's top priority and the workflow with the strongest existing foundation. A working POC on Consulting Advantage has already demonstrated feasibility, but the team has hit the ceiling of what basic AI tools can do without agentic capabilities, API integrations, and development resources. David Latinovic stated: 'we would need help to build an agentic solution. We kind of came to the maximum of where we were able to.' Meanwhile, 10,000+ engagements per year consume 32,000 hours of manual preparation, with engagement leaders operating at approximately 80% utilization. Nigel estimated that with this solution, studios could handle 20-30% more engagements. The team is 'super pumped' and change management would be 'really simple' because there is a 'groundswell of folks who are just super excited.' Sonal noted: 'when we started talking last year, they wanted this yesterday.' Every week of delay is approximately 615 hours of manual preparation that could be partially automated.</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Very high reusability. Nigel explicitly described the expansion potential:</w:t>
      </w:r>
    </w:p>
    <w:p>
      <w:pPr>
        <w:pStyle w:val="ListParagraph"/>
        <w:numPr>
          <w:ilvl w:val="0"/>
          <w:numId w:val="2"/>
        </w:numPr>
        <w:spacing w:after="60"/>
      </w:pPr>
      <w:r>
        <w:rPr>
          <w:rFonts w:ascii="Arial" w:cs="Arial" w:eastAsia="Arial" w:hAnsi="Arial"/>
          <w:color w:val="161616"/>
          <w:sz w:val="22"/>
          <w:szCs w:val="22"/>
        </w:rPr>
        <w:t xml:space="preserve">Events team: 'If this works for studios, it can work across a whole bunch of other things. It could work for events.' Same blueprint-matching and agenda generation logic.</w:t>
      </w:r>
    </w:p>
    <w:p>
      <w:pPr>
        <w:pStyle w:val="ListParagraph"/>
        <w:numPr>
          <w:ilvl w:val="0"/>
          <w:numId w:val="2"/>
        </w:numPr>
        <w:spacing w:after="60"/>
      </w:pPr>
      <w:r>
        <w:rPr>
          <w:rFonts w:ascii="Arial" w:cs="Arial" w:eastAsia="Arial" w:hAnsi="Arial"/>
          <w:color w:val="161616"/>
          <w:sz w:val="22"/>
          <w:szCs w:val="22"/>
        </w:rPr>
        <w:t xml:space="preserve">Field marketing: 'Field marketing teams need to constantly map the right experience, the right client, the right time.'</w:t>
      </w:r>
    </w:p>
    <w:p>
      <w:pPr>
        <w:pStyle w:val="ListParagraph"/>
        <w:numPr>
          <w:ilvl w:val="0"/>
          <w:numId w:val="2"/>
        </w:numPr>
        <w:spacing w:after="60"/>
      </w:pPr>
      <w:r>
        <w:rPr>
          <w:rFonts w:ascii="Arial" w:cs="Arial" w:eastAsia="Arial" w:hAnsi="Arial"/>
          <w:color w:val="161616"/>
          <w:sz w:val="22"/>
          <w:szCs w:val="22"/>
        </w:rPr>
        <w:t xml:space="preserve">Client engagement beyond studio walls: Pop-ups, IBM spaces, client spaces, regional markets without studios (e.g., India, APAC).</w:t>
      </w:r>
    </w:p>
    <w:p>
      <w:pPr>
        <w:pStyle w:val="ListParagraph"/>
        <w:numPr>
          <w:ilvl w:val="0"/>
          <w:numId w:val="2"/>
        </w:numPr>
        <w:spacing w:after="60"/>
      </w:pPr>
      <w:r>
        <w:rPr>
          <w:rFonts w:ascii="Arial" w:cs="Arial" w:eastAsia="Arial" w:hAnsi="Arial"/>
          <w:color w:val="161616"/>
          <w:sz w:val="22"/>
          <w:szCs w:val="22"/>
        </w:rPr>
        <w:t xml:space="preserve">Sales and technical sales: Sonal suggested 'sales team, technical sales, all sorts of SMEs' could use this for client meeting preparation.</w:t>
      </w:r>
    </w:p>
    <w:p>
      <w:pPr>
        <w:pStyle w:val="ListParagraph"/>
        <w:numPr>
          <w:ilvl w:val="0"/>
          <w:numId w:val="2"/>
        </w:numPr>
        <w:spacing w:after="60"/>
      </w:pPr>
      <w:r>
        <w:rPr>
          <w:rFonts w:ascii="Arial" w:cs="Arial" w:eastAsia="Arial" w:hAnsi="Arial"/>
          <w:color w:val="161616"/>
          <w:sz w:val="22"/>
          <w:szCs w:val="22"/>
        </w:rPr>
        <w:t xml:space="preserve">Consulting teams: Tucker mentioned personal experience using Innovation Studios; the agenda engine could serve consulting client engagements.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Medium. Change management is described as low-risk ('the change management should be really simple for us'). CIO engagement needed for API integrations (Seismic, Box, ISC). Team has already done significant architecture mapping and is ready for development support.</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Agentic AI platform (beyond Consulting Advantage basic AI): Must support API integrations, multi-step reasoning, and content retrieval.</w:t>
      </w:r>
    </w:p>
    <w:p>
      <w:pPr>
        <w:pStyle w:val="ListParagraph"/>
        <w:numPr>
          <w:ilvl w:val="0"/>
          <w:numId w:val="2"/>
        </w:numPr>
        <w:spacing w:after="60"/>
      </w:pPr>
      <w:r>
        <w:rPr>
          <w:rFonts w:ascii="Arial" w:cs="Arial" w:eastAsia="Arial" w:hAnsi="Arial"/>
          <w:color w:val="161616"/>
          <w:sz w:val="22"/>
          <w:szCs w:val="22"/>
        </w:rPr>
        <w:t xml:space="preserve">Seismic API integration for real-time content and asset discovery.</w:t>
      </w:r>
    </w:p>
    <w:p>
      <w:pPr>
        <w:pStyle w:val="ListParagraph"/>
        <w:numPr>
          <w:ilvl w:val="0"/>
          <w:numId w:val="2"/>
        </w:numPr>
        <w:spacing w:after="60"/>
      </w:pPr>
      <w:r>
        <w:rPr>
          <w:rFonts w:ascii="Arial" w:cs="Arial" w:eastAsia="Arial" w:hAnsi="Arial"/>
          <w:color w:val="161616"/>
          <w:sz w:val="22"/>
          <w:szCs w:val="22"/>
        </w:rPr>
        <w:t xml:space="preserve">Box API integration for file retrieval and asset mapping.</w:t>
      </w:r>
    </w:p>
    <w:p>
      <w:pPr>
        <w:pStyle w:val="ListParagraph"/>
        <w:numPr>
          <w:ilvl w:val="0"/>
          <w:numId w:val="2"/>
        </w:numPr>
        <w:spacing w:after="60"/>
      </w:pPr>
      <w:r>
        <w:rPr>
          <w:rFonts w:ascii="Arial" w:cs="Arial" w:eastAsia="Arial" w:hAnsi="Arial"/>
          <w:color w:val="161616"/>
          <w:sz w:val="22"/>
          <w:szCs w:val="22"/>
        </w:rPr>
        <w:t xml:space="preserve">ISC API integration for cross-sell/upsell account intelligence.</w:t>
      </w:r>
    </w:p>
    <w:p>
      <w:pPr>
        <w:pStyle w:val="ListParagraph"/>
        <w:numPr>
          <w:ilvl w:val="0"/>
          <w:numId w:val="2"/>
        </w:numPr>
        <w:spacing w:after="60"/>
      </w:pPr>
      <w:r>
        <w:rPr>
          <w:rFonts w:ascii="Arial" w:cs="Arial" w:eastAsia="Arial" w:hAnsi="Arial"/>
          <w:color w:val="161616"/>
          <w:sz w:val="22"/>
          <w:szCs w:val="22"/>
        </w:rPr>
        <w:t xml:space="preserve">Blueprint library structuring: Ensure proven agendas are tagged and indexed for AI matching.</w:t>
      </w:r>
    </w:p>
    <w:p>
      <w:pPr>
        <w:pStyle w:val="ListParagraph"/>
        <w:numPr>
          <w:ilvl w:val="0"/>
          <w:numId w:val="2"/>
        </w:numPr>
        <w:spacing w:after="60"/>
      </w:pPr>
      <w:r>
        <w:rPr>
          <w:rFonts w:ascii="Arial" w:cs="Arial" w:eastAsia="Arial" w:hAnsi="Arial"/>
          <w:color w:val="161616"/>
          <w:sz w:val="22"/>
          <w:szCs w:val="22"/>
        </w:rPr>
        <w:t xml:space="preserve">Feedback loop mechanism: Allow studio staff to upload successful agendas and rate AI-generated ones.</w:t>
      </w:r>
    </w:p>
    <w:p>
      <w:pPr>
        <w:pStyle w:val="ListParagraph"/>
        <w:numPr>
          <w:ilvl w:val="0"/>
          <w:numId w:val="2"/>
        </w:numPr>
        <w:spacing w:after="60"/>
      </w:pPr>
      <w:r>
        <w:rPr>
          <w:rFonts w:ascii="Arial" w:cs="Arial" w:eastAsia="Arial" w:hAnsi="Arial"/>
          <w:color w:val="161616"/>
          <w:sz w:val="22"/>
          <w:szCs w:val="22"/>
        </w:rPr>
        <w:t xml:space="preserve">SME recommendation engine: Directory integration or knowledge graph for expert matching.</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David Latinovic has mapped data sets and architecture requirements; these should be reviewed by CIO team.</w:t>
      </w:r>
    </w:p>
    <w:p>
      <w:pPr>
        <w:pStyle w:val="ListParagraph"/>
        <w:numPr>
          <w:ilvl w:val="0"/>
          <w:numId w:val="2"/>
        </w:numPr>
        <w:spacing w:after="60"/>
      </w:pPr>
      <w:r>
        <w:rPr>
          <w:rFonts w:ascii="Arial" w:cs="Arial" w:eastAsia="Arial" w:hAnsi="Arial"/>
          <w:color w:val="161616"/>
          <w:sz w:val="22"/>
          <w:szCs w:val="22"/>
        </w:rPr>
        <w:t xml:space="preserve">Assess whether IBM Consulting Advantage's new agentic release can serve as the platform, or if a custom build is needed.</w:t>
      </w:r>
    </w:p>
    <w:p>
      <w:pPr>
        <w:pStyle w:val="ListParagraph"/>
        <w:numPr>
          <w:ilvl w:val="0"/>
          <w:numId w:val="2"/>
        </w:numPr>
        <w:spacing w:after="60"/>
      </w:pPr>
      <w:r>
        <w:rPr>
          <w:rFonts w:ascii="Arial" w:cs="Arial" w:eastAsia="Arial" w:hAnsi="Arial"/>
          <w:color w:val="161616"/>
          <w:sz w:val="22"/>
          <w:szCs w:val="22"/>
        </w:rPr>
        <w:t xml:space="preserve">Evaluate blueprint library structure and tagging quality for AI training readiness.</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Development resources: Team explicitly lacks the skills to build the agentic solution ('we do not have the skills and resources to do this ourselves'). CIO or IBM Consulting development capacity is required.</w:t>
      </w:r>
    </w:p>
    <w:p>
      <w:pPr>
        <w:pStyle w:val="ListParagraph"/>
        <w:numPr>
          <w:ilvl w:val="0"/>
          <w:numId w:val="2"/>
        </w:numPr>
        <w:spacing w:after="60"/>
      </w:pPr>
      <w:r>
        <w:rPr>
          <w:rFonts w:ascii="Arial" w:cs="Arial" w:eastAsia="Arial" w:hAnsi="Arial"/>
          <w:color w:val="161616"/>
          <w:sz w:val="22"/>
          <w:szCs w:val="22"/>
        </w:rPr>
        <w:t xml:space="preserve">API access: Seismic and Box API integrations were tested in POC but need formal build. ISC integration not yet attempted.</w:t>
      </w:r>
    </w:p>
    <w:p>
      <w:pPr>
        <w:pStyle w:val="ListParagraph"/>
        <w:numPr>
          <w:ilvl w:val="0"/>
          <w:numId w:val="2"/>
        </w:numPr>
        <w:spacing w:after="60"/>
      </w:pPr>
      <w:r>
        <w:rPr>
          <w:rFonts w:ascii="Arial" w:cs="Arial" w:eastAsia="Arial" w:hAnsi="Arial"/>
          <w:color w:val="161616"/>
          <w:sz w:val="22"/>
          <w:szCs w:val="22"/>
        </w:rPr>
        <w:t xml:space="preserve">Blueprint library quality: 50-60% of engagements use blueprints, but the library's tagging/structure for AI consumption is unclear.</w:t>
      </w:r>
    </w:p>
    <w:p>
      <w:pPr>
        <w:pStyle w:val="ListParagraph"/>
        <w:numPr>
          <w:ilvl w:val="0"/>
          <w:numId w:val="2"/>
        </w:numPr>
        <w:spacing w:after="60"/>
      </w:pPr>
      <w:r>
        <w:rPr>
          <w:rFonts w:ascii="Arial" w:cs="Arial" w:eastAsia="Arial" w:hAnsi="Arial"/>
          <w:color w:val="161616"/>
          <w:sz w:val="22"/>
          <w:szCs w:val="22"/>
        </w:rPr>
        <w:t xml:space="preserve">Consulting Advantage limitations: Current platform limited to basic AI. New release has limited agentic options. Custom build may be needed.</w:t>
      </w:r>
    </w:p>
    <w:p>
      <w:pPr>
        <w:pStyle w:val="ListParagraph"/>
        <w:numPr>
          <w:ilvl w:val="0"/>
          <w:numId w:val="2"/>
        </w:numPr>
        <w:spacing w:after="60"/>
      </w:pPr>
      <w:r>
        <w:rPr>
          <w:rFonts w:ascii="Arial" w:cs="Arial" w:eastAsia="Arial" w:hAnsi="Arial"/>
          <w:color w:val="161616"/>
          <w:sz w:val="22"/>
          <w:szCs w:val="22"/>
        </w:rPr>
        <w:t xml:space="preserve">Trust and adoption: Nigel cautioned that 'once people use it a few times, if it doesn't work well, they're going to be all turned off.' First impressions matter.</w:t>
      </w:r>
    </w:p>
    <w:p>
      <w:pPr>
        <w:pStyle w:val="ListParagraph"/>
        <w:numPr>
          <w:ilvl w:val="0"/>
          <w:numId w:val="2"/>
        </w:numPr>
        <w:spacing w:after="60"/>
      </w:pPr>
      <w:r>
        <w:rPr>
          <w:rFonts w:ascii="Arial" w:cs="Arial" w:eastAsia="Arial" w:hAnsi="Arial"/>
          <w:color w:val="161616"/>
          <w:sz w:val="22"/>
          <w:szCs w:val="22"/>
        </w:rPr>
        <w:t xml:space="preserve">Data legislation: David mentioned that 'engagement histories and locally collected data' may face data law restrictions by market/studio.</w:t>
      </w:r>
    </w:p>
    <w:p>
      <w:pPr>
        <w:pStyle w:val="Heading2"/>
        <w:spacing w:before="280" w:after="160"/>
      </w:pPr>
      <w:r>
        <w:rPr>
          <w:rFonts w:ascii="Arial" w:cs="Arial" w:eastAsia="Arial" w:hAnsi="Arial"/>
          <w:b/>
          <w:bCs/>
          <w:color w:val="161616"/>
          <w:sz w:val="28"/>
          <w:szCs w:val="28"/>
        </w:rPr>
        <w:t xml:space="preserve">10. Callouts &amp; Questions</w:t>
      </w:r>
    </w:p>
    <w:p>
      <w:pPr>
        <w:spacing w:before="200" w:after="100"/>
      </w:pPr>
      <w:r>
        <w:rPr>
          <w:rFonts w:ascii="Arial" w:cs="Arial" w:eastAsia="Arial" w:hAnsi="Arial"/>
          <w:b/>
          <w:bCs/>
          <w:color w:val="525252"/>
          <w:sz w:val="24"/>
          <w:szCs w:val="24"/>
        </w:rPr>
        <w:t xml:space="preserve">Questions from the Transcript</w:t>
      </w:r>
    </w:p>
    <w:p>
      <w:pPr>
        <w:pStyle w:val="ListParagraph"/>
        <w:numPr>
          <w:ilvl w:val="0"/>
          <w:numId w:val="2"/>
        </w:numPr>
        <w:spacing w:after="60"/>
      </w:pPr>
      <w:r>
        <w:rPr>
          <w:rFonts w:ascii="Arial" w:cs="Arial" w:eastAsia="Arial" w:hAnsi="Arial"/>
          <w:color w:val="161616"/>
          <w:sz w:val="22"/>
          <w:szCs w:val="22"/>
        </w:rPr>
        <w:t xml:space="preserve">What is the build platform? Consulting Advantage (new release) or custom agentic solution?</w:t>
      </w:r>
    </w:p>
    <w:p>
      <w:pPr>
        <w:pStyle w:val="ListParagraph"/>
        <w:numPr>
          <w:ilvl w:val="0"/>
          <w:numId w:val="2"/>
        </w:numPr>
        <w:spacing w:after="60"/>
      </w:pPr>
      <w:r>
        <w:rPr>
          <w:rFonts w:ascii="Arial" w:cs="Arial" w:eastAsia="Arial" w:hAnsi="Arial"/>
          <w:color w:val="161616"/>
          <w:sz w:val="22"/>
          <w:szCs w:val="22"/>
        </w:rPr>
        <w:t xml:space="preserve">What development resources are available? CIO capacity? IBM Consulting development?</w:t>
      </w:r>
    </w:p>
    <w:p>
      <w:pPr>
        <w:pStyle w:val="ListParagraph"/>
        <w:numPr>
          <w:ilvl w:val="0"/>
          <w:numId w:val="2"/>
        </w:numPr>
        <w:spacing w:after="60"/>
      </w:pPr>
      <w:r>
        <w:rPr>
          <w:rFonts w:ascii="Arial" w:cs="Arial" w:eastAsia="Arial" w:hAnsi="Arial"/>
          <w:color w:val="161616"/>
          <w:sz w:val="22"/>
          <w:szCs w:val="22"/>
        </w:rPr>
        <w:t xml:space="preserve">How do we structure the feedback loop so successful agendas are continuously fed back into the model?</w:t>
      </w:r>
    </w:p>
    <w:p>
      <w:pPr>
        <w:pStyle w:val="ListParagraph"/>
        <w:numPr>
          <w:ilvl w:val="0"/>
          <w:numId w:val="2"/>
        </w:numPr>
        <w:spacing w:after="60"/>
      </w:pPr>
      <w:r>
        <w:rPr>
          <w:rFonts w:ascii="Arial" w:cs="Arial" w:eastAsia="Arial" w:hAnsi="Arial"/>
          <w:color w:val="161616"/>
          <w:sz w:val="22"/>
          <w:szCs w:val="22"/>
        </w:rPr>
        <w:t xml:space="preserve">What data legislation restrictions apply to cross-studio engagement history sharing?</w:t>
      </w:r>
    </w:p>
    <w:p>
      <w:pPr>
        <w:spacing w:before="200" w:after="100"/>
      </w:pPr>
      <w:r>
        <w:rPr>
          <w:rFonts w:ascii="Arial" w:cs="Arial" w:eastAsia="Arial" w:hAnsi="Arial"/>
          <w:b/>
          <w:bCs/>
          <w:color w:val="525252"/>
          <w:sz w:val="24"/>
          <w:szCs w:val="24"/>
        </w:rPr>
        <w:t xml:space="preserve">Strategic Questions Not Raised</w:t>
      </w:r>
    </w:p>
    <w:p>
      <w:pPr>
        <w:pStyle w:val="ListParagraph"/>
        <w:numPr>
          <w:ilvl w:val="0"/>
          <w:numId w:val="2"/>
        </w:numPr>
        <w:spacing w:after="60"/>
      </w:pPr>
      <w:r>
        <w:rPr>
          <w:rFonts w:ascii="Arial" w:cs="Arial" w:eastAsia="Arial" w:hAnsi="Arial"/>
          <w:color w:val="161616"/>
          <w:sz w:val="22"/>
          <w:szCs w:val="22"/>
        </w:rPr>
        <w:t xml:space="preserve">Should the agenda agent be exposed to sellers directly for self-serve preparation, or mediated through engagement leaders?</w:t>
      </w:r>
    </w:p>
    <w:p>
      <w:pPr>
        <w:pStyle w:val="ListParagraph"/>
        <w:numPr>
          <w:ilvl w:val="0"/>
          <w:numId w:val="2"/>
        </w:numPr>
        <w:spacing w:after="60"/>
      </w:pPr>
      <w:r>
        <w:rPr>
          <w:rFonts w:ascii="Arial" w:cs="Arial" w:eastAsia="Arial" w:hAnsi="Arial"/>
          <w:color w:val="161616"/>
          <w:sz w:val="22"/>
          <w:szCs w:val="22"/>
        </w:rPr>
        <w:t xml:space="preserve">How does this connect to the Named Account Playbook Agent? Similar content curation logic.</w:t>
      </w:r>
    </w:p>
    <w:p>
      <w:pPr>
        <w:pStyle w:val="ListParagraph"/>
        <w:numPr>
          <w:ilvl w:val="0"/>
          <w:numId w:val="2"/>
        </w:numPr>
        <w:spacing w:after="60"/>
      </w:pPr>
      <w:r>
        <w:rPr>
          <w:rFonts w:ascii="Arial" w:cs="Arial" w:eastAsia="Arial" w:hAnsi="Arial"/>
          <w:color w:val="161616"/>
          <w:sz w:val="22"/>
          <w:szCs w:val="22"/>
        </w:rPr>
        <w:t xml:space="preserve">Can the agent learn to predict which experience patterns will drive the highest yield based on historical outcome data?</w:t>
      </w:r>
    </w:p>
    <w:p>
      <w:pPr>
        <w:pStyle w:val="ListParagraph"/>
        <w:numPr>
          <w:ilvl w:val="0"/>
          <w:numId w:val="2"/>
        </w:numPr>
        <w:spacing w:after="60"/>
      </w:pPr>
      <w:r>
        <w:rPr>
          <w:rFonts w:ascii="Arial" w:cs="Arial" w:eastAsia="Arial" w:hAnsi="Arial"/>
          <w:color w:val="161616"/>
          <w:sz w:val="22"/>
          <w:szCs w:val="22"/>
        </w:rPr>
        <w:t xml:space="preserve">What is the quality threshold? How do we measure when AI-generated agendas are 'good enough' to reduce preparation time?</w:t>
      </w:r>
    </w:p>
    <w:p>
      <w:r>
        <w:br w:type="page"/>
      </w:r>
    </w:p>
    <w:p>
      <w:pPr>
        <w:pStyle w:val="Heading1"/>
        <w:spacing w:before="360" w:after="200"/>
      </w:pPr>
      <w:r>
        <w:rPr>
          <w:rFonts w:ascii="Arial" w:cs="Arial" w:eastAsia="Arial" w:hAnsi="Arial"/>
          <w:b/>
          <w:bCs/>
          <w:color w:val="0F62FE"/>
          <w:sz w:val="36"/>
          <w:szCs w:val="36"/>
        </w:rPr>
        <w:t xml:space="preserve">WORKFLOW 3: Demo &amp; Content Creation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Innovation Studio Demo &amp; Content Discovery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discovers, surfaces, and assembles demonstration content and assets needed to execute Innovation Studio agendas, ensuring the latest and most relevant materials are always findable, and proactively flagging when critical assets are missing or need creation. It serves engagement leaders, content teams, and demo producers assembling materials for client studio visits.</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Operational efficiency and brand consistency. Rated 4.3/5 business impact (Productivity: 5, Cycle Time: 5, Revenue/Engagement: 3, Risk Reduction: 4). Content and asset discovery is described as 'one of the most manual' parts of the workflow. After spending hours assembling an agenda, engagement leaders must then populate it with the right demos, slides, case studies, and client journeys from across multiple content repositories. Assets may be outdated, mislabeled, or missing entirely.</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 draft agenda has been created (output of Workflow 2) and needs to be populated with demos, content, and assets.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A content gap is identified during agenda assembly, triggering a proactive 'missing asset' alert to content creation teams.</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Engagement leaders - Content consumers</w:t>
      </w:r>
    </w:p>
    <w:p>
      <w:pPr>
        <w:pStyle w:val="ListParagraph"/>
        <w:numPr>
          <w:ilvl w:val="0"/>
          <w:numId w:val="2"/>
        </w:numPr>
        <w:spacing w:after="60"/>
      </w:pPr>
      <w:r>
        <w:rPr>
          <w:rFonts w:ascii="Arial" w:cs="Arial" w:eastAsia="Arial" w:hAnsi="Arial"/>
          <w:color w:val="161616"/>
          <w:sz w:val="22"/>
          <w:szCs w:val="22"/>
        </w:rPr>
        <w:t xml:space="preserve">Content/experience design teams - Content creators and maintainers</w:t>
      </w:r>
    </w:p>
    <w:p>
      <w:pPr>
        <w:pStyle w:val="ListParagraph"/>
        <w:numPr>
          <w:ilvl w:val="0"/>
          <w:numId w:val="2"/>
        </w:numPr>
        <w:spacing w:after="60"/>
      </w:pPr>
      <w:r>
        <w:rPr>
          <w:rFonts w:ascii="Arial" w:cs="Arial" w:eastAsia="Arial" w:hAnsi="Arial"/>
          <w:color w:val="161616"/>
          <w:sz w:val="22"/>
          <w:szCs w:val="22"/>
        </w:rPr>
        <w:t xml:space="preserve">Demo producers - Demo development and maintenance</w:t>
      </w:r>
    </w:p>
    <w:p>
      <w:pPr>
        <w:pStyle w:val="ListParagraph"/>
        <w:numPr>
          <w:ilvl w:val="0"/>
          <w:numId w:val="2"/>
        </w:numPr>
        <w:spacing w:after="60"/>
      </w:pPr>
      <w:r>
        <w:rPr>
          <w:rFonts w:ascii="Arial" w:cs="Arial" w:eastAsia="Arial" w:hAnsi="Arial"/>
          <w:color w:val="161616"/>
          <w:sz w:val="22"/>
          <w:szCs w:val="22"/>
        </w:rPr>
        <w:t xml:space="preserve">Sonal Kirtikar, David Latinovic - Process owners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Who maintains the demo library? Is there a dedicated demo team or is it distributed?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demos/content assets exist in the current library?</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6"/>
        </w:numPr>
        <w:spacing w:after="60"/>
      </w:pPr>
      <w:r>
        <w:rPr>
          <w:rFonts w:ascii="Arial" w:cs="Arial" w:eastAsia="Arial" w:hAnsi="Arial"/>
          <w:b/>
          <w:bCs/>
          <w:color w:val="161616"/>
          <w:sz w:val="22"/>
          <w:szCs w:val="22"/>
        </w:rPr>
        <w:t xml:space="preserve">Step 1 - Agenda Content Requirements: </w:t>
      </w:r>
      <w:r>
        <w:rPr>
          <w:rFonts w:ascii="Arial" w:cs="Arial" w:eastAsia="Arial" w:hAnsi="Arial"/>
          <w:color w:val="161616"/>
          <w:sz w:val="22"/>
          <w:szCs w:val="22"/>
        </w:rPr>
        <w:t xml:space="preserve">The finalized agenda specifies which topics, demos, and assets are needed for each session. Performed by: Engagement leader. System: Agenda document. Handoff: Content requirements defined.</w:t>
      </w:r>
    </w:p>
    <w:p>
      <w:pPr>
        <w:pStyle w:val="ListParagraph"/>
        <w:numPr>
          <w:ilvl w:val="0"/>
          <w:numId w:val="6"/>
        </w:numPr>
        <w:spacing w:after="60"/>
      </w:pPr>
      <w:r>
        <w:rPr>
          <w:rFonts w:ascii="Arial" w:cs="Arial" w:eastAsia="Arial" w:hAnsi="Arial"/>
          <w:b/>
          <w:bCs/>
          <w:color w:val="161616"/>
          <w:sz w:val="22"/>
          <w:szCs w:val="22"/>
        </w:rPr>
        <w:t xml:space="preserve">Step 2 - Multi-System Content Search: </w:t>
      </w:r>
      <w:r>
        <w:rPr>
          <w:rFonts w:ascii="Arial" w:cs="Arial" w:eastAsia="Arial" w:hAnsi="Arial"/>
          <w:color w:val="161616"/>
          <w:sz w:val="22"/>
          <w:szCs w:val="22"/>
        </w:rPr>
        <w:t xml:space="preserve">Engagement leader searches across Seismic, Box, and other repositories for relevant demos, slides, case studies, and client journeys. Performed by: Engagement leader. Systems: Seismic, Box, manual search. Handoff: Content candidates identified.</w:t>
      </w:r>
    </w:p>
    <w:p>
      <w:pPr>
        <w:pStyle w:val="ListParagraph"/>
        <w:numPr>
          <w:ilvl w:val="0"/>
          <w:numId w:val="6"/>
        </w:numPr>
        <w:spacing w:after="60"/>
      </w:pPr>
      <w:r>
        <w:rPr>
          <w:rFonts w:ascii="Arial" w:cs="Arial" w:eastAsia="Arial" w:hAnsi="Arial"/>
          <w:b/>
          <w:bCs/>
          <w:color w:val="161616"/>
          <w:sz w:val="22"/>
          <w:szCs w:val="22"/>
        </w:rPr>
        <w:t xml:space="preserve">Step 3 - Currency &amp; Relevance Validation: </w:t>
      </w:r>
      <w:r>
        <w:rPr>
          <w:rFonts w:ascii="Arial" w:cs="Arial" w:eastAsia="Arial" w:hAnsi="Arial"/>
          <w:color w:val="161616"/>
          <w:sz w:val="22"/>
          <w:szCs w:val="22"/>
        </w:rPr>
        <w:t xml:space="preserve">Engagement leader evaluates whether found content is current, relevant, and aligned to the client's specific context. Performed by: Engagement leader. System: Manual review. Handoff: Valid content selected.</w:t>
      </w:r>
    </w:p>
    <w:p>
      <w:pPr>
        <w:pStyle w:val="ListParagraph"/>
        <w:numPr>
          <w:ilvl w:val="0"/>
          <w:numId w:val="6"/>
        </w:numPr>
        <w:spacing w:after="60"/>
      </w:pPr>
      <w:r>
        <w:rPr>
          <w:rFonts w:ascii="Arial" w:cs="Arial" w:eastAsia="Arial" w:hAnsi="Arial"/>
          <w:b/>
          <w:bCs/>
          <w:color w:val="161616"/>
          <w:sz w:val="22"/>
          <w:szCs w:val="22"/>
        </w:rPr>
        <w:t xml:space="preserve">Step 4 - Gap Identification: </w:t>
      </w:r>
      <w:r>
        <w:rPr>
          <w:rFonts w:ascii="Arial" w:cs="Arial" w:eastAsia="Arial" w:hAnsi="Arial"/>
          <w:color w:val="161616"/>
          <w:sz w:val="22"/>
          <w:szCs w:val="22"/>
        </w:rPr>
        <w:t xml:space="preserve">If required content doesn't exist or is outdated, the engagement leader either creates custom content or escalates to content creation teams. Performed by: Engagement leader / content team. System: Manual. Handoff: Gap flagged or custom content created.</w:t>
      </w:r>
    </w:p>
    <w:p>
      <w:pPr>
        <w:pStyle w:val="ListParagraph"/>
        <w:numPr>
          <w:ilvl w:val="0"/>
          <w:numId w:val="6"/>
        </w:numPr>
        <w:spacing w:after="60"/>
      </w:pPr>
      <w:r>
        <w:rPr>
          <w:rFonts w:ascii="Arial" w:cs="Arial" w:eastAsia="Arial" w:hAnsi="Arial"/>
          <w:b/>
          <w:bCs/>
          <w:color w:val="161616"/>
          <w:sz w:val="22"/>
          <w:szCs w:val="22"/>
        </w:rPr>
        <w:t xml:space="preserve">Step 5 - Content Assembly: </w:t>
      </w:r>
      <w:r>
        <w:rPr>
          <w:rFonts w:ascii="Arial" w:cs="Arial" w:eastAsia="Arial" w:hAnsi="Arial"/>
          <w:color w:val="161616"/>
          <w:sz w:val="22"/>
          <w:szCs w:val="22"/>
        </w:rPr>
        <w:t xml:space="preserve">Selected content is assembled into the agenda package for execution. Performed by: Engagement leader. System: Manual compilation. Handoff: Agenda package ready.</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process for requesting new content when gaps are identified? Is there a formal request mechanism?</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Seismic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repository for marketing assets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content source; API tested in POC</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 storage for demos and assets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tested in POC</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Blueprint Library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Contains asset references within proven agendas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Assets may be linked but not always current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Manual 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Engagement leader knowledge of where content lives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Highly dependent on individual experience</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Are there other content repositories beyond Seismic and Box? (e.g., SharePoint, internal wikis, demo platforms)</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AI discovers both existing assets that match agenda requirements and proactively warns when critical assets are missing or outdated, preventing last-minute gaps.</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AI generates demo scripts and narrative frameworks from client context, IBM solution capabilities, and session goals. Per the matrix: 'AI-generated demo scripts and narrative frameworks from client context.'</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AI flags content that is outdated, deprecated, or misaligned with current product capabilities.</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AI pulls content from multiple repositories (Seismic, Box) in a single query, eliminating manual multi-system search.</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Automated content mapping from agenda topics to available assets, with gap flagging.</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Demo &amp; Content Discovery Agent would ingest a draft agenda with topic/session specifications and: (1) query Seismic, Box, and other repositories to surface the most relevant, current content for each session; (2) flag missing or outdated assets before execution day; (3) generate demo narrative scripts tailored to the client's context and session goals; and (4) route gap alerts to content creation teams when new assets need to be built. Human-in-the-loop: engagement leaders review and select from surfaced options; content teams respond to gap alerts.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David described content and asset discovery as 'one of the most manual work' in the entire process. After hours of agenda creation, engagement leaders must then hunt across systems for supporting materials.</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Content is spread across Seismic, Box, and potentially other systems. No unified search.</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New content may exist that engagement leaders are unaware of. Outdated content surfaces alongside current materials. No automated currency validation.</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[NOT DISCUSSED specifically but implied: content libraries change frequently]</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[NOT DISCUSSED but implied: gap escalation to content teams]</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Content and asset discovery is the most labor-intensive step after agenda creation. David Latinovic described it as the area requiring the most manual work. The feasibility assessment notes that 'consistent asset tagging is the prerequisite; without it, AI discovery cannot reliably surface the right content.' This is both the biggest opportunity and the biggest dependency: Box and Seismic content discovery tools are commercially available, but the underlying tagging and metadata quality will determine whether AI can effectively surface the right assets.</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(4.3/5). Productivity: 5, Cycle Time: 5, Revenue/Engagement: 3, Risk Reduction: 4. Directly addresses one of the most manual steps in the 32,000-hour workflow.</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(3.7/5). Data Readiness: 4, Tool Maturity: 4, Change Readiness: 3. Box AI and Seismic content discovery tools are commercially available and deployable. However, consistent asset tagging is the prerequisite for AI to work effectively.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Engagement leaders who currently spend significant time on content search.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studio staff, content teams, demo producers, and potentially any IBM team that needs content discovery.</w:t>
            </w:r>
          </w:p>
        </w:tc>
      </w:tr>
    </w:tbl>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Content discovery is the bottleneck between agenda creation and execution readiness. Even after the team builds the Agenda Creation Agent, engagement leaders will still spend hours manually searching for demos, slides, and assets across disconnected systems unless content discovery is automated. The feasibility assessment identifies commercially available tools (Box AI, Seismic discovery) that could be deployed relatively quickly, but the underlying content tagging quality is the gating factor. This workflow should be developed in parallel with or immediately following the Agenda Creation Agent, as they are tightly coupled.</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Very high. Any MCC team that needs content discovery benefits from this. Same pattern as the Named Account Playbook Agent's content curation engine. The feasibility assessment explicitly notes: 'Box AI and content discovery tools are commercially available and deployable against existing asset libraries.'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Medium. Requires content team engagement for tagging/metadata improvement. CIO for API integrations.</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Seismic and Box API integrations (tested in POC, need formal build).</w:t>
      </w:r>
    </w:p>
    <w:p>
      <w:pPr>
        <w:pStyle w:val="ListParagraph"/>
        <w:numPr>
          <w:ilvl w:val="0"/>
          <w:numId w:val="2"/>
        </w:numPr>
        <w:spacing w:after="60"/>
      </w:pPr>
      <w:r>
        <w:rPr>
          <w:rFonts w:ascii="Arial" w:cs="Arial" w:eastAsia="Arial" w:hAnsi="Arial"/>
          <w:color w:val="161616"/>
          <w:sz w:val="22"/>
          <w:szCs w:val="22"/>
        </w:rPr>
        <w:t xml:space="preserve">Content tagging and metadata enrichment across repositories.</w:t>
      </w:r>
    </w:p>
    <w:p>
      <w:pPr>
        <w:pStyle w:val="ListParagraph"/>
        <w:numPr>
          <w:ilvl w:val="0"/>
          <w:numId w:val="2"/>
        </w:numPr>
        <w:spacing w:after="60"/>
      </w:pPr>
      <w:r>
        <w:rPr>
          <w:rFonts w:ascii="Arial" w:cs="Arial" w:eastAsia="Arial" w:hAnsi="Arial"/>
          <w:color w:val="161616"/>
          <w:sz w:val="22"/>
          <w:szCs w:val="22"/>
        </w:rPr>
        <w:t xml:space="preserve">Asset currency tracking (publication dates, deprecation flags).</w:t>
      </w:r>
    </w:p>
    <w:p>
      <w:pPr>
        <w:pStyle w:val="ListParagraph"/>
        <w:numPr>
          <w:ilvl w:val="0"/>
          <w:numId w:val="2"/>
        </w:numPr>
        <w:spacing w:after="60"/>
      </w:pPr>
      <w:r>
        <w:rPr>
          <w:rFonts w:ascii="Arial" w:cs="Arial" w:eastAsia="Arial" w:hAnsi="Arial"/>
          <w:color w:val="161616"/>
          <w:sz w:val="22"/>
          <w:szCs w:val="22"/>
        </w:rPr>
        <w:t xml:space="preserve">Gap detection logic: agenda requirements vs. available assets.</w:t>
      </w:r>
    </w:p>
    <w:p>
      <w:pPr>
        <w:pStyle w:val="ListParagraph"/>
        <w:numPr>
          <w:ilvl w:val="0"/>
          <w:numId w:val="2"/>
        </w:numPr>
        <w:spacing w:after="60"/>
      </w:pPr>
      <w:r>
        <w:rPr>
          <w:rFonts w:ascii="Arial" w:cs="Arial" w:eastAsia="Arial" w:hAnsi="Arial"/>
          <w:color w:val="161616"/>
          <w:sz w:val="22"/>
          <w:szCs w:val="22"/>
        </w:rPr>
        <w:t xml:space="preserve">Demo script generation capability.</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Content tagging quality audit across Seismic and Box.</w:t>
      </w:r>
    </w:p>
    <w:p>
      <w:pPr>
        <w:pStyle w:val="ListParagraph"/>
        <w:numPr>
          <w:ilvl w:val="0"/>
          <w:numId w:val="2"/>
        </w:numPr>
        <w:spacing w:after="60"/>
      </w:pPr>
      <w:r>
        <w:rPr>
          <w:rFonts w:ascii="Arial" w:cs="Arial" w:eastAsia="Arial" w:hAnsi="Arial"/>
          <w:color w:val="161616"/>
          <w:sz w:val="22"/>
          <w:szCs w:val="22"/>
        </w:rPr>
        <w:t xml:space="preserve">Assess commercially available content discovery tools vs. custom build.</w:t>
      </w:r>
    </w:p>
    <w:p>
      <w:pPr>
        <w:pStyle w:val="ListParagraph"/>
        <w:numPr>
          <w:ilvl w:val="0"/>
          <w:numId w:val="2"/>
        </w:numPr>
        <w:spacing w:after="60"/>
      </w:pPr>
      <w:r>
        <w:rPr>
          <w:rFonts w:ascii="Arial" w:cs="Arial" w:eastAsia="Arial" w:hAnsi="Arial"/>
          <w:color w:val="161616"/>
          <w:sz w:val="22"/>
          <w:szCs w:val="22"/>
        </w:rPr>
        <w:t xml:space="preserve">Review demo library structure and maintenance processes.</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Content tagging quality: 'Consistent asset tagging is the prerequisite; without it, AI discovery cannot reliably surface the right content.' This is the primary blocker.</w:t>
      </w:r>
    </w:p>
    <w:p>
      <w:pPr>
        <w:pStyle w:val="ListParagraph"/>
        <w:numPr>
          <w:ilvl w:val="0"/>
          <w:numId w:val="2"/>
        </w:numPr>
        <w:spacing w:after="60"/>
      </w:pPr>
      <w:r>
        <w:rPr>
          <w:rFonts w:ascii="Arial" w:cs="Arial" w:eastAsia="Arial" w:hAnsi="Arial"/>
          <w:color w:val="161616"/>
          <w:sz w:val="22"/>
          <w:szCs w:val="22"/>
        </w:rPr>
        <w:t xml:space="preserve">Seismic/Box API access: Tested in POC but not formally built.</w:t>
      </w:r>
    </w:p>
    <w:p>
      <w:pPr>
        <w:pStyle w:val="ListParagraph"/>
        <w:numPr>
          <w:ilvl w:val="0"/>
          <w:numId w:val="2"/>
        </w:numPr>
        <w:spacing w:after="60"/>
      </w:pPr>
      <w:r>
        <w:rPr>
          <w:rFonts w:ascii="Arial" w:cs="Arial" w:eastAsia="Arial" w:hAnsi="Arial"/>
          <w:color w:val="161616"/>
          <w:sz w:val="22"/>
          <w:szCs w:val="22"/>
        </w:rPr>
        <w:t xml:space="preserve">Content maintenance processes: Who is responsible for keeping assets current and tagged?</w:t>
      </w:r>
    </w:p>
    <w:p>
      <w:pPr>
        <w:pStyle w:val="ListParagraph"/>
        <w:numPr>
          <w:ilvl w:val="0"/>
          <w:numId w:val="2"/>
        </w:numPr>
        <w:spacing w:after="60"/>
      </w:pPr>
      <w:r>
        <w:rPr>
          <w:rFonts w:ascii="Arial" w:cs="Arial" w:eastAsia="Arial" w:hAnsi="Arial"/>
          <w:color w:val="161616"/>
          <w:sz w:val="22"/>
          <w:szCs w:val="22"/>
        </w:rPr>
        <w:t xml:space="preserve">Tightly coupled to Workflow 2: Content discovery cannot function without a structured agenda to match against.</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What is the current state of content tagging across Seismic and Box?</w:t>
      </w:r>
    </w:p>
    <w:p>
      <w:pPr>
        <w:pStyle w:val="ListParagraph"/>
        <w:numPr>
          <w:ilvl w:val="0"/>
          <w:numId w:val="2"/>
        </w:numPr>
        <w:spacing w:after="60"/>
      </w:pPr>
      <w:r>
        <w:rPr>
          <w:rFonts w:ascii="Arial" w:cs="Arial" w:eastAsia="Arial" w:hAnsi="Arial"/>
          <w:color w:val="161616"/>
          <w:sz w:val="22"/>
          <w:szCs w:val="22"/>
        </w:rPr>
        <w:t xml:space="preserve">Is there a content governance team responsible for asset currency and tagging?</w:t>
      </w:r>
    </w:p>
    <w:p>
      <w:pPr>
        <w:pStyle w:val="ListParagraph"/>
        <w:numPr>
          <w:ilvl w:val="0"/>
          <w:numId w:val="2"/>
        </w:numPr>
        <w:spacing w:after="60"/>
      </w:pPr>
      <w:r>
        <w:rPr>
          <w:rFonts w:ascii="Arial" w:cs="Arial" w:eastAsia="Arial" w:hAnsi="Arial"/>
          <w:color w:val="161616"/>
          <w:sz w:val="22"/>
          <w:szCs w:val="22"/>
        </w:rPr>
        <w:t xml:space="preserve">Can Box AI's built-in content discovery capabilities serve as a starting point, or do we need a custom solution?</w:t>
      </w:r>
    </w:p>
    <w:p>
      <w:pPr>
        <w:pStyle w:val="ListParagraph"/>
        <w:numPr>
          <w:ilvl w:val="0"/>
          <w:numId w:val="2"/>
        </w:numPr>
        <w:spacing w:after="60"/>
      </w:pPr>
      <w:r>
        <w:rPr>
          <w:rFonts w:ascii="Arial" w:cs="Arial" w:eastAsia="Arial" w:hAnsi="Arial"/>
          <w:color w:val="161616"/>
          <w:sz w:val="22"/>
          <w:szCs w:val="22"/>
        </w:rPr>
        <w:t xml:space="preserve">How do we handle demo environments? Are demos live, recorded, or scripted?</w:t>
      </w:r>
    </w:p>
    <w:p>
      <w:r>
        <w:br w:type="page"/>
      </w:r>
    </w:p>
    <w:p>
      <w:pPr>
        <w:pStyle w:val="Heading1"/>
        <w:spacing w:before="360" w:after="200"/>
      </w:pPr>
      <w:r>
        <w:rPr>
          <w:rFonts w:ascii="Arial" w:cs="Arial" w:eastAsia="Arial" w:hAnsi="Arial"/>
          <w:b/>
          <w:bCs/>
          <w:color w:val="0F62FE"/>
          <w:sz w:val="36"/>
          <w:szCs w:val="36"/>
        </w:rPr>
        <w:t xml:space="preserve">WORKFLOW 4: CTEBA Approval &amp; Registration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Innovation Studio CTEBA Approval &amp; Registration Compliance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automates the compliance validation, CTEBA (Client Technical Education and Briefing Activity) approval, and BRS registration process for Innovation Studio engagements, enforcing process adherence at every touchpoint and creating the audit trail needed for compliance reporting. It serves engagement leaders, compliance teams, and studio administrators.</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Compliance adherence and operational efficiency. Rated 4.3/5 business impact (Productivity: 4, Cycle Time: 4, Revenue/Engagement: 5, Risk Reduction: 3). CTEBA approval and BRS registration are mandatory governance steps that are currently manual, creating back-and-forth between engagement leaders and approvers. Automation would enforce eligibility rules, route to approvers with full context, and reduce the administrative burden on engagement leaders who should be focusing on client experience delivery.</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An engagement is scheduled and needs CTEBA approval and BRS registration before execution.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A previously approved engagement changes scope, attendees, or timing, requiring re-validation.</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Engagement leaders - Registration submitters</w:t>
      </w:r>
    </w:p>
    <w:p>
      <w:pPr>
        <w:pStyle w:val="ListParagraph"/>
        <w:numPr>
          <w:ilvl w:val="0"/>
          <w:numId w:val="2"/>
        </w:numPr>
        <w:spacing w:after="60"/>
      </w:pPr>
      <w:r>
        <w:rPr>
          <w:rFonts w:ascii="Arial" w:cs="Arial" w:eastAsia="Arial" w:hAnsi="Arial"/>
          <w:color w:val="161616"/>
          <w:sz w:val="22"/>
          <w:szCs w:val="22"/>
        </w:rPr>
        <w:t xml:space="preserve">Compliance/governance team - Approvers</w:t>
      </w:r>
    </w:p>
    <w:p>
      <w:pPr>
        <w:pStyle w:val="ListParagraph"/>
        <w:numPr>
          <w:ilvl w:val="0"/>
          <w:numId w:val="2"/>
        </w:numPr>
        <w:spacing w:after="60"/>
      </w:pPr>
      <w:r>
        <w:rPr>
          <w:rFonts w:ascii="Arial" w:cs="Arial" w:eastAsia="Arial" w:hAnsi="Arial"/>
          <w:color w:val="161616"/>
          <w:sz w:val="22"/>
          <w:szCs w:val="22"/>
        </w:rPr>
        <w:t xml:space="preserve">Studio administrators - Administrative processing</w:t>
      </w:r>
    </w:p>
    <w:p>
      <w:pPr>
        <w:pStyle w:val="ListParagraph"/>
        <w:numPr>
          <w:ilvl w:val="0"/>
          <w:numId w:val="2"/>
        </w:numPr>
        <w:spacing w:after="60"/>
      </w:pPr>
      <w:r>
        <w:rPr>
          <w:rFonts w:ascii="Arial" w:cs="Arial" w:eastAsia="Arial" w:hAnsi="Arial"/>
          <w:color w:val="161616"/>
          <w:sz w:val="22"/>
          <w:szCs w:val="22"/>
        </w:rPr>
        <w:t xml:space="preserve">David Latinovic - Process owner</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Who are the CTEBA approvers? Is it a centralized team or distributed by geography?</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average approval cycle time today? How often are submissions rejected or sent back?</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7"/>
        </w:numPr>
        <w:spacing w:after="60"/>
      </w:pPr>
      <w:r>
        <w:rPr>
          <w:rFonts w:ascii="Arial" w:cs="Arial" w:eastAsia="Arial" w:hAnsi="Arial"/>
          <w:b/>
          <w:bCs/>
          <w:color w:val="161616"/>
          <w:sz w:val="22"/>
          <w:szCs w:val="22"/>
        </w:rPr>
        <w:t xml:space="preserve">Step 1 - Engagement Data Assembly: </w:t>
      </w:r>
      <w:r>
        <w:rPr>
          <w:rFonts w:ascii="Arial" w:cs="Arial" w:eastAsia="Arial" w:hAnsi="Arial"/>
          <w:color w:val="161616"/>
          <w:sz w:val="22"/>
          <w:szCs w:val="22"/>
        </w:rPr>
        <w:t xml:space="preserve">Engagement leader compiles all required data for CTEBA submission: client details, attendees, agenda, objectives, compliance flags. Performed by: Engagement leader. System: Manual data gathering. Handoff: Submission data ready.</w:t>
      </w:r>
    </w:p>
    <w:p>
      <w:pPr>
        <w:pStyle w:val="ListParagraph"/>
        <w:numPr>
          <w:ilvl w:val="0"/>
          <w:numId w:val="7"/>
        </w:numPr>
        <w:spacing w:after="60"/>
      </w:pPr>
      <w:r>
        <w:rPr>
          <w:rFonts w:ascii="Arial" w:cs="Arial" w:eastAsia="Arial" w:hAnsi="Arial"/>
          <w:b/>
          <w:bCs/>
          <w:color w:val="161616"/>
          <w:sz w:val="22"/>
          <w:szCs w:val="22"/>
        </w:rPr>
        <w:t xml:space="preserve">Step 2 - Eligibility Pre-Check: </w:t>
      </w:r>
      <w:r>
        <w:rPr>
          <w:rFonts w:ascii="Arial" w:cs="Arial" w:eastAsia="Arial" w:hAnsi="Arial"/>
          <w:color w:val="161616"/>
          <w:sz w:val="22"/>
          <w:szCs w:val="22"/>
        </w:rPr>
        <w:t xml:space="preserve">Currently manual: engagement leader checks whether the engagement meets CTEBA eligibility requirements. Future state: AI pre-validates against rules. Performed by: Engagement leader (today) / AI (future). System: BRS / Virtual Portal. Handoff: Eligible or flagged.</w:t>
      </w:r>
    </w:p>
    <w:p>
      <w:pPr>
        <w:pStyle w:val="ListParagraph"/>
        <w:numPr>
          <w:ilvl w:val="0"/>
          <w:numId w:val="7"/>
        </w:numPr>
        <w:spacing w:after="60"/>
      </w:pPr>
      <w:r>
        <w:rPr>
          <w:rFonts w:ascii="Arial" w:cs="Arial" w:eastAsia="Arial" w:hAnsi="Arial"/>
          <w:b/>
          <w:bCs/>
          <w:color w:val="161616"/>
          <w:sz w:val="22"/>
          <w:szCs w:val="22"/>
        </w:rPr>
        <w:t xml:space="preserve">Step 3 - Submission to Approvers: </w:t>
      </w:r>
      <w:r>
        <w:rPr>
          <w:rFonts w:ascii="Arial" w:cs="Arial" w:eastAsia="Arial" w:hAnsi="Arial"/>
          <w:color w:val="161616"/>
          <w:sz w:val="22"/>
          <w:szCs w:val="22"/>
        </w:rPr>
        <w:t xml:space="preserve">CTEBA request is submitted with supporting context. Currently may lack full context, causing back-and-forth. Performed by: Engagement leader. System: BRS. Handoff: Request in approval queue.</w:t>
      </w:r>
    </w:p>
    <w:p>
      <w:pPr>
        <w:pStyle w:val="ListParagraph"/>
        <w:numPr>
          <w:ilvl w:val="0"/>
          <w:numId w:val="7"/>
        </w:numPr>
        <w:spacing w:after="60"/>
      </w:pPr>
      <w:r>
        <w:rPr>
          <w:rFonts w:ascii="Arial" w:cs="Arial" w:eastAsia="Arial" w:hAnsi="Arial"/>
          <w:b/>
          <w:bCs/>
          <w:color w:val="161616"/>
          <w:sz w:val="22"/>
          <w:szCs w:val="22"/>
        </w:rPr>
        <w:t xml:space="preserve">Step 4 - Approval Review: </w:t>
      </w:r>
      <w:r>
        <w:rPr>
          <w:rFonts w:ascii="Arial" w:cs="Arial" w:eastAsia="Arial" w:hAnsi="Arial"/>
          <w:color w:val="161616"/>
          <w:sz w:val="22"/>
          <w:szCs w:val="22"/>
        </w:rPr>
        <w:t xml:space="preserve">Approver reviews submission for compliance, completeness, and appropriateness. Performed by: Compliance team. System: BRS / email. Handoff: Approved, rejected, or returned for revision.</w:t>
      </w:r>
    </w:p>
    <w:p>
      <w:pPr>
        <w:pStyle w:val="ListParagraph"/>
        <w:numPr>
          <w:ilvl w:val="0"/>
          <w:numId w:val="7"/>
        </w:numPr>
        <w:spacing w:after="60"/>
      </w:pPr>
      <w:r>
        <w:rPr>
          <w:rFonts w:ascii="Arial" w:cs="Arial" w:eastAsia="Arial" w:hAnsi="Arial"/>
          <w:b/>
          <w:bCs/>
          <w:color w:val="161616"/>
          <w:sz w:val="22"/>
          <w:szCs w:val="22"/>
        </w:rPr>
        <w:t xml:space="preserve">Step 5 - BRS Registration: </w:t>
      </w:r>
      <w:r>
        <w:rPr>
          <w:rFonts w:ascii="Arial" w:cs="Arial" w:eastAsia="Arial" w:hAnsi="Arial"/>
          <w:color w:val="161616"/>
          <w:sz w:val="22"/>
          <w:szCs w:val="22"/>
        </w:rPr>
        <w:t xml:space="preserve">Once approved, the engagement is formally registered in BRS with all tracking data. Performed by: Engagement leader / admin. System: BRS. Handoff: Engagement registered and trackable.</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are the specific CTEBA eligibility rules? Are they documented and structured enough for AI to check?</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BRS (Briefing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Registration, tracking, and compliance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CTEBA approval rules and data are structured per feasibility assessment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Virtual Portal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Client-facing registration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Multi-system integration with BRS adds technical complexity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 and contact data for compliance checks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Integration with BRS and CRM noted as complex</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Email/Manual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Back-and-forth for approval queries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source of approval delays</w:t>
            </w:r>
          </w:p>
        </w:tc>
      </w:tr>
    </w:tbl>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Core function: AI pre-validates CTEBA submissions against eligibility rules before routing to approvers, catching issues before they enter the approval queue and eliminating back-and-forth.</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AI routes submissions to the correct approver with full context attached, reducing approval cycle time.</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AI enforces process adherence at every touchpoint and creates the audit trail needed for compliance reporting.</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AI flags submissions that deviate from standard patterns or contain inconsistencies that might cause compliance issues.</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CTEBA Approval &amp; Registration Agent would intercept engagement submissions, pre-validate them against structured CTEBA eligibility rules, attach full context (client data, agenda, attendees, compliance flags) from BRS and CRM, and route to the appropriate approver with a confidence score. Incomplete or non-compliant submissions would be flagged and returned to the engagement leader with specific guidance on what needs to be fixed, eliminating the current back-and-forth cycle. Upon approval, the agent would automatically complete BRS registration and generate the compliance audit trail. Human-in-the-loop: approvers make final approval decisions; engagement leaders resolve flagged issues.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The primary friction: CTEBA submissions often lack full context, causing approvers to send them back for additional information. The back-and-forth delays the entire engagement timeline.</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Engagement leaders must manually compile all required data across systems for the CTEBA submission.</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Approvers process submissions in queue order; no pre-validation or prioritization exists.</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Multi-system integration across BRS, Virtual Portal, and CRM adds technical complexity per the feasibility assessment.</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[NOT DISCUSSED specifically but implied: coordination between engagement leaders and compliance team]</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back-and-forth between engagement leaders and CTEBA approvers. Submissions often lack complete context, causing rejections or requests for additional information that delay the engagement timeline. The feasibility assessment identifies that 'CTEBA approval rules and BRS/Virtual Portal data are structured' and 'approval routing automation is commercially mature,' making this a technically feasible automation. However, 'multi-system integration across BRS, Virtual Portal, and CRM adds technical complexity, and seller behavior change is the most significant adoption barrier, requiring both tooling and governance reinforcement.'</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(4.3/5). Productivity: 4, Cycle Time: 4, Revenue/Engagement: 5, Risk Reduction: 3. Directly removes approval bottleneck from the critical path to engagement execution. Revenue/Engagement score is highest of all workflows because compliance delays directly impact whether engagements happen on time.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(4.0/5). Data Readiness: 4, Tool Maturity: 4, Change Readiness: 4. CTEBA rules are structured and documented. Approval routing automation is commercially mature. Highest feasibility score of all five workflows. Change Readiness is highest because this benefits both engagement leaders and approvers.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Engagement leaders (registration submitters) and compliance/governance team (approvers).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studio staff who must register engagements, and any downstream teams affected by approval delays.</w:t>
            </w:r>
          </w:p>
        </w:tc>
      </w:tr>
    </w:tbl>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CTEBA approval and registration is on the critical path for every one of the 10,000+ annual engagements. Every approval delay compresses the preparation timeline for engagement leaders who are already operating at capacity. The feasibility assessment gives this workflow the highest feasibility score (4.0/5) of all five workflows, meaning it can be implemented relatively quickly. While business impact is comparable to the Agenda Creation Agent, the combination of high impact and high feasibility makes this an attractive quick win that could be delivered in parallel with the more complex agenda generation solution.</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Medium reusability. The compliance routing pattern applies to any MCC workflow with governance approval requirements, though the specific CTEBA rules are Innovation Studio-specific. The general pattern of AI pre-validation against structured rules + context-attached routing could be adapted for other compliance workflows across MCC.</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Medium-High. Requires governance/compliance team buy-in for AI-assisted pre-validation. Seller behavior change is the most significant adoption barrier per the feasibility assessment.</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CTEBA rule engine: Structured eligibility rules accessible to AI for pre-validation.</w:t>
      </w:r>
    </w:p>
    <w:p>
      <w:pPr>
        <w:pStyle w:val="ListParagraph"/>
        <w:numPr>
          <w:ilvl w:val="0"/>
          <w:numId w:val="2"/>
        </w:numPr>
        <w:spacing w:after="60"/>
      </w:pPr>
      <w:r>
        <w:rPr>
          <w:rFonts w:ascii="Arial" w:cs="Arial" w:eastAsia="Arial" w:hAnsi="Arial"/>
          <w:color w:val="161616"/>
          <w:sz w:val="22"/>
          <w:szCs w:val="22"/>
        </w:rPr>
        <w:t xml:space="preserve">BRS-CRM integration for automated context attachment to submissions.</w:t>
      </w:r>
    </w:p>
    <w:p>
      <w:pPr>
        <w:pStyle w:val="ListParagraph"/>
        <w:numPr>
          <w:ilvl w:val="0"/>
          <w:numId w:val="2"/>
        </w:numPr>
        <w:spacing w:after="60"/>
      </w:pPr>
      <w:r>
        <w:rPr>
          <w:rFonts w:ascii="Arial" w:cs="Arial" w:eastAsia="Arial" w:hAnsi="Arial"/>
          <w:color w:val="161616"/>
          <w:sz w:val="22"/>
          <w:szCs w:val="22"/>
        </w:rPr>
        <w:t xml:space="preserve">Approval routing automation with priority scoring.</w:t>
      </w:r>
    </w:p>
    <w:p>
      <w:pPr>
        <w:pStyle w:val="ListParagraph"/>
        <w:numPr>
          <w:ilvl w:val="0"/>
          <w:numId w:val="2"/>
        </w:numPr>
        <w:spacing w:after="60"/>
      </w:pPr>
      <w:r>
        <w:rPr>
          <w:rFonts w:ascii="Arial" w:cs="Arial" w:eastAsia="Arial" w:hAnsi="Arial"/>
          <w:color w:val="161616"/>
          <w:sz w:val="22"/>
          <w:szCs w:val="22"/>
        </w:rPr>
        <w:t xml:space="preserve">Audit trail generation for compliance reporting.</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Detailed CTEBA eligibility rules documentation review.</w:t>
      </w:r>
    </w:p>
    <w:p>
      <w:pPr>
        <w:pStyle w:val="ListParagraph"/>
        <w:numPr>
          <w:ilvl w:val="0"/>
          <w:numId w:val="2"/>
        </w:numPr>
        <w:spacing w:after="60"/>
      </w:pPr>
      <w:r>
        <w:rPr>
          <w:rFonts w:ascii="Arial" w:cs="Arial" w:eastAsia="Arial" w:hAnsi="Arial"/>
          <w:color w:val="161616"/>
          <w:sz w:val="22"/>
          <w:szCs w:val="22"/>
        </w:rPr>
        <w:t xml:space="preserve">Approval cycle time baseline measurement.</w:t>
      </w:r>
    </w:p>
    <w:p>
      <w:pPr>
        <w:pStyle w:val="ListParagraph"/>
        <w:numPr>
          <w:ilvl w:val="0"/>
          <w:numId w:val="2"/>
        </w:numPr>
        <w:spacing w:after="60"/>
      </w:pPr>
      <w:r>
        <w:rPr>
          <w:rFonts w:ascii="Arial" w:cs="Arial" w:eastAsia="Arial" w:hAnsi="Arial"/>
          <w:color w:val="161616"/>
          <w:sz w:val="22"/>
          <w:szCs w:val="22"/>
        </w:rPr>
        <w:t xml:space="preserve">Rejection/return rate analysis to quantify the back-and-forth problem.</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Multi-system integration: BRS, Virtual Portal, and CRM must be connected. This is the primary technical complexity.</w:t>
      </w:r>
    </w:p>
    <w:p>
      <w:pPr>
        <w:pStyle w:val="ListParagraph"/>
        <w:numPr>
          <w:ilvl w:val="0"/>
          <w:numId w:val="2"/>
        </w:numPr>
        <w:spacing w:after="60"/>
      </w:pPr>
      <w:r>
        <w:rPr>
          <w:rFonts w:ascii="Arial" w:cs="Arial" w:eastAsia="Arial" w:hAnsi="Arial"/>
          <w:color w:val="161616"/>
          <w:sz w:val="22"/>
          <w:szCs w:val="22"/>
        </w:rPr>
        <w:t xml:space="preserve">Seller behavior change: Must enforce complete submissions, which requires both tooling and governance reinforcement.</w:t>
      </w:r>
    </w:p>
    <w:p>
      <w:pPr>
        <w:pStyle w:val="ListParagraph"/>
        <w:numPr>
          <w:ilvl w:val="0"/>
          <w:numId w:val="2"/>
        </w:numPr>
        <w:spacing w:after="60"/>
      </w:pPr>
      <w:r>
        <w:rPr>
          <w:rFonts w:ascii="Arial" w:cs="Arial" w:eastAsia="Arial" w:hAnsi="Arial"/>
          <w:color w:val="161616"/>
          <w:sz w:val="22"/>
          <w:szCs w:val="22"/>
        </w:rPr>
        <w:t xml:space="preserve">Governance team adoption: Approvers must trust AI pre-validation enough to adjust their review process.</w:t>
      </w:r>
    </w:p>
    <w:p>
      <w:pPr>
        <w:pStyle w:val="ListParagraph"/>
        <w:numPr>
          <w:ilvl w:val="0"/>
          <w:numId w:val="2"/>
        </w:numPr>
        <w:spacing w:after="60"/>
      </w:pPr>
      <w:r>
        <w:rPr>
          <w:rFonts w:ascii="Arial" w:cs="Arial" w:eastAsia="Arial" w:hAnsi="Arial"/>
          <w:color w:val="161616"/>
          <w:sz w:val="22"/>
          <w:szCs w:val="22"/>
        </w:rPr>
        <w:t xml:space="preserve">Rule maintenance: CTEBA rules must be kept current as policies evolve.</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What percentage of CTEBA submissions are returned for additional information today?</w:t>
      </w:r>
    </w:p>
    <w:p>
      <w:pPr>
        <w:pStyle w:val="ListParagraph"/>
        <w:numPr>
          <w:ilvl w:val="0"/>
          <w:numId w:val="2"/>
        </w:numPr>
        <w:spacing w:after="60"/>
      </w:pPr>
      <w:r>
        <w:rPr>
          <w:rFonts w:ascii="Arial" w:cs="Arial" w:eastAsia="Arial" w:hAnsi="Arial"/>
          <w:color w:val="161616"/>
          <w:sz w:val="22"/>
          <w:szCs w:val="22"/>
        </w:rPr>
        <w:t xml:space="preserve">Can CTEBA rules be extracted into a structured format for AI consumption?</w:t>
      </w:r>
    </w:p>
    <w:p>
      <w:pPr>
        <w:pStyle w:val="ListParagraph"/>
        <w:numPr>
          <w:ilvl w:val="0"/>
          <w:numId w:val="2"/>
        </w:numPr>
        <w:spacing w:after="60"/>
      </w:pPr>
      <w:r>
        <w:rPr>
          <w:rFonts w:ascii="Arial" w:cs="Arial" w:eastAsia="Arial" w:hAnsi="Arial"/>
          <w:color w:val="161616"/>
          <w:sz w:val="22"/>
          <w:szCs w:val="22"/>
        </w:rPr>
        <w:t xml:space="preserve">How do we handle edge cases where AI pre-validation flags a submission incorrectly?</w:t>
      </w:r>
    </w:p>
    <w:p>
      <w:pPr>
        <w:pStyle w:val="ListParagraph"/>
        <w:numPr>
          <w:ilvl w:val="0"/>
          <w:numId w:val="2"/>
        </w:numPr>
        <w:spacing w:after="60"/>
      </w:pPr>
      <w:r>
        <w:rPr>
          <w:rFonts w:ascii="Arial" w:cs="Arial" w:eastAsia="Arial" w:hAnsi="Arial"/>
          <w:color w:val="161616"/>
          <w:sz w:val="22"/>
          <w:szCs w:val="22"/>
        </w:rPr>
        <w:t xml:space="preserve">Is there an opportunity to combine CTEBA approval with the intake validation from Workflow 1?</w:t>
      </w:r>
    </w:p>
    <w:p>
      <w:r>
        <w:br w:type="page"/>
      </w:r>
    </w:p>
    <w:p>
      <w:pPr>
        <w:pStyle w:val="Heading1"/>
        <w:spacing w:before="360" w:after="200"/>
      </w:pPr>
      <w:r>
        <w:rPr>
          <w:rFonts w:ascii="Arial" w:cs="Arial" w:eastAsia="Arial" w:hAnsi="Arial"/>
          <w:b/>
          <w:bCs/>
          <w:color w:val="0F62FE"/>
          <w:sz w:val="36"/>
          <w:szCs w:val="36"/>
        </w:rPr>
        <w:t xml:space="preserve">WORKFLOW 5: Feedback, Follow-Up &amp; Reconciliation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Innovation Studio Feedback, Follow-Up &amp; Pipeline Reconciliation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transforms the post-engagement follow-up from a manual, delayed process into a real-time pipeline attribution and feedback synthesis capability, automatically collecting client feedback (including NPS), synthesizing conversation themes, generating seller-specific follow-up actions, and reconciling engagement outcomes with CRM pipeline data. It serves engagement leaders, sellers, account teams, and studio leadership.</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Revenue progression and operational efficiency. Rated 4.3/5 business impact (Productivity: 5, Cycle Time: 5, Revenue/Engagement: 4, Risk Reduction: 3). Innovation Studios touch $12 billion and progress $5 billion of pipeline annually with a 42% yield rate. Today, post-engagement follow-up is primarily seller-driven and inconsistent. Sonal described wanting to capture client conversations in real time and generate follow-up road maps. The ability to attribute studio engagements to pipeline progression and closed revenue would demonstrate and amplify the studio's strategic value.</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An Innovation Studio engagement has been delivered and needs follow-up, feedback collection, and pipeline reconciliation.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Periodic reconciliation of all studio engagements against CRM pipeline data to measure and report attribution.</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Engagement leaders - Post-engagement coordination</w:t>
      </w:r>
    </w:p>
    <w:p>
      <w:pPr>
        <w:pStyle w:val="ListParagraph"/>
        <w:numPr>
          <w:ilvl w:val="0"/>
          <w:numId w:val="2"/>
        </w:numPr>
        <w:spacing w:after="60"/>
      </w:pPr>
      <w:r>
        <w:rPr>
          <w:rFonts w:ascii="Arial" w:cs="Arial" w:eastAsia="Arial" w:hAnsi="Arial"/>
          <w:color w:val="161616"/>
          <w:sz w:val="22"/>
          <w:szCs w:val="22"/>
        </w:rPr>
        <w:t xml:space="preserve">Sellers and account teams - Follow-up execution and pipeline owners</w:t>
      </w:r>
    </w:p>
    <w:p>
      <w:pPr>
        <w:pStyle w:val="ListParagraph"/>
        <w:numPr>
          <w:ilvl w:val="0"/>
          <w:numId w:val="2"/>
        </w:numPr>
        <w:spacing w:after="60"/>
      </w:pPr>
      <w:r>
        <w:rPr>
          <w:rFonts w:ascii="Arial" w:cs="Arial" w:eastAsia="Arial" w:hAnsi="Arial"/>
          <w:color w:val="161616"/>
          <w:sz w:val="22"/>
          <w:szCs w:val="22"/>
        </w:rPr>
        <w:t xml:space="preserve">SMEs - Follow-up on newly identified opportunities</w:t>
      </w:r>
    </w:p>
    <w:p>
      <w:pPr>
        <w:pStyle w:val="ListParagraph"/>
        <w:numPr>
          <w:ilvl w:val="0"/>
          <w:numId w:val="2"/>
        </w:numPr>
        <w:spacing w:after="60"/>
      </w:pPr>
      <w:r>
        <w:rPr>
          <w:rFonts w:ascii="Arial" w:cs="Arial" w:eastAsia="Arial" w:hAnsi="Arial"/>
          <w:color w:val="161616"/>
          <w:sz w:val="22"/>
          <w:szCs w:val="22"/>
        </w:rPr>
        <w:t xml:space="preserve">Studio leadership (Nigel, Sonal) - Attribution reporting and program optimization</w:t>
      </w:r>
    </w:p>
    <w:p>
      <w:pPr>
        <w:pStyle w:val="ListParagraph"/>
        <w:numPr>
          <w:ilvl w:val="0"/>
          <w:numId w:val="2"/>
        </w:numPr>
        <w:spacing w:after="60"/>
      </w:pPr>
      <w:r>
        <w:rPr>
          <w:rFonts w:ascii="Arial" w:cs="Arial" w:eastAsia="Arial" w:hAnsi="Arial"/>
          <w:color w:val="161616"/>
          <w:sz w:val="22"/>
          <w:szCs w:val="22"/>
        </w:rPr>
        <w:t xml:space="preserve">Named Account marketing leadership - KPI alignment</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is feedback currently collected? Surveys, manual notes, verbal debriefs?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CRM system is used for pipeline data? How is studio attribution tracked today?</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8"/>
        </w:numPr>
        <w:spacing w:after="60"/>
      </w:pPr>
      <w:r>
        <w:rPr>
          <w:rFonts w:ascii="Arial" w:cs="Arial" w:eastAsia="Arial" w:hAnsi="Arial"/>
          <w:b/>
          <w:bCs/>
          <w:color w:val="161616"/>
          <w:sz w:val="22"/>
          <w:szCs w:val="22"/>
        </w:rPr>
        <w:t xml:space="preserve">Step 1 - Engagement Delivery: </w:t>
      </w:r>
      <w:r>
        <w:rPr>
          <w:rFonts w:ascii="Arial" w:cs="Arial" w:eastAsia="Arial" w:hAnsi="Arial"/>
          <w:color w:val="161616"/>
          <w:sz w:val="22"/>
          <w:szCs w:val="22"/>
        </w:rPr>
        <w:t xml:space="preserve">The Innovation Studio engagement is executed (fixed scope; not subject to AI optimization per Nigel). Performed by: Engagement leaders, SMEs, client attendees. System: In-person. Handoff: Engagement concluded.</w:t>
      </w:r>
    </w:p>
    <w:p>
      <w:pPr>
        <w:pStyle w:val="ListParagraph"/>
        <w:numPr>
          <w:ilvl w:val="0"/>
          <w:numId w:val="8"/>
        </w:numPr>
        <w:spacing w:after="60"/>
      </w:pPr>
      <w:r>
        <w:rPr>
          <w:rFonts w:ascii="Arial" w:cs="Arial" w:eastAsia="Arial" w:hAnsi="Arial"/>
          <w:b/>
          <w:bCs/>
          <w:color w:val="161616"/>
          <w:sz w:val="22"/>
          <w:szCs w:val="22"/>
        </w:rPr>
        <w:t xml:space="preserve">Step 2 - Feedback Collection: </w:t>
      </w:r>
      <w:r>
        <w:rPr>
          <w:rFonts w:ascii="Arial" w:cs="Arial" w:eastAsia="Arial" w:hAnsi="Arial"/>
          <w:color w:val="161616"/>
          <w:sz w:val="22"/>
          <w:szCs w:val="22"/>
        </w:rPr>
        <w:t xml:space="preserve">Client and internal feedback is collected. Currently manual and inconsistent. Future: AI-assisted collection potentially including voice-to-text capture. Performed by: Engagement leader / survey. System: Manual / survey tools. Handoff: Raw feedback gathered.</w:t>
      </w:r>
    </w:p>
    <w:p>
      <w:pPr>
        <w:pStyle w:val="ListParagraph"/>
        <w:numPr>
          <w:ilvl w:val="0"/>
          <w:numId w:val="8"/>
        </w:numPr>
        <w:spacing w:after="60"/>
      </w:pPr>
      <w:r>
        <w:rPr>
          <w:rFonts w:ascii="Arial" w:cs="Arial" w:eastAsia="Arial" w:hAnsi="Arial"/>
          <w:b/>
          <w:bCs/>
          <w:color w:val="161616"/>
          <w:sz w:val="22"/>
          <w:szCs w:val="22"/>
        </w:rPr>
        <w:t xml:space="preserve">Step 3 - Feedback Synthesis: </w:t>
      </w:r>
      <w:r>
        <w:rPr>
          <w:rFonts w:ascii="Arial" w:cs="Arial" w:eastAsia="Arial" w:hAnsi="Arial"/>
          <w:color w:val="161616"/>
          <w:sz w:val="22"/>
          <w:szCs w:val="22"/>
        </w:rPr>
        <w:t xml:space="preserve">Feedback is analyzed for NPS, satisfaction themes, and actionable insights. Currently manual. Future: AI synthesizes into structured summaries. Performed by: Studio team (today) / AI (future). System: Manual. Handoff: Insights summarized.</w:t>
      </w:r>
    </w:p>
    <w:p>
      <w:pPr>
        <w:pStyle w:val="ListParagraph"/>
        <w:numPr>
          <w:ilvl w:val="0"/>
          <w:numId w:val="8"/>
        </w:numPr>
        <w:spacing w:after="60"/>
      </w:pPr>
      <w:r>
        <w:rPr>
          <w:rFonts w:ascii="Arial" w:cs="Arial" w:eastAsia="Arial" w:hAnsi="Arial"/>
          <w:b/>
          <w:bCs/>
          <w:color w:val="161616"/>
          <w:sz w:val="22"/>
          <w:szCs w:val="22"/>
        </w:rPr>
        <w:t xml:space="preserve">Step 4 - Follow-Up Action Generation: </w:t>
      </w:r>
      <w:r>
        <w:rPr>
          <w:rFonts w:ascii="Arial" w:cs="Arial" w:eastAsia="Arial" w:hAnsi="Arial"/>
          <w:color w:val="161616"/>
          <w:sz w:val="22"/>
          <w:szCs w:val="22"/>
        </w:rPr>
        <w:t xml:space="preserve">Based on conversations and feedback, follow-up actions are identified and assigned to sellers/SMEs. Currently seller-driven and ad hoc. Performed by: Sellers (today) / AI-assisted (future). System: Manual / CRM. Handoff: Actions assigned.</w:t>
      </w:r>
    </w:p>
    <w:p>
      <w:pPr>
        <w:pStyle w:val="ListParagraph"/>
        <w:numPr>
          <w:ilvl w:val="0"/>
          <w:numId w:val="8"/>
        </w:numPr>
        <w:spacing w:after="60"/>
      </w:pPr>
      <w:r>
        <w:rPr>
          <w:rFonts w:ascii="Arial" w:cs="Arial" w:eastAsia="Arial" w:hAnsi="Arial"/>
          <w:b/>
          <w:bCs/>
          <w:color w:val="161616"/>
          <w:sz w:val="22"/>
          <w:szCs w:val="22"/>
        </w:rPr>
        <w:t xml:space="preserve">Step 5 - Pipeline Reconciliation: </w:t>
      </w:r>
      <w:r>
        <w:rPr>
          <w:rFonts w:ascii="Arial" w:cs="Arial" w:eastAsia="Arial" w:hAnsi="Arial"/>
          <w:color w:val="161616"/>
          <w:sz w:val="22"/>
          <w:szCs w:val="22"/>
        </w:rPr>
        <w:t xml:space="preserve">Studio engagement outcomes are matched against CRM pipeline data to track opportunity creation, progression, and attribution. Currently delayed and manual. Performed by: Studio leadership / analytics. System: CRM / manual reporting. Handoff: Attribution data generated.</w:t>
      </w:r>
    </w:p>
    <w:p>
      <w:pPr>
        <w:pStyle w:val="ListParagraph"/>
        <w:numPr>
          <w:ilvl w:val="0"/>
          <w:numId w:val="8"/>
        </w:numPr>
        <w:spacing w:after="60"/>
      </w:pPr>
      <w:r>
        <w:rPr>
          <w:rFonts w:ascii="Arial" w:cs="Arial" w:eastAsia="Arial" w:hAnsi="Arial"/>
          <w:b/>
          <w:bCs/>
          <w:color w:val="161616"/>
          <w:sz w:val="22"/>
          <w:szCs w:val="22"/>
        </w:rPr>
        <w:t xml:space="preserve">Step 6 - Experience Library Update: </w:t>
      </w:r>
      <w:r>
        <w:rPr>
          <w:rFonts w:ascii="Arial" w:cs="Arial" w:eastAsia="Arial" w:hAnsi="Arial"/>
          <w:color w:val="161616"/>
          <w:sz w:val="22"/>
          <w:szCs w:val="22"/>
        </w:rPr>
        <w:t xml:space="preserve">Successful patterns and feedback are incorporated back into the blueprint library for future engagements. Currently manual. Sonal described wanting this to 'automatically show up for the next one.' Performed by: Global content team. System: Blueprint library. Handoff: Library updated.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current feedback collection mechanism? Is there a standard survey or is it ad hoc?</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is CRM pipeline reconciliation done today? Manual matching? Automated? What is the lag time?</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CRM / ISC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Pipeline data for attribution and reconciliation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Reliable CRM matching logic is a primary challenge per feasibility assessment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Survey/Feedback Tools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 NPS and satisfaction collection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Mechanism unclear; may vary by studio</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Voice-to-Text (Aspirational)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Real-time conversation capture during engagements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Sonal described this as exploratory; compliance concerns exist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Blueprint Library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Destination for successful patterns and feedback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 process is currently manual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Engagement tracking and completion records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of engagement data for reconciliation</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feedback and survey tools are currently in use across studios?</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AI synthesizes post-event feedback into NPS scores, satisfaction themes, and seller-specific follow-up actions.</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AI identifies newly surfaced opportunities, interest signals, and relationship expansion potential from engagement conversations.</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Transforms post-engagement follow-up from a manual, delayed exercise into real-time pipeline attribution per the matrix rationale.</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AI flags engagements with negative feedback patterns, missed follow-up deadlines, or attribution gaps.</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AI routes follow-up actions to the right seller/SME based on conversation content and account context.</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AI generates follow-up communications, engagement summaries, and attribution reports.</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Feedback, Follow-Up &amp; Reconciliation Agent would: (1) collect and synthesize post-engagement feedback (NPS, themes, action items) from surveys and potentially voice-to-text capture; (2) generate seller-specific follow-up actions based on conversation content and account context; (3) reconcile engagement data from BRS with CRM pipeline data to attribute opportunity creation, progression, and revenue to studio engagements; and (4) feed successful patterns and learnings back into the blueprint library for continuous improvement. Human-in-the-loop: sellers execute follow-up actions; studio leadership reviews attribution data; engagement leaders validate experience library updates.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Post-engagement feedback is manually collected, synthesized, and reported. Pipeline reconciliation is manual matching between BRS and CRM data.</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No automated connection between studio engagement outcomes and CRM pipeline data. Attribution is delayed and incomplete.</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Follow-up is primarily seller-driven and inconsistent. Sonal noted: 'right now the post event follow up is happening at the seller level.'</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Studio leadership must manually track whether follow-up actions are being executed and whether engagements are converting.</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Sonal raised compliance concerns about voice-to-text capture: 'we have to make sure that the clients feel comfortable being heard in the room by a tool.'</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[NOT DISCUSSED specifically for this workflow]</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disconnect between studio engagement delivery and pipeline attribution. Innovation Studios touch $12 billion and progress $5 billion of pipeline with a 42% yield, but demonstrating this attribution relies on manual reconciliation. The feasibility assessment identifies that 'feedback synthesis AI is commercially mature' but 'the primary challenge is consistent data collection across all studio events globally and establishing reliable CRM matching logic.' Without automated attribution, the studio's strategic value is understated and investment decisions are made without full data.</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(4.3/5). Productivity: 5, Cycle Time: 5, Revenue/Engagement: 4, Risk Reduction: 3. Directly enables pipeline attribution for $12 billion in touched pipeline and $5 billion in progressed pipeline.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(3.3/5). Data Readiness: 3, Tool Maturity: 4, Change Readiness: 3. Lowest feasibility of the five workflows. Feedback synthesis AI is mature, but consistent global data collection and CRM matching logic are significant challenges. Process discipline across the engagement leader community is required before AI can deliver accurate attribution.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Engagement leaders, sellers/account teams doing follow-up, and studio analytics/leadership for reporting.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studio staff, all sellers who engage with studios, and named account marketing leadership who use attribution data for investment decisions.</w:t>
            </w:r>
          </w:p>
        </w:tc>
      </w:tr>
    </w:tbl>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Innovation Studios are one of IBM's highest-performing marketing assets ($12B pipeline, 42% yield). However, the post-engagement follow-up and attribution process is the weakest link in demonstrating that value. The feasibility assessment gives this workflow the lowest feasibility score (3.3/5) because it requires process discipline (consistent feedback collection, CRM data entry) before AI can be effective. This should be sequenced after the earlier workflows, with the process infrastructure (standardized feedback collection, CRM reconciliation cadence) being established in parallel with the build of Workflows 1-4.</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High reusability. Any MCC domain that needs post-engagement attribution benefits from the same pattern: feedback collection, synthesis, CRM reconciliation, and continuous learning loop. Event marketing, CXO programs, SLE events, and field marketing events all face similar attribution challenges.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High. Requires seller adoption for follow-up actions, engagement leader discipline for feedback collection, and CRM data governance for attribution accuracy. Compliance review needed for voice-to-text capture aspirations.</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Feedback collection platform: Standardized survey/feedback mechanism across all studios globally.</w:t>
      </w:r>
    </w:p>
    <w:p>
      <w:pPr>
        <w:pStyle w:val="ListParagraph"/>
        <w:numPr>
          <w:ilvl w:val="0"/>
          <w:numId w:val="2"/>
        </w:numPr>
        <w:spacing w:after="60"/>
      </w:pPr>
      <w:r>
        <w:rPr>
          <w:rFonts w:ascii="Arial" w:cs="Arial" w:eastAsia="Arial" w:hAnsi="Arial"/>
          <w:color w:val="161616"/>
          <w:sz w:val="22"/>
          <w:szCs w:val="22"/>
        </w:rPr>
        <w:t xml:space="preserve">AI synthesis engine for NPS, themes, and action item extraction.</w:t>
      </w:r>
    </w:p>
    <w:p>
      <w:pPr>
        <w:pStyle w:val="ListParagraph"/>
        <w:numPr>
          <w:ilvl w:val="0"/>
          <w:numId w:val="2"/>
        </w:numPr>
        <w:spacing w:after="60"/>
      </w:pPr>
      <w:r>
        <w:rPr>
          <w:rFonts w:ascii="Arial" w:cs="Arial" w:eastAsia="Arial" w:hAnsi="Arial"/>
          <w:color w:val="161616"/>
          <w:sz w:val="22"/>
          <w:szCs w:val="22"/>
        </w:rPr>
        <w:t xml:space="preserve">CRM integration for pipeline reconciliation and attribution.</w:t>
      </w:r>
    </w:p>
    <w:p>
      <w:pPr>
        <w:pStyle w:val="ListParagraph"/>
        <w:numPr>
          <w:ilvl w:val="0"/>
          <w:numId w:val="2"/>
        </w:numPr>
        <w:spacing w:after="60"/>
      </w:pPr>
      <w:r>
        <w:rPr>
          <w:rFonts w:ascii="Arial" w:cs="Arial" w:eastAsia="Arial" w:hAnsi="Arial"/>
          <w:color w:val="161616"/>
          <w:sz w:val="22"/>
          <w:szCs w:val="22"/>
        </w:rPr>
        <w:t xml:space="preserve">Blueprint library API for automated experience library updates.</w:t>
      </w:r>
    </w:p>
    <w:p>
      <w:pPr>
        <w:pStyle w:val="ListParagraph"/>
        <w:numPr>
          <w:ilvl w:val="0"/>
          <w:numId w:val="2"/>
        </w:numPr>
        <w:spacing w:after="60"/>
      </w:pPr>
      <w:r>
        <w:rPr>
          <w:rFonts w:ascii="Arial" w:cs="Arial" w:eastAsia="Arial" w:hAnsi="Arial"/>
          <w:color w:val="161616"/>
          <w:sz w:val="22"/>
          <w:szCs w:val="22"/>
        </w:rPr>
        <w:t xml:space="preserve">Voice-to-text (aspirational): Compliance-cleared real-time conversation capture.</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Current feedback collection practices by studio/region.</w:t>
      </w:r>
    </w:p>
    <w:p>
      <w:pPr>
        <w:pStyle w:val="ListParagraph"/>
        <w:numPr>
          <w:ilvl w:val="0"/>
          <w:numId w:val="2"/>
        </w:numPr>
        <w:spacing w:after="60"/>
      </w:pPr>
      <w:r>
        <w:rPr>
          <w:rFonts w:ascii="Arial" w:cs="Arial" w:eastAsia="Arial" w:hAnsi="Arial"/>
          <w:color w:val="161616"/>
          <w:sz w:val="22"/>
          <w:szCs w:val="22"/>
        </w:rPr>
        <w:t xml:space="preserve">CRM data quality for pipeline reconciliation.</w:t>
      </w:r>
    </w:p>
    <w:p>
      <w:pPr>
        <w:pStyle w:val="ListParagraph"/>
        <w:numPr>
          <w:ilvl w:val="0"/>
          <w:numId w:val="2"/>
        </w:numPr>
        <w:spacing w:after="60"/>
      </w:pPr>
      <w:r>
        <w:rPr>
          <w:rFonts w:ascii="Arial" w:cs="Arial" w:eastAsia="Arial" w:hAnsi="Arial"/>
          <w:color w:val="161616"/>
          <w:sz w:val="22"/>
          <w:szCs w:val="22"/>
        </w:rPr>
        <w:t xml:space="preserve">Compliance/PIA review for voice-to-text capture.</w:t>
      </w:r>
    </w:p>
    <w:p>
      <w:pPr>
        <w:pStyle w:val="ListParagraph"/>
        <w:numPr>
          <w:ilvl w:val="0"/>
          <w:numId w:val="2"/>
        </w:numPr>
        <w:spacing w:after="60"/>
      </w:pPr>
      <w:r>
        <w:rPr>
          <w:rFonts w:ascii="Arial" w:cs="Arial" w:eastAsia="Arial" w:hAnsi="Arial"/>
          <w:color w:val="161616"/>
          <w:sz w:val="22"/>
          <w:szCs w:val="22"/>
        </w:rPr>
        <w:t xml:space="preserve">Attribution methodology: how should studio contribution be measured (influenced vs. sourced)?</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Process discipline: Consistent data collection across all studios globally is a prerequisite. This is the primary blocker per the feasibility assessment.</w:t>
      </w:r>
    </w:p>
    <w:p>
      <w:pPr>
        <w:pStyle w:val="ListParagraph"/>
        <w:numPr>
          <w:ilvl w:val="0"/>
          <w:numId w:val="2"/>
        </w:numPr>
        <w:spacing w:after="60"/>
      </w:pPr>
      <w:r>
        <w:rPr>
          <w:rFonts w:ascii="Arial" w:cs="Arial" w:eastAsia="Arial" w:hAnsi="Arial"/>
          <w:color w:val="161616"/>
          <w:sz w:val="22"/>
          <w:szCs w:val="22"/>
        </w:rPr>
        <w:t xml:space="preserve">CRM data quality: Reliable CRM matching logic must be established. Pipeline data must be current and accurate.</w:t>
      </w:r>
    </w:p>
    <w:p>
      <w:pPr>
        <w:pStyle w:val="ListParagraph"/>
        <w:numPr>
          <w:ilvl w:val="0"/>
          <w:numId w:val="2"/>
        </w:numPr>
        <w:spacing w:after="60"/>
      </w:pPr>
      <w:r>
        <w:rPr>
          <w:rFonts w:ascii="Arial" w:cs="Arial" w:eastAsia="Arial" w:hAnsi="Arial"/>
          <w:color w:val="161616"/>
          <w:sz w:val="22"/>
          <w:szCs w:val="22"/>
        </w:rPr>
        <w:t xml:space="preserve">Seller adoption: Sellers must execute AI-generated follow-up actions and log outcomes.</w:t>
      </w:r>
    </w:p>
    <w:p>
      <w:pPr>
        <w:pStyle w:val="ListParagraph"/>
        <w:numPr>
          <w:ilvl w:val="0"/>
          <w:numId w:val="2"/>
        </w:numPr>
        <w:spacing w:after="60"/>
      </w:pPr>
      <w:r>
        <w:rPr>
          <w:rFonts w:ascii="Arial" w:cs="Arial" w:eastAsia="Arial" w:hAnsi="Arial"/>
          <w:color w:val="161616"/>
          <w:sz w:val="22"/>
          <w:szCs w:val="22"/>
        </w:rPr>
        <w:t xml:space="preserve">Compliance/privacy: Voice-to-text capture requires client consent and PIA approval.</w:t>
      </w:r>
    </w:p>
    <w:p>
      <w:pPr>
        <w:pStyle w:val="ListParagraph"/>
        <w:numPr>
          <w:ilvl w:val="0"/>
          <w:numId w:val="2"/>
        </w:numPr>
        <w:spacing w:after="60"/>
      </w:pPr>
      <w:r>
        <w:rPr>
          <w:rFonts w:ascii="Arial" w:cs="Arial" w:eastAsia="Arial" w:hAnsi="Arial"/>
          <w:color w:val="161616"/>
          <w:sz w:val="22"/>
          <w:szCs w:val="22"/>
        </w:rPr>
        <w:t xml:space="preserve">Sequencing: Should be built after Workflows 1-4 establish the upstream process infrastructure.</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What attribution methodology should be used? Influenced pipeline vs. sourced pipeline vs. assisted?</w:t>
      </w:r>
    </w:p>
    <w:p>
      <w:pPr>
        <w:pStyle w:val="ListParagraph"/>
        <w:numPr>
          <w:ilvl w:val="0"/>
          <w:numId w:val="2"/>
        </w:numPr>
        <w:spacing w:after="60"/>
      </w:pPr>
      <w:r>
        <w:rPr>
          <w:rFonts w:ascii="Arial" w:cs="Arial" w:eastAsia="Arial" w:hAnsi="Arial"/>
          <w:color w:val="161616"/>
          <w:sz w:val="22"/>
          <w:szCs w:val="22"/>
        </w:rPr>
        <w:t xml:space="preserve">How do we ensure sellers actually execute AI-generated follow-up actions?</w:t>
      </w:r>
    </w:p>
    <w:p>
      <w:pPr>
        <w:pStyle w:val="ListParagraph"/>
        <w:numPr>
          <w:ilvl w:val="0"/>
          <w:numId w:val="2"/>
        </w:numPr>
        <w:spacing w:after="60"/>
      </w:pPr>
      <w:r>
        <w:rPr>
          <w:rFonts w:ascii="Arial" w:cs="Arial" w:eastAsia="Arial" w:hAnsi="Arial"/>
          <w:color w:val="161616"/>
          <w:sz w:val="22"/>
          <w:szCs w:val="22"/>
        </w:rPr>
        <w:t xml:space="preserve">What is the compliance path for in-room voice-to-text capture?</w:t>
      </w:r>
    </w:p>
    <w:p>
      <w:pPr>
        <w:pStyle w:val="ListParagraph"/>
        <w:numPr>
          <w:ilvl w:val="0"/>
          <w:numId w:val="2"/>
        </w:numPr>
        <w:spacing w:after="60"/>
      </w:pPr>
      <w:r>
        <w:rPr>
          <w:rFonts w:ascii="Arial" w:cs="Arial" w:eastAsia="Arial" w:hAnsi="Arial"/>
          <w:color w:val="161616"/>
          <w:sz w:val="22"/>
          <w:szCs w:val="22"/>
        </w:rPr>
        <w:t xml:space="preserve">Can we pilot feedback automation in a single studio before global rollout?</w:t>
      </w:r>
    </w:p>
    <w:p>
      <w:pPr>
        <w:pStyle w:val="ListParagraph"/>
        <w:numPr>
          <w:ilvl w:val="0"/>
          <w:numId w:val="2"/>
        </w:numPr>
        <w:spacing w:after="60"/>
      </w:pPr>
      <w:r>
        <w:rPr>
          <w:rFonts w:ascii="Arial" w:cs="Arial" w:eastAsia="Arial" w:hAnsi="Arial"/>
          <w:color w:val="161616"/>
          <w:sz w:val="22"/>
          <w:szCs w:val="22"/>
        </w:rPr>
        <w:t xml:space="preserve">How does this connect to Jen's named account marketing KPIs? What metrics need to be tracked?</w:t>
      </w:r>
    </w:p>
    <w:p>
      <w:r>
        <w:br w:type="page"/>
      </w:r>
    </w:p>
    <w:p>
      <w:pPr>
        <w:pStyle w:val="Heading1"/>
        <w:spacing w:before="360" w:after="200"/>
      </w:pPr>
      <w:r>
        <w:rPr>
          <w:rFonts w:ascii="Arial" w:cs="Arial" w:eastAsia="Arial" w:hAnsi="Arial"/>
          <w:b/>
          <w:bCs/>
          <w:color w:val="0F62FE"/>
          <w:sz w:val="36"/>
          <w:szCs w:val="36"/>
        </w:rPr>
        <w:t xml:space="preserve">Gap Summary</w:t>
      </w:r>
    </w:p>
    <w:p>
      <w:pPr>
        <w:pBdr>
          <w:bottom w:val="single" w:color="0F62FE" w:sz="6" w:space="1"/>
        </w:pBdr>
        <w:spacing w:before="200" w:after="200"/>
      </w:pPr>
    </w:p>
    <w:p>
      <w:pPr>
        <w:spacing w:after="120"/>
      </w:pPr>
      <w:r>
        <w:rPr>
          <w:rFonts w:ascii="Arial" w:cs="Arial" w:eastAsia="Arial" w:hAnsi="Arial"/>
          <w:color w:val="161616"/>
          <w:sz w:val="22"/>
          <w:szCs w:val="22"/>
        </w:rPr>
        <w:t xml:space="preserve">The following gaps were identified across all five Innovation Studio workflow analysis cards.</w:t>
      </w:r>
    </w:p>
    <w:p>
      <w:pPr>
        <w:pStyle w:val="Heading2"/>
        <w:spacing w:before="280" w:after="160"/>
      </w:pPr>
      <w:r>
        <w:rPr>
          <w:rFonts w:ascii="Arial" w:cs="Arial" w:eastAsia="Arial" w:hAnsi="Arial"/>
          <w:b/>
          <w:bCs/>
          <w:color w:val="161616"/>
          <w:sz w:val="28"/>
          <w:szCs w:val="28"/>
        </w:rPr>
        <w:t xml:space="preserve">Workflow 1: Request Intake &amp; Client Nomination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leader FTE count by studio</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Nigel/Sonal</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acceptance/decline criteria</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current triage rubric</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BRS submission form data fields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BRS schema with David Latinovic</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data fields for AI nomination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discovery with CIO</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spent on intake triage per engagement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to time study</w:t>
            </w:r>
          </w:p>
        </w:tc>
      </w:tr>
    </w:tbl>
    <w:p>
      <w:pPr>
        <w:pStyle w:val="Heading2"/>
        <w:spacing w:before="280" w:after="160"/>
      </w:pPr>
      <w:r>
        <w:rPr>
          <w:rFonts w:ascii="Arial" w:cs="Arial" w:eastAsia="Arial" w:hAnsi="Arial"/>
          <w:b/>
          <w:bCs/>
          <w:color w:val="161616"/>
          <w:sz w:val="28"/>
          <w:szCs w:val="28"/>
        </w:rPr>
        <w:t xml:space="preserve">Workflow 2: Agenda Creation &amp; SME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SME identification and booking process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engagement leaders on current SME workflow</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Blueprint library format and structure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with David Latinovic / Sonal</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SME directory system (formal vs. informal)</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 existing tools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breakdown: agenda vs. content vs. SME booking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to time study</w:t>
            </w:r>
          </w:p>
        </w:tc>
      </w:tr>
    </w:tbl>
    <w:p>
      <w:pPr>
        <w:pStyle w:val="Heading2"/>
        <w:spacing w:before="280" w:after="160"/>
      </w:pPr>
      <w:r>
        <w:rPr>
          <w:rFonts w:ascii="Arial" w:cs="Arial" w:eastAsia="Arial" w:hAnsi="Arial"/>
          <w:b/>
          <w:bCs/>
          <w:color w:val="161616"/>
          <w:sz w:val="28"/>
          <w:szCs w:val="28"/>
        </w:rPr>
        <w:t xml:space="preserve">Workflow 3: Demo &amp; Content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library ownership and maintenance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content/demo teams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asset count and tagging quality</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Seismic and Box repositories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gap escalation process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with content teams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content repositories beyond Seismic/Box</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inventory with studio staff</w:t>
            </w:r>
          </w:p>
        </w:tc>
      </w:tr>
    </w:tbl>
    <w:p>
      <w:pPr>
        <w:pStyle w:val="Heading2"/>
        <w:spacing w:before="280" w:after="160"/>
      </w:pPr>
      <w:r>
        <w:rPr>
          <w:rFonts w:ascii="Arial" w:cs="Arial" w:eastAsia="Arial" w:hAnsi="Arial"/>
          <w:b/>
          <w:bCs/>
          <w:color w:val="161616"/>
          <w:sz w:val="28"/>
          <w:szCs w:val="28"/>
        </w:rPr>
        <w:t xml:space="preserve">Workflow 4: CTEBA Approval &amp;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CTEBA approver team structure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compliance/governance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approval cycle time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BRS data for baseline measurement</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rejection/return rate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BRS data for baseline measurement</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CTEBA eligibility rules documentation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with governance team</w:t>
            </w:r>
          </w:p>
        </w:tc>
      </w:tr>
    </w:tbl>
    <w:p>
      <w:pPr>
        <w:pStyle w:val="Heading2"/>
        <w:spacing w:before="280" w:after="160"/>
      </w:pPr>
      <w:r>
        <w:rPr>
          <w:rFonts w:ascii="Arial" w:cs="Arial" w:eastAsia="Arial" w:hAnsi="Arial"/>
          <w:b/>
          <w:bCs/>
          <w:color w:val="161616"/>
          <w:sz w:val="28"/>
          <w:szCs w:val="28"/>
        </w:rPr>
        <w:t xml:space="preserve">Workflow 5: Feedback, Follow-Up &amp;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feedback collection mechanism by studio</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Survey studios globally</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pipeline reconciliation process and lag time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studio analytics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Voice-to-text compliance path</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 IBM Privacy office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and survey tools in use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across studios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Attribution methodology definition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Workshop with studio leadership and marketing analytics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Innovation Studio &amp; Client Experience Domain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MCC Workflow Agentic Solution Analysis Cards - Innovation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62F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16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2026-03-04T19:27:32.825Z</dcterms:created>
  <dcterms:modified xsi:type="dcterms:W3CDTF">2026-03-04T19:27:32.826Z</dcterms:modified>
</cp:coreProperties>
</file>

<file path=docProps/custom.xml><?xml version="1.0" encoding="utf-8"?>
<Properties xmlns="http://schemas.openxmlformats.org/officeDocument/2006/custom-properties" xmlns:vt="http://schemas.openxmlformats.org/officeDocument/2006/docPropsVTypes"/>
</file>