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F62FE"/>
          <w:sz w:val="52"/>
          <w:szCs w:val="52"/>
        </w:rPr>
        <w:t xml:space="preserve">MCC Workflow Agentic Solution</w:t>
      </w:r>
    </w:p>
    <w:p>
      <w:pPr>
        <w:spacing w:after="400"/>
        <w:jc w:val="center"/>
      </w:pPr>
      <w:r>
        <w:rPr>
          <w:rFonts w:ascii="Arial" w:cs="Arial" w:eastAsia="Arial" w:hAnsi="Arial"/>
          <w:b/>
          <w:bCs/>
          <w:color w:val="0F62FE"/>
          <w:sz w:val="52"/>
          <w:szCs w:val="52"/>
        </w:rPr>
        <w:t xml:space="preserve">Analysis Cards</w:t>
      </w:r>
    </w:p>
    <w:p>
      <w:pPr>
        <w:pBdr>
          <w:bottom w:val="single" w:color="0F62FE" w:sz="12" w:space="8"/>
        </w:pBdr>
        <w:spacing w:after="400"/>
        <w:jc w:val="center"/>
      </w:pPr>
    </w:p>
    <w:p>
      <w:pPr>
        <w:spacing w:after="120"/>
        <w:jc w:val="center"/>
      </w:pPr>
      <w:r>
        <w:rPr>
          <w:rFonts w:ascii="Arial" w:cs="Arial" w:eastAsia="Arial" w:hAnsi="Arial"/>
          <w:color w:val="161616"/>
          <w:sz w:val="28"/>
          <w:szCs w:val="28"/>
        </w:rPr>
        <w:t xml:space="preserve">Domain: Marketing Transformation &amp; Operations (T&amp;O)</w:t>
      </w:r>
    </w:p>
    <w:p>
      <w:pPr>
        <w:spacing w:after="120"/>
        <w:jc w:val="center"/>
      </w:pPr>
      <w:r>
        <w:rPr>
          <w:rFonts w:ascii="Arial" w:cs="Arial" w:eastAsia="Arial" w:hAnsi="Arial"/>
          <w:color w:val="525252"/>
          <w:sz w:val="24"/>
          <w:szCs w:val="24"/>
        </w:rPr>
        <w:t xml:space="preserve">Source: Workflow Discovery Interview - February 27, 2026</w:t>
      </w:r>
    </w:p>
    <w:p>
      <w:pPr>
        <w:spacing w:after="120"/>
        <w:jc w:val="center"/>
      </w:pPr>
      <w:r>
        <w:rPr>
          <w:rFonts w:ascii="Arial" w:cs="Arial" w:eastAsia="Arial" w:hAnsi="Arial"/>
          <w:color w:val="525252"/>
          <w:sz w:val="22"/>
          <w:szCs w:val="22"/>
        </w:rPr>
        <w:t xml:space="preserve">Participants: Paul Ambraz, Sue Takhar, Koen Koolaard, Mark Mills, Kimberly Rasmussen,</w:t>
      </w:r>
    </w:p>
    <w:p>
      <w:pPr>
        <w:spacing w:after="120"/>
        <w:jc w:val="center"/>
      </w:pPr>
      <w:r>
        <w:rPr>
          <w:rFonts w:ascii="Arial" w:cs="Arial" w:eastAsia="Arial" w:hAnsi="Arial"/>
          <w:color w:val="525252"/>
          <w:sz w:val="22"/>
          <w:szCs w:val="22"/>
        </w:rPr>
        <w:t xml:space="preserve">Rosanna Palmisano, Mairead Murphy, Joyce Costello, Karsten Stracke,</w:t>
      </w:r>
    </w:p>
    <w:p>
      <w:pPr>
        <w:spacing w:after="120"/>
        <w:jc w:val="center"/>
      </w:pPr>
      <w:r>
        <w:rPr>
          <w:rFonts w:ascii="Arial" w:cs="Arial" w:eastAsia="Arial" w:hAnsi="Arial"/>
          <w:color w:val="525252"/>
          <w:sz w:val="22"/>
          <w:szCs w:val="22"/>
        </w:rPr>
        <w:t xml:space="preserve">Sandra Grieden, Alexandra Gazdova, Sven Niemetz, Mark Overstreet</w:t>
      </w:r>
    </w:p>
    <w:p>
      <w:pPr>
        <w:spacing w:after="400"/>
        <w:jc w:val="center"/>
      </w:pPr>
      <w:r>
        <w:rPr>
          <w:rFonts w:ascii="Arial" w:cs="Arial" w:eastAsia="Arial" w:hAnsi="Arial"/>
          <w:color w:val="525252"/>
          <w:sz w:val="22"/>
          <w:szCs w:val="22"/>
        </w:rPr>
        <w:t xml:space="preserve">Tucker Rizzi, David Gerken, Puja Gupta (facilitators)</w:t>
      </w:r>
    </w:p>
    <w:p>
      <w:pPr>
        <w:spacing w:after="200"/>
        <w:jc w:val="center"/>
      </w:pPr>
      <w:r>
        <w:rPr>
          <w:rFonts w:ascii="Arial" w:cs="Arial" w:eastAsia="Arial" w:hAnsi="Arial"/>
          <w:b/>
          <w:bCs/>
          <w:color w:val="161616"/>
          <w:sz w:val="24"/>
          <w:szCs w:val="24"/>
        </w:rPr>
        <w:t xml:space="preserve">Three Workflows Identified:</w:t>
      </w:r>
    </w:p>
    <w:p>
      <w:pPr>
        <w:spacing w:after="80"/>
        <w:jc w:val="center"/>
      </w:pPr>
      <w:r>
        <w:rPr>
          <w:rFonts w:ascii="Arial" w:cs="Arial" w:eastAsia="Arial" w:hAnsi="Arial"/>
          <w:color w:val="0F62FE"/>
          <w:sz w:val="22"/>
          <w:szCs w:val="22"/>
        </w:rPr>
        <w:t xml:space="preserve">1. Program Budget Optimization &amp; Scenario Planning Agent</w:t>
      </w:r>
    </w:p>
    <w:p>
      <w:pPr>
        <w:spacing w:after="80"/>
        <w:jc w:val="center"/>
      </w:pPr>
      <w:r>
        <w:rPr>
          <w:rFonts w:ascii="Arial" w:cs="Arial" w:eastAsia="Arial" w:hAnsi="Arial"/>
          <w:color w:val="0F62FE"/>
          <w:sz w:val="22"/>
          <w:szCs w:val="22"/>
        </w:rPr>
        <w:t xml:space="preserve">2. Infrastructure Budget &amp; Workforce Planning Agent</w:t>
      </w:r>
    </w:p>
    <w:p>
      <w:pPr>
        <w:spacing w:after="80"/>
        <w:jc w:val="center"/>
      </w:pPr>
      <w:r>
        <w:rPr>
          <w:rFonts w:ascii="Arial" w:cs="Arial" w:eastAsia="Arial" w:hAnsi="Arial"/>
          <w:color w:val="0F62FE"/>
          <w:sz w:val="22"/>
          <w:szCs w:val="22"/>
        </w:rPr>
        <w:t xml:space="preserve">3. Risk &amp; Compliance Continuous Monitoring Agent</w:t>
      </w:r>
    </w:p>
    <w:p>
      <w:pPr>
        <w:spacing w:before="400" w:after="200"/>
        <w:jc w:val="center"/>
      </w:pPr>
      <w:r>
        <w:rPr>
          <w:rFonts w:ascii="Arial" w:cs="Arial" w:eastAsia="Arial" w:hAnsi="Arial"/>
          <w:i/>
          <w:iCs/>
          <w:color w:val="525252"/>
          <w:sz w:val="20"/>
          <w:szCs w:val="20"/>
        </w:rPr>
        <w:t xml:space="preserve">NOTE: T&amp;O did not pre-define candidate workflows. These three were identified from</w:t>
      </w:r>
    </w:p>
    <w:p>
      <w:pPr>
        <w:spacing w:after="200"/>
        <w:jc w:val="center"/>
      </w:pPr>
      <w:r>
        <w:rPr>
          <w:rFonts w:ascii="Arial" w:cs="Arial" w:eastAsia="Arial" w:hAnsi="Arial"/>
          <w:i/>
          <w:iCs/>
          <w:color w:val="525252"/>
          <w:sz w:val="20"/>
          <w:szCs w:val="20"/>
        </w:rPr>
        <w:t xml:space="preserve">transcript analysis. See Workflow Selection Rationale section for justification.</w:t>
      </w:r>
    </w:p>
    <w:p>
      <w:r>
        <w:br w:type="page"/>
      </w:r>
    </w:p>
    <w:p>
      <w:pPr>
        <w:pStyle w:val="Heading1"/>
        <w:spacing w:before="360" w:after="200"/>
      </w:pPr>
      <w:r>
        <w:rPr>
          <w:rFonts w:ascii="Arial" w:cs="Arial" w:eastAsia="Arial" w:hAnsi="Arial"/>
          <w:b/>
          <w:bCs/>
          <w:color w:val="0F62FE"/>
          <w:sz w:val="36"/>
          <w:szCs w:val="36"/>
        </w:rPr>
        <w:t xml:space="preserve">Workflow Selection Rationale</w:t>
      </w:r>
    </w:p>
    <w:p>
      <w:pPr>
        <w:pBdr>
          <w:bottom w:val="single" w:color="0F62FE" w:sz="6" w:space="1"/>
        </w:pBdr>
        <w:spacing w:before="200" w:after="200"/>
      </w:pPr>
    </w:p>
    <w:p>
      <w:pPr>
        <w:spacing w:after="120"/>
      </w:pPr>
      <w:r>
        <w:rPr>
          <w:rFonts w:ascii="Arial" w:cs="Arial" w:eastAsia="Arial" w:hAnsi="Arial"/>
          <w:color w:val="161616"/>
          <w:sz w:val="22"/>
          <w:szCs w:val="22"/>
        </w:rPr>
        <w:t xml:space="preserve">The T&amp;O team did not arrive at the interview with pre-defined workflows for AI transformation. Unlike other MCC domains, T&amp;O operates as a support function serving eight marketing organizations, and the team explicitly debated throughout the session whether their processes are standalone or embedded within other domains' workflows. Based on the full interview discussion, we identified three workflows that: (1) were discussed most extensively; (2) have the strongest transcript evidence for pain, scale, and impact; and (3) align with the team's own priorities as expressed during the session.</w:t>
      </w:r>
    </w:p>
    <w:p>
      <w:pPr>
        <w:spacing w:after="120"/>
      </w:pPr>
      <w:r>
        <w:rPr>
          <w:rFonts w:ascii="Arial" w:cs="Arial" w:eastAsia="Arial" w:hAnsi="Arial"/>
          <w:color w:val="161616"/>
          <w:sz w:val="22"/>
          <w:szCs w:val="22"/>
        </w:rPr>
        <w:t xml:space="preserve"/>
      </w:r>
    </w:p>
    <w:p>
      <w:pPr>
        <w:spacing w:after="120"/>
      </w:pPr>
      <w:r>
        <w:rPr>
          <w:rFonts w:ascii="Arial" w:cs="Arial" w:eastAsia="Arial" w:hAnsi="Arial"/>
          <w:b/>
          <w:bCs/>
          <w:color w:val="161616"/>
          <w:sz w:val="22"/>
          <w:szCs w:val="22"/>
        </w:rPr>
        <w:t xml:space="preserve">Workflow 1: Program Budget Optimization &amp; Scenario Planning Agent. </w:t>
      </w:r>
      <w:r>
        <w:rPr>
          <w:rFonts w:ascii="Arial" w:cs="Arial" w:eastAsia="Arial" w:hAnsi="Arial"/>
          <w:color w:val="161616"/>
          <w:sz w:val="22"/>
          <w:szCs w:val="22"/>
        </w:rPr>
        <w:t xml:space="preserve">This was the dominant theme of the interview. Paul Ambraz, Koen Koolaard, and Sue Takhar all described the opportunity to move from leader-driven, legacy-biased budget allocation to AI-optimized tactic mix planning. Paul explicitly described the aspirational future state: 'Don't do these 52 tactics. Do these 102 tactics. And we think you should do these 22 tactics with the budget that you've got.' David Gerken confirmed this as the primary value driver: 'decision support from strategic planning through tracking, course correction.' Karsten Stracke identified scenario planning as a parked AI opportunity from the prior IX exercise.</w:t>
      </w:r>
    </w:p>
    <w:p>
      <w:pPr>
        <w:spacing w:after="120"/>
      </w:pPr>
      <w:r>
        <w:rPr>
          <w:rFonts w:ascii="Arial" w:cs="Arial" w:eastAsia="Arial" w:hAnsi="Arial"/>
          <w:color w:val="161616"/>
          <w:sz w:val="22"/>
          <w:szCs w:val="22"/>
        </w:rPr>
        <w:t xml:space="preserve"/>
      </w:r>
    </w:p>
    <w:p>
      <w:pPr>
        <w:spacing w:after="120"/>
      </w:pPr>
      <w:r>
        <w:rPr>
          <w:rFonts w:ascii="Arial" w:cs="Arial" w:eastAsia="Arial" w:hAnsi="Arial"/>
          <w:b/>
          <w:bCs/>
          <w:color w:val="161616"/>
          <w:sz w:val="22"/>
          <w:szCs w:val="22"/>
        </w:rPr>
        <w:t xml:space="preserve">Workflow 2: Infrastructure Budget &amp; Workforce Planning Agent. </w:t>
      </w:r>
      <w:r>
        <w:rPr>
          <w:rFonts w:ascii="Arial" w:cs="Arial" w:eastAsia="Arial" w:hAnsi="Arial"/>
          <w:color w:val="161616"/>
          <w:sz w:val="22"/>
          <w:szCs w:val="22"/>
        </w:rPr>
        <w:t xml:space="preserve">Mark Mills described the most acute pain point in the entire interview: sensitive workforce planning data trapped in spreadsheets with no common tool, blocking any AI or analytical use. He stated: 'We don't have a place to store it other than spreadsheets.' Sue Takhar described the workflow as three layers: strategy definition, budget allocation, and spend monitoring. Koen described 2,500 people distributed across 60 countries with constantly shifting strategies creating extreme labor intensity. Paul noted the organization has shrunk from 300 to 117 people, making efficiency gains critical.</w:t>
      </w:r>
    </w:p>
    <w:p>
      <w:pPr>
        <w:spacing w:after="120"/>
      </w:pPr>
      <w:r>
        <w:rPr>
          <w:rFonts w:ascii="Arial" w:cs="Arial" w:eastAsia="Arial" w:hAnsi="Arial"/>
          <w:color w:val="161616"/>
          <w:sz w:val="22"/>
          <w:szCs w:val="22"/>
        </w:rPr>
        <w:t xml:space="preserve"/>
      </w:r>
    </w:p>
    <w:p>
      <w:pPr>
        <w:spacing w:after="120"/>
      </w:pPr>
      <w:r>
        <w:rPr>
          <w:rFonts w:ascii="Arial" w:cs="Arial" w:eastAsia="Arial" w:hAnsi="Arial"/>
          <w:b/>
          <w:bCs/>
          <w:color w:val="161616"/>
          <w:sz w:val="22"/>
          <w:szCs w:val="22"/>
        </w:rPr>
        <w:t xml:space="preserve">Workflow 3: Risk &amp; Compliance Monitoring Agent. </w:t>
      </w:r>
      <w:r>
        <w:rPr>
          <w:rFonts w:ascii="Arial" w:cs="Arial" w:eastAsia="Arial" w:hAnsi="Arial"/>
          <w:color w:val="161616"/>
          <w:sz w:val="22"/>
          <w:szCs w:val="22"/>
        </w:rPr>
        <w:t xml:space="preserve">Sue Takhar advocated strongly and repeatedly for this workflow throughout the interview. She is going through the audit framework for the first time and sees immediate opportunity: 'I'd love an AI agent that ritually we can use to tell us where our risk is in the organization.' Joyce Costello reinforced: 'You move from identifying risk after the fact to identifying risk ahead of time.' Kimberly Rasmussen added that risk management 'looks entirely different in a post-agentified state.' While David Gerken probed whether this would rank in the top 2-3, the team collectively affirmed it belongs on the list, and Sue committed to a deeper dive.</w:t>
      </w:r>
    </w:p>
    <w:p>
      <w:r>
        <w:br w:type="page"/>
      </w:r>
    </w:p>
    <w:p>
      <w:pPr>
        <w:pStyle w:val="Heading1"/>
        <w:spacing w:before="360" w:after="200"/>
      </w:pPr>
      <w:r>
        <w:rPr>
          <w:rFonts w:ascii="Arial" w:cs="Arial" w:eastAsia="Arial" w:hAnsi="Arial"/>
          <w:b/>
          <w:bCs/>
          <w:color w:val="0F62FE"/>
          <w:sz w:val="36"/>
          <w:szCs w:val="36"/>
        </w:rPr>
        <w:t xml:space="preserve">WORKFLOW 1: Program Budget Optimization &amp; Scenario Planning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MCC Program Budget Optimization &amp; Scenario Planning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optimizes cross-tactic marketing budget allocation by analyzing pipeline signals, historical performance, and execution capacity to recommend the most revenue-productive tactic mix within quarterly budget constraints, while also enabling scenario modeling for mid-cycle budget reallocation. It serves T&amp;O leadership, investment teams, functional marketing leaders, and the CMO office.</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Revenue progression and operational efficiency. T&amp;O manages one consolidated MCC budget that funds all marketing activities across named accounts, select/ecosystem, product marketing (x3), events, content, paid media, corporate communications, and CSR. Paul Ambraz described the current state: leaders receive budget allocations and choose their tactic mix based on legacy patterns and judgment ('we spent 20% in UKI, so maybe we spend 20% in UKI') rather than data-driven optimization. The aspirational outcome is that AI optimizes the tactic mix against pipeline targets and revenue generation rather than historical precedent.</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Quarterly planning cycle begins (6-8 weeks before quarter start). Functional leaders receive budget guidance and must plan tactics.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Mid-quarter pipeline signal changes require budget reallocation across tactics. Paul described detecting pipeline issues '20 weeks in advance' before they show on reports.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Annual fall plan where enterprise-level budget allocation decisions are made.</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Paul Ambraz - T&amp;O VP, budget strategy owner</w:t>
      </w:r>
    </w:p>
    <w:p>
      <w:pPr>
        <w:pStyle w:val="ListParagraph"/>
        <w:numPr>
          <w:ilvl w:val="0"/>
          <w:numId w:val="2"/>
        </w:numPr>
        <w:spacing w:after="60"/>
      </w:pPr>
      <w:r>
        <w:rPr>
          <w:rFonts w:ascii="Arial" w:cs="Arial" w:eastAsia="Arial" w:hAnsi="Arial"/>
          <w:color w:val="161616"/>
          <w:sz w:val="22"/>
          <w:szCs w:val="22"/>
        </w:rPr>
        <w:t xml:space="preserve">Sue Takhar - Operations lead, planning management system</w:t>
      </w:r>
    </w:p>
    <w:p>
      <w:pPr>
        <w:pStyle w:val="ListParagraph"/>
        <w:numPr>
          <w:ilvl w:val="0"/>
          <w:numId w:val="2"/>
        </w:numPr>
        <w:spacing w:after="60"/>
      </w:pPr>
      <w:r>
        <w:rPr>
          <w:rFonts w:ascii="Arial" w:cs="Arial" w:eastAsia="Arial" w:hAnsi="Arial"/>
          <w:color w:val="161616"/>
          <w:sz w:val="22"/>
          <w:szCs w:val="22"/>
        </w:rPr>
        <w:t xml:space="preserve">Koen Koolaard - Investment team lead, budget distribution/quarter close</w:t>
      </w:r>
    </w:p>
    <w:p>
      <w:pPr>
        <w:pStyle w:val="ListParagraph"/>
        <w:numPr>
          <w:ilvl w:val="0"/>
          <w:numId w:val="2"/>
        </w:numPr>
        <w:spacing w:after="60"/>
      </w:pPr>
      <w:r>
        <w:rPr>
          <w:rFonts w:ascii="Arial" w:cs="Arial" w:eastAsia="Arial" w:hAnsi="Arial"/>
          <w:color w:val="161616"/>
          <w:sz w:val="22"/>
          <w:szCs w:val="22"/>
        </w:rPr>
        <w:t xml:space="preserve">Mark Mills - Data/analytics, Uptempo administration</w:t>
      </w:r>
    </w:p>
    <w:p>
      <w:pPr>
        <w:pStyle w:val="ListParagraph"/>
        <w:numPr>
          <w:ilvl w:val="0"/>
          <w:numId w:val="2"/>
        </w:numPr>
        <w:spacing w:after="60"/>
      </w:pPr>
      <w:r>
        <w:rPr>
          <w:rFonts w:ascii="Arial" w:cs="Arial" w:eastAsia="Arial" w:hAnsi="Arial"/>
          <w:color w:val="161616"/>
          <w:sz w:val="22"/>
          <w:szCs w:val="22"/>
        </w:rPr>
        <w:t xml:space="preserve">Karsten Stracke - Process optimization, IX liaison</w:t>
      </w:r>
    </w:p>
    <w:p>
      <w:pPr>
        <w:pStyle w:val="ListParagraph"/>
        <w:numPr>
          <w:ilvl w:val="0"/>
          <w:numId w:val="2"/>
        </w:numPr>
        <w:spacing w:after="60"/>
      </w:pPr>
      <w:r>
        <w:rPr>
          <w:rFonts w:ascii="Arial" w:cs="Arial" w:eastAsia="Arial" w:hAnsi="Arial"/>
          <w:color w:val="161616"/>
          <w:sz w:val="22"/>
          <w:szCs w:val="22"/>
        </w:rPr>
        <w:t xml:space="preserve">Functional marketing leaders (8 teams) - Budget recipients and tactic planners</w:t>
      </w:r>
    </w:p>
    <w:p>
      <w:pPr>
        <w:pStyle w:val="ListParagraph"/>
        <w:numPr>
          <w:ilvl w:val="0"/>
          <w:numId w:val="2"/>
        </w:numPr>
        <w:spacing w:after="60"/>
      </w:pPr>
      <w:r>
        <w:rPr>
          <w:rFonts w:ascii="Arial" w:cs="Arial" w:eastAsia="Arial" w:hAnsi="Arial"/>
          <w:color w:val="161616"/>
          <w:sz w:val="22"/>
          <w:szCs w:val="22"/>
        </w:rPr>
        <w:t xml:space="preserve">Finance - Budget interlock and forecast reconciliation</w:t>
      </w:r>
    </w:p>
    <w:p>
      <w:pPr>
        <w:pStyle w:val="ListParagraph"/>
        <w:numPr>
          <w:ilvl w:val="0"/>
          <w:numId w:val="2"/>
        </w:numPr>
        <w:spacing w:after="60"/>
      </w:pPr>
      <w:r>
        <w:rPr>
          <w:rFonts w:ascii="Arial" w:cs="Arial" w:eastAsia="Arial" w:hAnsi="Arial"/>
          <w:color w:val="161616"/>
          <w:sz w:val="22"/>
          <w:szCs w:val="22"/>
        </w:rPr>
        <w:t xml:space="preserve">David Bush - Referenced as co-driver of decision optimization vision</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Who are the specific functional leaders who make tactic allocation decisions? How many are there?</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3"/>
        </w:numPr>
        <w:spacing w:after="60"/>
      </w:pPr>
      <w:r>
        <w:rPr>
          <w:rFonts w:ascii="Arial" w:cs="Arial" w:eastAsia="Arial" w:hAnsi="Arial"/>
          <w:b/>
          <w:bCs/>
          <w:color w:val="161616"/>
          <w:sz w:val="22"/>
          <w:szCs w:val="22"/>
        </w:rPr>
        <w:t xml:space="preserve">Step 1 - Strategy &amp; Priority Setting: </w:t>
      </w:r>
      <w:r>
        <w:rPr>
          <w:rFonts w:ascii="Arial" w:cs="Arial" w:eastAsia="Arial" w:hAnsi="Arial"/>
          <w:color w:val="161616"/>
          <w:sz w:val="22"/>
          <w:szCs w:val="22"/>
        </w:rPr>
        <w:t xml:space="preserve">Product marketing and CMO office define priority products, messaging, and market focus for the quarter. Performed by: Jill, Priscilla (product marketing leaders, per Paul). System: Manual. Handoff: Priority guidance issued to markets/functions.</w:t>
      </w:r>
    </w:p>
    <w:p>
      <w:pPr>
        <w:pStyle w:val="ListParagraph"/>
        <w:numPr>
          <w:ilvl w:val="0"/>
          <w:numId w:val="3"/>
        </w:numPr>
        <w:spacing w:after="60"/>
      </w:pPr>
      <w:r>
        <w:rPr>
          <w:rFonts w:ascii="Arial" w:cs="Arial" w:eastAsia="Arial" w:hAnsi="Arial"/>
          <w:b/>
          <w:bCs/>
          <w:color w:val="161616"/>
          <w:sz w:val="22"/>
          <w:szCs w:val="22"/>
        </w:rPr>
        <w:t xml:space="preserve">Step 2 - Budget Allocation: </w:t>
      </w:r>
      <w:r>
        <w:rPr>
          <w:rFonts w:ascii="Arial" w:cs="Arial" w:eastAsia="Arial" w:hAnsi="Arial"/>
          <w:color w:val="161616"/>
          <w:sz w:val="22"/>
          <w:szCs w:val="22"/>
        </w:rPr>
        <w:t xml:space="preserve">T&amp;O distributes budget to functional areas based on executive decisions and legacy allocation patterns. Performed by: Paul/Koen/investment team. System: Uptempo (spend module). Handoff: Budgets assigned to functions.</w:t>
      </w:r>
    </w:p>
    <w:p>
      <w:pPr>
        <w:pStyle w:val="ListParagraph"/>
        <w:numPr>
          <w:ilvl w:val="0"/>
          <w:numId w:val="3"/>
        </w:numPr>
        <w:spacing w:after="60"/>
      </w:pPr>
      <w:r>
        <w:rPr>
          <w:rFonts w:ascii="Arial" w:cs="Arial" w:eastAsia="Arial" w:hAnsi="Arial"/>
          <w:b/>
          <w:bCs/>
          <w:color w:val="161616"/>
          <w:sz w:val="22"/>
          <w:szCs w:val="22"/>
        </w:rPr>
        <w:t xml:space="preserve">Step 3 - Tactic Planning: </w:t>
      </w:r>
      <w:r>
        <w:rPr>
          <w:rFonts w:ascii="Arial" w:cs="Arial" w:eastAsia="Arial" w:hAnsi="Arial"/>
          <w:color w:val="161616"/>
          <w:sz w:val="22"/>
          <w:szCs w:val="22"/>
        </w:rPr>
        <w:t xml:space="preserve">Functional leaders enter their planned tactics (events, media, co-marketing, etc.) with metadata (product, country, etc.) into Uptempo's plan module. Performed by: Functional leaders/marketers. System: Uptempo (plan module). Handoff: Quarterly tactic plan created.</w:t>
      </w:r>
    </w:p>
    <w:p>
      <w:pPr>
        <w:pStyle w:val="ListParagraph"/>
        <w:numPr>
          <w:ilvl w:val="0"/>
          <w:numId w:val="3"/>
        </w:numPr>
        <w:spacing w:after="60"/>
      </w:pPr>
      <w:r>
        <w:rPr>
          <w:rFonts w:ascii="Arial" w:cs="Arial" w:eastAsia="Arial" w:hAnsi="Arial"/>
          <w:b/>
          <w:bCs/>
          <w:color w:val="161616"/>
          <w:sz w:val="22"/>
          <w:szCs w:val="22"/>
        </w:rPr>
        <w:t xml:space="preserve">Step 4 - Budget-Tactic Matching: </w:t>
      </w:r>
      <w:r>
        <w:rPr>
          <w:rFonts w:ascii="Arial" w:cs="Arial" w:eastAsia="Arial" w:hAnsi="Arial"/>
          <w:color w:val="161616"/>
          <w:sz w:val="22"/>
          <w:szCs w:val="22"/>
        </w:rPr>
        <w:t xml:space="preserve">Investment team connects tactics to funding sources and ensures spend aligns with budget guardrails. Performed by: Koen's team. System: Uptempo (spend module) + spreadsheets. Handoff: Funded plan ready for execution.</w:t>
      </w:r>
    </w:p>
    <w:p>
      <w:pPr>
        <w:pStyle w:val="ListParagraph"/>
        <w:numPr>
          <w:ilvl w:val="0"/>
          <w:numId w:val="3"/>
        </w:numPr>
        <w:spacing w:after="60"/>
      </w:pPr>
      <w:r>
        <w:rPr>
          <w:rFonts w:ascii="Arial" w:cs="Arial" w:eastAsia="Arial" w:hAnsi="Arial"/>
          <w:b/>
          <w:bCs/>
          <w:color w:val="161616"/>
          <w:sz w:val="22"/>
          <w:szCs w:val="22"/>
        </w:rPr>
        <w:t xml:space="preserve">Step 5 - Execution &amp; Monitoring: </w:t>
      </w:r>
      <w:r>
        <w:rPr>
          <w:rFonts w:ascii="Arial" w:cs="Arial" w:eastAsia="Arial" w:hAnsi="Arial"/>
          <w:color w:val="161616"/>
          <w:sz w:val="22"/>
          <w:szCs w:val="22"/>
        </w:rPr>
        <w:t xml:space="preserve">Tactics execute. T&amp;O monitors spend pacing, budget variance, and performance signals. Monthly/quarterly management reviews with leaders. Performed by: Sue's OPS team + investment team. System: Uptempo + EPM + spreadsheets. Handoff: Performance data feeds back.</w:t>
      </w:r>
    </w:p>
    <w:p>
      <w:pPr>
        <w:pStyle w:val="ListParagraph"/>
        <w:numPr>
          <w:ilvl w:val="0"/>
          <w:numId w:val="3"/>
        </w:numPr>
        <w:spacing w:after="60"/>
      </w:pPr>
      <w:r>
        <w:rPr>
          <w:rFonts w:ascii="Arial" w:cs="Arial" w:eastAsia="Arial" w:hAnsi="Arial"/>
          <w:b/>
          <w:bCs/>
          <w:color w:val="161616"/>
          <w:sz w:val="22"/>
          <w:szCs w:val="22"/>
        </w:rPr>
        <w:t xml:space="preserve">Step 6 - Quarter Close &amp; Reconciliation: </w:t>
      </w:r>
      <w:r>
        <w:rPr>
          <w:rFonts w:ascii="Arial" w:cs="Arial" w:eastAsia="Arial" w:hAnsi="Arial"/>
          <w:color w:val="161616"/>
          <w:sz w:val="22"/>
          <w:szCs w:val="22"/>
        </w:rPr>
        <w:t xml:space="preserve">Koen's team manages month-end/quarter-close: chasing invoices, managing accruals/deferrals, ensuring accounting compliance. Performed by: Investment team. System: Uptempo + SAP + EPM. Handoff: Quarter closed on budget.</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exact timeline for each step? How many days/weeks does tactic planning consume?</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individual tactics are planned per quarter across all functions?</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Uptempo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of record for planning, spend management, and budget tracking. Plan module and spend module.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IBM is #1 Uptempo customer. Achieved 0.01% budget variance over 6 quarters. $240M reallocated using platform.</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Spreadsheets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Scenario modeling, sensitive data, budget calculations, infrastructure-program balance.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Mark: 'The balance between infrastructure and program expense, that's all happening in spreadsheets today.'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 generation and financial transactions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Downstream of Uptempo; receives funded tactic data.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EPM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Financial reporting and forecasting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finishing stages of integration with Uptempo data.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IPA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Official planning tool for workforce/infrastructure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by Sue's team for infrastructure planning.</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current state of Uptempo's AI capabilities? Paul described a stalled $3M watsonx integration. What has Uptempo delivered since?</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data flows exist between Uptempo and Salesforce pipeline data?</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AI analyzes pipeline signals, historical tactic performance, and market conditions to recommend optimal budget allocation across tactics. Paul: 'We know 20 weeks in advance that Watson X Orchestrate is just not driving enough in particular segments.'</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AI automatically redistributes unspent budget to higher-performing tactics mid-cycle rather than waiting for manual quarterly reallocation.</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AI pre-validates tactic plans against budget guardrails, identifies overspend risk, and flags accounting compliance issues before quarter close. Koen's team is already building rules-based automation for this with IX and CIO.</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AI detects spend pacing anomalies, performance outliers, and budget variance early. Paul described wanting decisions 'based off of rules' for month-end/quarter-close.</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AI automates the manual spreadsheet-based scenario modeling for budget reallocation. Karsten identified 'budget planning copilot' and 'scenario planner' as parked AI opportunities from the IX exercise.</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AI generates management review materials and performance summaries for functional leaders.</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Program Budget Optimization Agent would sit on top of Uptempo's planning and spend data, combined with Salesforce pipeline signals and historical performance data, to: (1) recommend optimal tactic mix allocation within quarterly budget constraints based on predicted revenue impact rather than legacy patterns; (2) enable real-time scenario modeling when budget changes occur ('what if we shift $3M from events to media?'); and (3) proactively flag mid-cycle reallocation opportunities when pipeline signals indicate underperformance in certain segments. Human-in-the-loop: functional leaders review and approve AI recommendations; T&amp;O leadership validates optimization parameters.</w:t>
      </w:r>
    </w:p>
    <w:p>
      <w:pPr>
        <w:spacing w:before="200" w:after="100"/>
      </w:pPr>
      <w:r>
        <w:rPr>
          <w:rFonts w:ascii="Arial" w:cs="Arial" w:eastAsia="Arial" w:hAnsi="Arial"/>
          <w:b/>
          <w:bCs/>
          <w:color w:val="525252"/>
          <w:sz w:val="24"/>
          <w:szCs w:val="24"/>
        </w:rPr>
        <w:t xml:space="preserve">Conversational Refinement</w:t>
      </w:r>
    </w:p>
    <w:p>
      <w:pPr>
        <w:spacing w:after="120"/>
      </w:pPr>
      <w:r>
        <w:rPr>
          <w:rFonts w:ascii="Arial" w:cs="Arial" w:eastAsia="Arial" w:hAnsi="Arial"/>
          <w:color w:val="161616"/>
          <w:sz w:val="22"/>
          <w:szCs w:val="22"/>
        </w:rPr>
        <w:t xml:space="preserve">Strongly implied. Paul described wanting the system to proactively suggest: 'Don't do these 52 tactics. Do these 102 tactics. And we think you should do these 22 tactics with the budget that you've got.' This requires iterative, conversational interaction between the AI and marketers.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Budget allocation decisions rely on legacy patterns and leader judgment rather than data-driven optimization. Paul: leaders 'choose however they want to do something' without an optimization framework.</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 closed-loop connection between marketing strategy, tactic execution, and revenue attribution. Mairead Murphy identified this as the Achilles heel: 'We don't have the closed loop of how are we doing against that strategy.'</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T&amp;O supports 8 marketing teams, each operating as 'like little mini businesses within MCC' (Sue) with delegated budgets. Coordination is intensive and manual.</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Planning involves Uptempo, spreadsheets, SAP, EPM, and IPA. Budget-program balance calculations happen in spreadsheets despite Uptempo being the system of record.</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Monthly management reviews, quarterly planning cycles, and quarter-close processes consume significant T&amp;O bandwidth. Paul assigned Koen the public performance goal of 'automating monthly and quarterly close.'</w:t>
      </w:r>
    </w:p>
    <w:p>
      <w:pPr>
        <w:pStyle w:val="ListParagraph"/>
        <w:numPr>
          <w:ilvl w:val="0"/>
          <w:numId w:val="4"/>
        </w:numPr>
        <w:spacing w:after="60"/>
      </w:pPr>
      <w:r>
        <w:rPr>
          <w:rFonts w:ascii="Arial" w:cs="Arial" w:eastAsia="Arial" w:hAnsi="Arial"/>
          <w:b/>
          <w:bCs/>
          <w:color w:val="161616"/>
          <w:sz w:val="22"/>
          <w:szCs w:val="22"/>
        </w:rPr>
        <w:t xml:space="preserve">☐ Approval loops / routing delays: </w:t>
      </w:r>
      <w:r>
        <w:rPr>
          <w:rFonts w:ascii="Arial" w:cs="Arial" w:eastAsia="Arial" w:hAnsi="Arial"/>
          <w:color w:val="161616"/>
          <w:sz w:val="22"/>
          <w:szCs w:val="22"/>
        </w:rPr>
        <w:t xml:space="preserve">[NOT DISCUSSED specifically - recommend follow-up]</w:t>
      </w:r>
    </w:p>
    <w:p>
      <w:pPr>
        <w:pStyle w:val="ListParagraph"/>
        <w:numPr>
          <w:ilvl w:val="0"/>
          <w:numId w:val="4"/>
        </w:numPr>
        <w:spacing w:after="60"/>
      </w:pPr>
      <w:r>
        <w:rPr>
          <w:rFonts w:ascii="Arial" w:cs="Arial" w:eastAsia="Arial" w:hAnsi="Arial"/>
          <w:b/>
          <w:bCs/>
          <w:color w:val="161616"/>
          <w:sz w:val="22"/>
          <w:szCs w:val="22"/>
        </w:rPr>
        <w:t xml:space="preserve">☐ Version control confusion: </w:t>
      </w:r>
      <w:r>
        <w:rPr>
          <w:rFonts w:ascii="Arial" w:cs="Arial" w:eastAsia="Arial" w:hAnsi="Arial"/>
          <w:color w:val="161616"/>
          <w:sz w:val="22"/>
          <w:szCs w:val="22"/>
        </w:rPr>
        <w:t xml:space="preserve">[NOT DISCUSSED - recommend follow-up]</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[NOT DISCUSSED for budget specifically]</w:t>
      </w:r>
    </w:p>
    <w:p>
      <w:pPr>
        <w:pStyle w:val="ListParagraph"/>
        <w:numPr>
          <w:ilvl w:val="0"/>
          <w:numId w:val="4"/>
        </w:numPr>
        <w:spacing w:after="60"/>
      </w:pPr>
      <w:r>
        <w:rPr>
          <w:rFonts w:ascii="Arial" w:cs="Arial" w:eastAsia="Arial" w:hAnsi="Arial"/>
          <w:b/>
          <w:bCs/>
          <w:color w:val="161616"/>
          <w:sz w:val="22"/>
          <w:szCs w:val="22"/>
        </w:rPr>
        <w:t xml:space="preserve">☐ Translation / localization overload: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absence of data-driven budget optimization, resulting in allocation decisions based on historical precedent and leader preference rather than predicted revenue impact. Paul described this as 'the failure in what we've got': budgets are constrained to tactic categories rather than optimized against the best revenue-producing set of activities. Meanwhile, the manual scenario planning process (what Karsten described as 'a very lengthy and manual process') means that mid-cycle budget shifts are slow and labor-intensive. The organization has consolidated from fragmented country/BU budgets into one unified budget, creating the structural opportunity for cross-portfolio optimization, but the analytical tools to exploit that structure do not yet exist.</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This is not primarily an efficiency play; it is a revenue optimization play. David Gerken confirmed: 'The big outcomes are if you could save or optimize 3 million invested here versus there, that's going to outweigh any modest reduction in team time.' Even marginal improvement in allocation efficiency across MCC's full program budget would dwarf any headcount savings.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 Uptempo is deployed as the system of record but its AI capabilities have lagged (Paul's $3M watsonx deal stalled; Uptempo went OpenAI route against IBM's advice). The team plans to 'wrap AI around it.' EPM integration is in finishing stages. Pipeline data connection to Salesforce exists but optimization layer does not.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T&amp;O team of approximately 117 people (down from 300). Investment team (Koen's group), OPS team (Sue's group), and data/analytics (Mark's group) all touch budget processes.</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8 functional marketing teams who plan and execute tactics, plus finance interlock teams. Potentially 2,500 MCC employees affected by budget optimization outcomes.</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MCC's total annual program budget? What percentage is currently allocated based on legacy patterns vs. performance data?</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MCC has accomplished a critical structural prerequisite: consolidating fragmented country/BU budgets into one unified budget. The team has also deployed Uptempo as a mature system of record with a remarkable 0.01% budget variance over six quarters. However, these gains are about financial discipline, not optimization. As Paul stated, leaders still allocate based on 'legacy history' and personal judgment. The gap between budget management (which T&amp;O does well) and budget optimization (which requires AI) represents the single highest-value opportunity in this domain. Every quarter that budget flows to suboptimal tactics based on precedent rather than predicted performance is revenue left on the table. Koen's project with IX and CIO on quarter-close automation is already in progress, creating a foundation for this broader optimization capability.</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Very high reusability. The budget optimization pattern directly serves all 8 marketing teams T&amp;O supports. The scenario planning engine applies to any domain that manages budget allocation decisions. Cross-domain optimization (shifting budget between events, media, content, named accounts) is the explicit aspirational use case. The Uptempo-centric architecture means any optimization built here plugs into the existing system of record used enterprise-wide.</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Very high. Requires buy-in from all 8 functional marketing leaders to accept AI-optimized allocation recommendations over their own judgment. Paul acknowledged this is transformative: he envisions T&amp;O flipping to just 'two functional areas: a global influencer and developer of workflows, and a geo execution arm.' CIO engagement in progress via Koen's quarter-close project.</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Optimization layer on top of Uptempo: either Uptempo's native AI (if it matures), Anaplan integration, or custom-built optimization engine.</w:t>
      </w:r>
    </w:p>
    <w:p>
      <w:pPr>
        <w:pStyle w:val="ListParagraph"/>
        <w:numPr>
          <w:ilvl w:val="0"/>
          <w:numId w:val="2"/>
        </w:numPr>
        <w:spacing w:after="60"/>
      </w:pPr>
      <w:r>
        <w:rPr>
          <w:rFonts w:ascii="Arial" w:cs="Arial" w:eastAsia="Arial" w:hAnsi="Arial"/>
          <w:color w:val="161616"/>
          <w:sz w:val="22"/>
          <w:szCs w:val="22"/>
        </w:rPr>
        <w:t xml:space="preserve">Salesforce pipeline data integration for real-time performance signals feeding into allocation decisions.</w:t>
      </w:r>
    </w:p>
    <w:p>
      <w:pPr>
        <w:pStyle w:val="ListParagraph"/>
        <w:numPr>
          <w:ilvl w:val="0"/>
          <w:numId w:val="2"/>
        </w:numPr>
        <w:spacing w:after="60"/>
      </w:pPr>
      <w:r>
        <w:rPr>
          <w:rFonts w:ascii="Arial" w:cs="Arial" w:eastAsia="Arial" w:hAnsi="Arial"/>
          <w:color w:val="161616"/>
          <w:sz w:val="22"/>
          <w:szCs w:val="22"/>
        </w:rPr>
        <w:t xml:space="preserve">Scenario modeling capability: what-if analysis for budget reallocation across tactics and functions.</w:t>
      </w:r>
    </w:p>
    <w:p>
      <w:pPr>
        <w:pStyle w:val="ListParagraph"/>
        <w:numPr>
          <w:ilvl w:val="0"/>
          <w:numId w:val="2"/>
        </w:numPr>
        <w:spacing w:after="60"/>
      </w:pPr>
      <w:r>
        <w:rPr>
          <w:rFonts w:ascii="Arial" w:cs="Arial" w:eastAsia="Arial" w:hAnsi="Arial"/>
          <w:color w:val="161616"/>
          <w:sz w:val="22"/>
          <w:szCs w:val="22"/>
        </w:rPr>
        <w:t xml:space="preserve">Automated quarter-close rules engine (already in development with IX and CIO).</w:t>
      </w:r>
    </w:p>
    <w:p>
      <w:pPr>
        <w:pStyle w:val="ListParagraph"/>
        <w:numPr>
          <w:ilvl w:val="0"/>
          <w:numId w:val="2"/>
        </w:numPr>
        <w:spacing w:after="60"/>
      </w:pPr>
      <w:r>
        <w:rPr>
          <w:rFonts w:ascii="Arial" w:cs="Arial" w:eastAsia="Arial" w:hAnsi="Arial"/>
          <w:color w:val="161616"/>
          <w:sz w:val="22"/>
          <w:szCs w:val="22"/>
        </w:rPr>
        <w:t xml:space="preserve">EPM integration completion for closed-loop reporting.</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Uptempo AI roadmap assessment: what has shipped since Paul's stalled $3M deal?</w:t>
      </w:r>
    </w:p>
    <w:p>
      <w:pPr>
        <w:pStyle w:val="ListParagraph"/>
        <w:numPr>
          <w:ilvl w:val="0"/>
          <w:numId w:val="2"/>
        </w:numPr>
        <w:spacing w:after="60"/>
      </w:pPr>
      <w:r>
        <w:rPr>
          <w:rFonts w:ascii="Arial" w:cs="Arial" w:eastAsia="Arial" w:hAnsi="Arial"/>
          <w:color w:val="161616"/>
          <w:sz w:val="22"/>
          <w:szCs w:val="22"/>
        </w:rPr>
        <w:t xml:space="preserve">Vendor landscape around Uptempo: Anaplan, Planful, Pigment as complementary layers.</w:t>
      </w:r>
    </w:p>
    <w:p>
      <w:pPr>
        <w:pStyle w:val="ListParagraph"/>
        <w:numPr>
          <w:ilvl w:val="0"/>
          <w:numId w:val="2"/>
        </w:numPr>
        <w:spacing w:after="60"/>
      </w:pPr>
      <w:r>
        <w:rPr>
          <w:rFonts w:ascii="Arial" w:cs="Arial" w:eastAsia="Arial" w:hAnsi="Arial"/>
          <w:color w:val="161616"/>
          <w:sz w:val="22"/>
          <w:szCs w:val="22"/>
        </w:rPr>
        <w:t xml:space="preserve">Paul committed to providing a resource under Mark Mills for detailed Uptempo technical review.</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Uptempo AI maturity: Paul's $3M watsonx integration stalled. Uptempo went OpenAI route, limiting use by B2B tech companies. IBM plans to 'wrap AI around it' independently.</w:t>
      </w:r>
    </w:p>
    <w:p>
      <w:pPr>
        <w:pStyle w:val="ListParagraph"/>
        <w:numPr>
          <w:ilvl w:val="0"/>
          <w:numId w:val="2"/>
        </w:numPr>
        <w:spacing w:after="60"/>
      </w:pPr>
      <w:r>
        <w:rPr>
          <w:rFonts w:ascii="Arial" w:cs="Arial" w:eastAsia="Arial" w:hAnsi="Arial"/>
          <w:color w:val="161616"/>
          <w:sz w:val="22"/>
          <w:szCs w:val="22"/>
        </w:rPr>
        <w:t xml:space="preserve">Pipeline data quality: Optimization requires reliable Salesforce pipeline data connected to tactic performance.</w:t>
      </w:r>
    </w:p>
    <w:p>
      <w:pPr>
        <w:pStyle w:val="ListParagraph"/>
        <w:numPr>
          <w:ilvl w:val="0"/>
          <w:numId w:val="2"/>
        </w:numPr>
        <w:spacing w:after="60"/>
      </w:pPr>
      <w:r>
        <w:rPr>
          <w:rFonts w:ascii="Arial" w:cs="Arial" w:eastAsia="Arial" w:hAnsi="Arial"/>
          <w:color w:val="161616"/>
          <w:sz w:val="22"/>
          <w:szCs w:val="22"/>
        </w:rPr>
        <w:t xml:space="preserve">Leader adoption: Functional leaders must accept AI-driven recommendations. This is a cultural shift from 'leaders choosing however they want' to 'agents optimizing the tactic mix.'</w:t>
      </w:r>
    </w:p>
    <w:p>
      <w:pPr>
        <w:pStyle w:val="ListParagraph"/>
        <w:numPr>
          <w:ilvl w:val="0"/>
          <w:numId w:val="2"/>
        </w:numPr>
        <w:spacing w:after="60"/>
      </w:pPr>
      <w:r>
        <w:rPr>
          <w:rFonts w:ascii="Arial" w:cs="Arial" w:eastAsia="Arial" w:hAnsi="Arial"/>
          <w:color w:val="161616"/>
          <w:sz w:val="22"/>
          <w:szCs w:val="22"/>
        </w:rPr>
        <w:t xml:space="preserve">CIO engagement: In progress via Koen's quarter-close project. Must extend to the broader optimization capability.</w:t>
      </w:r>
    </w:p>
    <w:p>
      <w:pPr>
        <w:pStyle w:val="ListParagraph"/>
        <w:numPr>
          <w:ilvl w:val="0"/>
          <w:numId w:val="2"/>
        </w:numPr>
        <w:spacing w:after="60"/>
      </w:pPr>
      <w:r>
        <w:rPr>
          <w:rFonts w:ascii="Arial" w:cs="Arial" w:eastAsia="Arial" w:hAnsi="Arial"/>
          <w:color w:val="161616"/>
          <w:sz w:val="22"/>
          <w:szCs w:val="22"/>
        </w:rPr>
        <w:t xml:space="preserve">Finance interlock: Budget processes depend on finance collaboration. Any AI must align with corporate financial systems.</w:t>
      </w:r>
    </w:p>
    <w:p>
      <w:pPr>
        <w:pStyle w:val="ListParagraph"/>
        <w:numPr>
          <w:ilvl w:val="0"/>
          <w:numId w:val="2"/>
        </w:numPr>
        <w:spacing w:after="60"/>
      </w:pPr>
      <w:r>
        <w:rPr>
          <w:rFonts w:ascii="Arial" w:cs="Arial" w:eastAsia="Arial" w:hAnsi="Arial"/>
          <w:color w:val="161616"/>
          <w:sz w:val="22"/>
          <w:szCs w:val="22"/>
        </w:rPr>
        <w:t xml:space="preserve">Organizational complexity: 8 teams operating as 'mini PNLs' with delegated budget authority. Optimization cuts across all of them.</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What is the realistic path to getting Uptempo AI capabilities usable without OpenAI? Can watsonx integration be revived?</w:t>
      </w:r>
    </w:p>
    <w:p>
      <w:pPr>
        <w:pStyle w:val="ListParagraph"/>
        <w:numPr>
          <w:ilvl w:val="0"/>
          <w:numId w:val="2"/>
        </w:numPr>
        <w:spacing w:after="60"/>
      </w:pPr>
      <w:r>
        <w:rPr>
          <w:rFonts w:ascii="Arial" w:cs="Arial" w:eastAsia="Arial" w:hAnsi="Arial"/>
          <w:color w:val="161616"/>
          <w:sz w:val="22"/>
          <w:szCs w:val="22"/>
        </w:rPr>
        <w:t xml:space="preserve">Should the optimization engine sit inside Uptempo or as an independent layer on top of it?</w:t>
      </w:r>
    </w:p>
    <w:p>
      <w:pPr>
        <w:pStyle w:val="ListParagraph"/>
        <w:numPr>
          <w:ilvl w:val="0"/>
          <w:numId w:val="2"/>
        </w:numPr>
        <w:spacing w:after="60"/>
      </w:pPr>
      <w:r>
        <w:rPr>
          <w:rFonts w:ascii="Arial" w:cs="Arial" w:eastAsia="Arial" w:hAnsi="Arial"/>
          <w:color w:val="161616"/>
          <w:sz w:val="22"/>
          <w:szCs w:val="22"/>
        </w:rPr>
        <w:t xml:space="preserve">How do we measure the ROI of better allocation? What baseline exists for current tactic performance by function?</w:t>
      </w:r>
    </w:p>
    <w:p>
      <w:pPr>
        <w:pStyle w:val="ListParagraph"/>
        <w:numPr>
          <w:ilvl w:val="0"/>
          <w:numId w:val="2"/>
        </w:numPr>
        <w:spacing w:after="60"/>
      </w:pPr>
      <w:r>
        <w:rPr>
          <w:rFonts w:ascii="Arial" w:cs="Arial" w:eastAsia="Arial" w:hAnsi="Arial"/>
          <w:color w:val="161616"/>
          <w:sz w:val="22"/>
          <w:szCs w:val="22"/>
        </w:rPr>
        <w:t xml:space="preserve">How does this connect to the paid media optimization workflow being discussed with that domain?</w:t>
      </w:r>
    </w:p>
    <w:p>
      <w:pPr>
        <w:pStyle w:val="ListParagraph"/>
        <w:numPr>
          <w:ilvl w:val="0"/>
          <w:numId w:val="2"/>
        </w:numPr>
        <w:spacing w:after="60"/>
      </w:pPr>
      <w:r>
        <w:rPr>
          <w:rFonts w:ascii="Arial" w:cs="Arial" w:eastAsia="Arial" w:hAnsi="Arial"/>
          <w:color w:val="161616"/>
          <w:sz w:val="22"/>
          <w:szCs w:val="22"/>
        </w:rPr>
        <w:t xml:space="preserve">How does this connect to the events portfolio optimization being discussed with the events domain?</w:t>
      </w:r>
    </w:p>
    <w:p>
      <w:pPr>
        <w:pStyle w:val="ListParagraph"/>
        <w:numPr>
          <w:ilvl w:val="0"/>
          <w:numId w:val="2"/>
        </w:numPr>
        <w:spacing w:after="60"/>
      </w:pPr>
      <w:r>
        <w:rPr>
          <w:rFonts w:ascii="Arial" w:cs="Arial" w:eastAsia="Arial" w:hAnsi="Arial"/>
          <w:color w:val="161616"/>
          <w:sz w:val="22"/>
          <w:szCs w:val="22"/>
        </w:rPr>
        <w:t xml:space="preserve">What is the change management plan for moving leaders from judgment-based to AI-recommended allocation?</w:t>
      </w:r>
    </w:p>
    <w:p>
      <w:r>
        <w:br w:type="page"/>
      </w:r>
    </w:p>
    <w:p>
      <w:pPr>
        <w:pStyle w:val="Heading1"/>
        <w:spacing w:before="360" w:after="200"/>
      </w:pPr>
      <w:r>
        <w:rPr>
          <w:rFonts w:ascii="Arial" w:cs="Arial" w:eastAsia="Arial" w:hAnsi="Arial"/>
          <w:b/>
          <w:bCs/>
          <w:color w:val="0F62FE"/>
          <w:sz w:val="36"/>
          <w:szCs w:val="36"/>
        </w:rPr>
        <w:t xml:space="preserve">WORKFLOW 2: Infrastructure Budget &amp; Workforce Planning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MCC Infrastructure Budget &amp; Workforce Planning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integrates workforce strategy data (headcount plans, banding pyramids, high/low cost ratios, resource actions, backfills) with infrastructure budget forecasting to provide a unified planning view, scenario modeling, and automated forecast generation, replacing the current spreadsheet-dependent process. It serves T&amp;O operations, HR interlock, finance, and MCC leadership.</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Operational efficiency and compliance adherence. The infrastructure budget covers all people costs (health care, taxes, real estate charges), Innovation Studio real estate ($30-34M), and tech charges for approximately 2,500 MCC employees distributed across approximately 60 countries. Currently, all sensitive workforce planning data exists exclusively in spreadsheets with no common tool for authorized access. Mark Mills identified this as the major pain point: critical planning information 'that is critical to all of our planning, we don't have a place to put it.' The workforce strategy determines the infrastructure budget, which determines how much remains for the program budget, making this foundational to all downstream planning.</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Annual/semi-annual workforce strategy changes from executive leadership. Koen described strategy 'changing all the time' with shifts to high/low cost ratios, band restructuring, or headcount targets.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Quarterly forecast cycles requiring infrastructure budget projections.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Ad hoc resource actions (exits, backfills, promotions, transfers) requiring plan updates.</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Mark Mills - Data/analytics lead, workforce planning data owner</w:t>
      </w:r>
    </w:p>
    <w:p>
      <w:pPr>
        <w:pStyle w:val="ListParagraph"/>
        <w:numPr>
          <w:ilvl w:val="0"/>
          <w:numId w:val="2"/>
        </w:numPr>
        <w:spacing w:after="60"/>
      </w:pPr>
      <w:r>
        <w:rPr>
          <w:rFonts w:ascii="Arial" w:cs="Arial" w:eastAsia="Arial" w:hAnsi="Arial"/>
          <w:color w:val="161616"/>
          <w:sz w:val="22"/>
          <w:szCs w:val="22"/>
        </w:rPr>
        <w:t xml:space="preserve">Sue Takhar - Operations lead, workforce strategy execution</w:t>
      </w:r>
    </w:p>
    <w:p>
      <w:pPr>
        <w:pStyle w:val="ListParagraph"/>
        <w:numPr>
          <w:ilvl w:val="0"/>
          <w:numId w:val="2"/>
        </w:numPr>
        <w:spacing w:after="60"/>
      </w:pPr>
      <w:r>
        <w:rPr>
          <w:rFonts w:ascii="Arial" w:cs="Arial" w:eastAsia="Arial" w:hAnsi="Arial"/>
          <w:color w:val="161616"/>
          <w:sz w:val="22"/>
          <w:szCs w:val="22"/>
        </w:rPr>
        <w:t xml:space="preserve">Paul Ambraz - T&amp;O VP, strategy direction</w:t>
      </w:r>
    </w:p>
    <w:p>
      <w:pPr>
        <w:pStyle w:val="ListParagraph"/>
        <w:numPr>
          <w:ilvl w:val="0"/>
          <w:numId w:val="2"/>
        </w:numPr>
        <w:spacing w:after="60"/>
      </w:pPr>
      <w:r>
        <w:rPr>
          <w:rFonts w:ascii="Arial" w:cs="Arial" w:eastAsia="Arial" w:hAnsi="Arial"/>
          <w:color w:val="161616"/>
          <w:sz w:val="22"/>
          <w:szCs w:val="22"/>
        </w:rPr>
        <w:t xml:space="preserve">Koen Koolaard - Investment team, infrastructure-program budget interlock</w:t>
      </w:r>
    </w:p>
    <w:p>
      <w:pPr>
        <w:pStyle w:val="ListParagraph"/>
        <w:numPr>
          <w:ilvl w:val="0"/>
          <w:numId w:val="2"/>
        </w:numPr>
        <w:spacing w:after="60"/>
      </w:pPr>
      <w:r>
        <w:rPr>
          <w:rFonts w:ascii="Arial" w:cs="Arial" w:eastAsia="Arial" w:hAnsi="Arial"/>
          <w:color w:val="161616"/>
          <w:sz w:val="22"/>
          <w:szCs w:val="22"/>
        </w:rPr>
        <w:t xml:space="preserve">HR - Workforce strategy partner, hiring/exit processes</w:t>
      </w:r>
    </w:p>
    <w:p>
      <w:pPr>
        <w:pStyle w:val="ListParagraph"/>
        <w:numPr>
          <w:ilvl w:val="0"/>
          <w:numId w:val="2"/>
        </w:numPr>
        <w:spacing w:after="60"/>
      </w:pPr>
      <w:r>
        <w:rPr>
          <w:rFonts w:ascii="Arial" w:cs="Arial" w:eastAsia="Arial" w:hAnsi="Arial"/>
          <w:color w:val="161616"/>
          <w:sz w:val="22"/>
          <w:szCs w:val="22"/>
        </w:rPr>
        <w:t xml:space="preserve">Finance - Infrastructure forecast and budget reconciliation</w:t>
      </w:r>
    </w:p>
    <w:p>
      <w:pPr>
        <w:pStyle w:val="ListParagraph"/>
        <w:numPr>
          <w:ilvl w:val="0"/>
          <w:numId w:val="2"/>
        </w:numPr>
        <w:spacing w:after="60"/>
      </w:pPr>
      <w:r>
        <w:rPr>
          <w:rFonts w:ascii="Arial" w:cs="Arial" w:eastAsia="Arial" w:hAnsi="Arial"/>
          <w:color w:val="161616"/>
          <w:sz w:val="22"/>
          <w:szCs w:val="22"/>
        </w:rPr>
        <w:t xml:space="preserve">Functional leaders - Headcount plan owners for their teams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people on Sue's OPS team directly work on workforce planning?</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specific breakdown of infrastructure budget categories and their relative sizes?</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5"/>
        </w:numPr>
        <w:spacing w:after="60"/>
      </w:pPr>
      <w:r>
        <w:rPr>
          <w:rFonts w:ascii="Arial" w:cs="Arial" w:eastAsia="Arial" w:hAnsi="Arial"/>
          <w:b/>
          <w:bCs/>
          <w:color w:val="161616"/>
          <w:sz w:val="22"/>
          <w:szCs w:val="22"/>
        </w:rPr>
        <w:t xml:space="preserve">Step 1 - Strategy Definition: </w:t>
      </w:r>
      <w:r>
        <w:rPr>
          <w:rFonts w:ascii="Arial" w:cs="Arial" w:eastAsia="Arial" w:hAnsi="Arial"/>
          <w:color w:val="161616"/>
          <w:sz w:val="22"/>
          <w:szCs w:val="22"/>
        </w:rPr>
        <w:t xml:space="preserve">Executive leadership defines workforce strategy: headcount targets, band pyramid goals, high/low cost location ratios, growth/reduction direction. Performed by: Jonathan (CMO) / HR / Paul. System: Manual. Handoff: Strategy parameters set.</w:t>
      </w:r>
    </w:p>
    <w:p>
      <w:pPr>
        <w:pStyle w:val="ListParagraph"/>
        <w:numPr>
          <w:ilvl w:val="0"/>
          <w:numId w:val="5"/>
        </w:numPr>
        <w:spacing w:after="60"/>
      </w:pPr>
      <w:r>
        <w:rPr>
          <w:rFonts w:ascii="Arial" w:cs="Arial" w:eastAsia="Arial" w:hAnsi="Arial"/>
          <w:b/>
          <w:bCs/>
          <w:color w:val="161616"/>
          <w:sz w:val="22"/>
          <w:szCs w:val="22"/>
        </w:rPr>
        <w:t xml:space="preserve">Step 2 - Plan Development: </w:t>
      </w:r>
      <w:r>
        <w:rPr>
          <w:rFonts w:ascii="Arial" w:cs="Arial" w:eastAsia="Arial" w:hAnsi="Arial"/>
          <w:color w:val="161616"/>
          <w:sz w:val="22"/>
          <w:szCs w:val="22"/>
        </w:rPr>
        <w:t xml:space="preserve">T&amp;O builds the workforce plan: who is coming in, who is going out, what the target organization looks like by country, band, and cost. Performed by: Sue's OPS team + Mark. System: Spreadsheets (no common tool). Handoff: Plan created (in spreadsheets).</w:t>
      </w:r>
    </w:p>
    <w:p>
      <w:pPr>
        <w:pStyle w:val="ListParagraph"/>
        <w:numPr>
          <w:ilvl w:val="0"/>
          <w:numId w:val="5"/>
        </w:numPr>
        <w:spacing w:after="60"/>
      </w:pPr>
      <w:r>
        <w:rPr>
          <w:rFonts w:ascii="Arial" w:cs="Arial" w:eastAsia="Arial" w:hAnsi="Arial"/>
          <w:b/>
          <w:bCs/>
          <w:color w:val="161616"/>
          <w:sz w:val="22"/>
          <w:szCs w:val="22"/>
        </w:rPr>
        <w:t xml:space="preserve">Step 3 - Infrastructure Budget Calculation: </w:t>
      </w:r>
      <w:r>
        <w:rPr>
          <w:rFonts w:ascii="Arial" w:cs="Arial" w:eastAsia="Arial" w:hAnsi="Arial"/>
          <w:color w:val="161616"/>
          <w:sz w:val="22"/>
          <w:szCs w:val="22"/>
        </w:rPr>
        <w:t xml:space="preserve">People cost + RISO (real estate) + Innovation Studios + tech charges = infrastructure budget. Balance with total budget determines program budget available. Performed by: Mark/Koen. System: Spreadsheets + IPA. Handoff: Infrastructure budget forecast.</w:t>
      </w:r>
    </w:p>
    <w:p>
      <w:pPr>
        <w:pStyle w:val="ListParagraph"/>
        <w:numPr>
          <w:ilvl w:val="0"/>
          <w:numId w:val="5"/>
        </w:numPr>
        <w:spacing w:after="60"/>
      </w:pPr>
      <w:r>
        <w:rPr>
          <w:rFonts w:ascii="Arial" w:cs="Arial" w:eastAsia="Arial" w:hAnsi="Arial"/>
          <w:b/>
          <w:bCs/>
          <w:color w:val="161616"/>
          <w:sz w:val="22"/>
          <w:szCs w:val="22"/>
        </w:rPr>
        <w:t xml:space="preserve">Step 4 - Finance Interlock: </w:t>
      </w:r>
      <w:r>
        <w:rPr>
          <w:rFonts w:ascii="Arial" w:cs="Arial" w:eastAsia="Arial" w:hAnsi="Arial"/>
          <w:color w:val="161616"/>
          <w:sz w:val="22"/>
          <w:szCs w:val="22"/>
        </w:rPr>
        <w:t xml:space="preserve">T&amp;O works with finance on forecast validation, ensuring infrastructure projections align with corporate financial systems. Performed by: Koen's team + Finance. System: EPM. Handoff: Forecast approved.</w:t>
      </w:r>
    </w:p>
    <w:p>
      <w:pPr>
        <w:pStyle w:val="ListParagraph"/>
        <w:numPr>
          <w:ilvl w:val="0"/>
          <w:numId w:val="5"/>
        </w:numPr>
        <w:spacing w:after="60"/>
      </w:pPr>
      <w:r>
        <w:rPr>
          <w:rFonts w:ascii="Arial" w:cs="Arial" w:eastAsia="Arial" w:hAnsi="Arial"/>
          <w:b/>
          <w:bCs/>
          <w:color w:val="161616"/>
          <w:sz w:val="22"/>
          <w:szCs w:val="22"/>
        </w:rPr>
        <w:t xml:space="preserve">Step 5 - Execution Monitoring: </w:t>
      </w:r>
      <w:r>
        <w:rPr>
          <w:rFonts w:ascii="Arial" w:cs="Arial" w:eastAsia="Arial" w:hAnsi="Arial"/>
          <w:color w:val="161616"/>
          <w:sz w:val="22"/>
          <w:szCs w:val="22"/>
        </w:rPr>
        <w:t xml:space="preserve">OPS team tracks actuals vs. plan: actual hiring, exits, promotions, band changes, location shifts. Regular touch-ins with functional leaders. Performed by: Sue's OPS team. System: IPA + spreadsheets. Handoff: Variance reports.</w:t>
      </w:r>
    </w:p>
    <w:p>
      <w:pPr>
        <w:pStyle w:val="ListParagraph"/>
        <w:numPr>
          <w:ilvl w:val="0"/>
          <w:numId w:val="5"/>
        </w:numPr>
        <w:spacing w:after="60"/>
      </w:pPr>
      <w:r>
        <w:rPr>
          <w:rFonts w:ascii="Arial" w:cs="Arial" w:eastAsia="Arial" w:hAnsi="Arial"/>
          <w:b/>
          <w:bCs/>
          <w:color w:val="161616"/>
          <w:sz w:val="22"/>
          <w:szCs w:val="22"/>
        </w:rPr>
        <w:t xml:space="preserve">Step 6 - Reforecast &amp; Adjustment: </w:t>
      </w:r>
      <w:r>
        <w:rPr>
          <w:rFonts w:ascii="Arial" w:cs="Arial" w:eastAsia="Arial" w:hAnsi="Arial"/>
          <w:color w:val="161616"/>
          <w:sz w:val="22"/>
          <w:szCs w:val="22"/>
        </w:rPr>
        <w:t xml:space="preserve">When strategy changes mid-cycle, the entire workforce plan and infrastructure budget must be recalculated. This is described as 'extremely labor intensive.' Performed by: OPS team + Mark. System: Spreadsheets. Handoff: Updated plan.</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frequently does the workforce plan change mid-cycle? Monthly? Quarterly?</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are the specific labor law considerations across the 60 countries that affect planning?</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Spreadsheets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Primary tool for sensitive workforce planning data, scenario modeling, and infrastructure-program balance calculations.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Major pain point: 'all in spreadsheets' with no common authorized-access tool.</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IPA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Official IBM planning tool for infrastructure forecasting.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Used by Sue's team but does not handle sensitive workforce data.</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EPM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Financial reporting and forecast reconciliation.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 finishing stages of integration. Used for finance interlock.</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Uptempo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System of record for program budget (not infrastructure).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Infrastructure budget outcome determines available program budget.</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HR Systems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Source of actuals: headcount, bands, locations, costs.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Actuals are available; plans and sensitive data are not in a common system.</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Can IPA handle sensitive personal information (SPI) with appropriate access controls, or is a new tool needed?</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AI models the impact of workforce strategy changes on infrastructure budget. Koen described this as the highest labor area: 'if you have 2,500 people distributed over 60 countries with different labor laws, when you want to exit them they happen on different times.'</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AI automates the manual spreadsheet calculations that translate workforce plans into infrastructure budget forecasts, replacing the current multi-day manual process.</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AI flags workforce plan scenarios that would violate labor laws, exceed budget guardrails, or create critical role gaps.</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AI detects deviations between planned and actual workforce changes, flagging variance early.</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AI coordinates data flows between workforce plans, IPA, EPM, and Uptempo automatically.</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AI generates workforce planning summaries for leadership reviews showing scenario impacts.</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Infrastructure Budget &amp; Workforce Planning Agent would provide a secure, AI-enabled platform that: (1) centralizes sensitive workforce planning data currently trapped in spreadsheets; (2) automatically calculates infrastructure budget impacts of workforce strategy changes (headcount shifts, band restructuring, high/low cost location changes); (3) enables scenario modeling ('what if we reduce US headcount by 15% and backfill in India?'); and (4) generates infrastructure forecasts that automatically feed into Uptempo to determine available program budget. Human-in-the-loop: leadership approves workforce strategy parameters; Sue's OPS team validates plan outputs; finance approves forecasts.</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The dominant pain point. All workforce plans and sensitive calculations live in spreadsheets. Mark: 'We don't have a place to store it other than spreadsheets.' Infrastructure-program budget balance calculations are entirely manual.</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Authorized stakeholders cannot access planning data in context. Mark: 'We need it in a common place that everybody authorized can see it in the right context.'</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Workforce planning requires coordination between OPS, HR, finance, and functional leaders. Sue: 'We collaborate with other teams to get this work done.' Strategy changes from leadership cascade through all of them.</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Planning data spans spreadsheets, IPA, EPM, and Uptempo with no integration between workforce plans and budget systems.</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With 2,500 people across 60 countries and constantly shifting strategies, tracking actuals vs. plan is extremely labor intensive.</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[NOT DISCUSSED specifically for workforce but implied by labor law complexity]</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complete absence of a common, secure tool for workforce planning data. Mark Mills described this as 'the major pain point' and the first thing he wanted to flag. Sensitive information about resource actions, hiring plans, band restructuring, and cost modeling exists only in spreadsheets, which cannot be fed into any AI or analytical system. This blocks the entire chain: without structured workforce data, infrastructure budgets are calculated manually, which means the program budget balance is also manual, which means downstream tactic planning in Uptempo operates without accurate visibility into available budget. The problem is compounded by constant strategy changes from leadership and the complexity of 2,500 people across 60 countries with different labor laws, making every reforecast a multi-day manual exercise.</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HIGH. Foundational to all other T&amp;O planning. The infrastructure budget determines program budget availability, which determines all downstream marketing investment. Inaccurate or slow workforce planning cascades to suboptimal budget allocation across the entire organization.</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MEDIUM-LOW. The core challenge is not AI sophistication but data infrastructure: there is no common, secure platform for sensitive workforce data. Before AI can optimize, the data must be centralized. This is a prerequisite problem.</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Sue's OPS team (size unspecified), Mark Mills' analytics team, Koen's investment team for budget interlock.</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8 functional leaders who own headcount plans, HR, finance, and ultimately all 2,500 MCC employees whose roles are affected by workforce strategy.</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FTEs directly work on workforce planning in OPS?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hours per reforecast cycle does the manual spreadsheet process consume?</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T&amp;O has reduced from 300 to 117 people while managing the same scope. Paul acknowledged: 'We've optimized significantly and we are going to do more.' But the team cannot optimize further without structured data. Mark Mills stated that without a common workforce planning tool, they cannot 'feed it into an AI agentic system or anything.' Meanwhile, strategy changes from leadership are constant, each requiring manual recalculation of workforce plans, infrastructure budgets, and program budget availability across 60 countries. Every reforecast that takes days instead of hours delays downstream planning and decision-making for all 8 marketing teams. This is the infrastructure layer that must be in place before Workflow 1 (program budget optimization) can be fully effective.</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Medium-high reusability. The workforce planning data platform would serve any MCC function that manages headcount. The scenario modeling pattern (impact of headcount changes on budget) applies broadly. The infrastructure-to-program budget cascade logic benefits every team planning marketing tactics. Any IBM business unit with similar planning challenges could adopt the pattern.</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High. Requires HR partnership for data access, legal/compliance review for SPI handling, finance alignment for forecast integration, and CIO for platform selection/build.</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Secure workforce planning data platform with role-based access controls for SPI.</w:t>
      </w:r>
    </w:p>
    <w:p>
      <w:pPr>
        <w:pStyle w:val="ListParagraph"/>
        <w:numPr>
          <w:ilvl w:val="0"/>
          <w:numId w:val="2"/>
        </w:numPr>
        <w:spacing w:after="60"/>
      </w:pPr>
      <w:r>
        <w:rPr>
          <w:rFonts w:ascii="Arial" w:cs="Arial" w:eastAsia="Arial" w:hAnsi="Arial"/>
          <w:color w:val="161616"/>
          <w:sz w:val="22"/>
          <w:szCs w:val="22"/>
        </w:rPr>
        <w:t xml:space="preserve">Automated infrastructure budget calculation engine.</w:t>
      </w:r>
    </w:p>
    <w:p>
      <w:pPr>
        <w:pStyle w:val="ListParagraph"/>
        <w:numPr>
          <w:ilvl w:val="0"/>
          <w:numId w:val="2"/>
        </w:numPr>
        <w:spacing w:after="60"/>
      </w:pPr>
      <w:r>
        <w:rPr>
          <w:rFonts w:ascii="Arial" w:cs="Arial" w:eastAsia="Arial" w:hAnsi="Arial"/>
          <w:color w:val="161616"/>
          <w:sz w:val="22"/>
          <w:szCs w:val="22"/>
        </w:rPr>
        <w:t xml:space="preserve">Scenario modeling capability for workforce strategy changes.</w:t>
      </w:r>
    </w:p>
    <w:p>
      <w:pPr>
        <w:pStyle w:val="ListParagraph"/>
        <w:numPr>
          <w:ilvl w:val="0"/>
          <w:numId w:val="2"/>
        </w:numPr>
        <w:spacing w:after="60"/>
      </w:pPr>
      <w:r>
        <w:rPr>
          <w:rFonts w:ascii="Arial" w:cs="Arial" w:eastAsia="Arial" w:hAnsi="Arial"/>
          <w:color w:val="161616"/>
          <w:sz w:val="22"/>
          <w:szCs w:val="22"/>
        </w:rPr>
        <w:t xml:space="preserve">Integration layer: IPA to new platform to EPM to Uptempo.</w:t>
      </w:r>
    </w:p>
    <w:p>
      <w:pPr>
        <w:pStyle w:val="ListParagraph"/>
        <w:numPr>
          <w:ilvl w:val="0"/>
          <w:numId w:val="2"/>
        </w:numPr>
        <w:spacing w:after="60"/>
      </w:pPr>
      <w:r>
        <w:rPr>
          <w:rFonts w:ascii="Arial" w:cs="Arial" w:eastAsia="Arial" w:hAnsi="Arial"/>
          <w:color w:val="161616"/>
          <w:sz w:val="22"/>
          <w:szCs w:val="22"/>
        </w:rPr>
        <w:t xml:space="preserve">Labor law rules engine for multi-country resource action planning.</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Can IPA be extended to handle SPI, or is a new platform needed?</w:t>
      </w:r>
    </w:p>
    <w:p>
      <w:pPr>
        <w:pStyle w:val="ListParagraph"/>
        <w:numPr>
          <w:ilvl w:val="0"/>
          <w:numId w:val="2"/>
        </w:numPr>
        <w:spacing w:after="60"/>
      </w:pPr>
      <w:r>
        <w:rPr>
          <w:rFonts w:ascii="Arial" w:cs="Arial" w:eastAsia="Arial" w:hAnsi="Arial"/>
          <w:color w:val="161616"/>
          <w:sz w:val="22"/>
          <w:szCs w:val="22"/>
        </w:rPr>
        <w:t xml:space="preserve">What are the specific SPI data elements required and their security classification?</w:t>
      </w:r>
    </w:p>
    <w:p>
      <w:pPr>
        <w:pStyle w:val="ListParagraph"/>
        <w:numPr>
          <w:ilvl w:val="0"/>
          <w:numId w:val="2"/>
        </w:numPr>
        <w:spacing w:after="60"/>
      </w:pPr>
      <w:r>
        <w:rPr>
          <w:rFonts w:ascii="Arial" w:cs="Arial" w:eastAsia="Arial" w:hAnsi="Arial"/>
          <w:color w:val="161616"/>
          <w:sz w:val="22"/>
          <w:szCs w:val="22"/>
        </w:rPr>
        <w:t xml:space="preserve">Paul committed to providing a resource under Mark Mills for detailed technical review.</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SPI data security: Workforce planning data is highly sensitive. Any platform must meet IBM security standards for personal information.</w:t>
      </w:r>
    </w:p>
    <w:p>
      <w:pPr>
        <w:pStyle w:val="ListParagraph"/>
        <w:numPr>
          <w:ilvl w:val="0"/>
          <w:numId w:val="2"/>
        </w:numPr>
        <w:spacing w:after="60"/>
      </w:pPr>
      <w:r>
        <w:rPr>
          <w:rFonts w:ascii="Arial" w:cs="Arial" w:eastAsia="Arial" w:hAnsi="Arial"/>
          <w:color w:val="161616"/>
          <w:sz w:val="22"/>
          <w:szCs w:val="22"/>
        </w:rPr>
        <w:t xml:space="preserve">HR partnership: Workforce strategy is co-owned with HR. Any tool must integrate with HR processes and data.</w:t>
      </w:r>
    </w:p>
    <w:p>
      <w:pPr>
        <w:pStyle w:val="ListParagraph"/>
        <w:numPr>
          <w:ilvl w:val="0"/>
          <w:numId w:val="2"/>
        </w:numPr>
        <w:spacing w:after="60"/>
      </w:pPr>
      <w:r>
        <w:rPr>
          <w:rFonts w:ascii="Arial" w:cs="Arial" w:eastAsia="Arial" w:hAnsi="Arial"/>
          <w:color w:val="161616"/>
          <w:sz w:val="22"/>
          <w:szCs w:val="22"/>
        </w:rPr>
        <w:t xml:space="preserve">Finance systems: Infrastructure forecasts must flow into EPM and align with corporate financial reporting.</w:t>
      </w:r>
    </w:p>
    <w:p>
      <w:pPr>
        <w:pStyle w:val="ListParagraph"/>
        <w:numPr>
          <w:ilvl w:val="0"/>
          <w:numId w:val="2"/>
        </w:numPr>
        <w:spacing w:after="60"/>
      </w:pPr>
      <w:r>
        <w:rPr>
          <w:rFonts w:ascii="Arial" w:cs="Arial" w:eastAsia="Arial" w:hAnsi="Arial"/>
          <w:color w:val="161616"/>
          <w:sz w:val="22"/>
          <w:szCs w:val="22"/>
        </w:rPr>
        <w:t xml:space="preserve">Constantly shifting strategy: Executive-driven strategy changes are frequent and unpredictable, requiring flexible, rapid replanning.</w:t>
      </w:r>
    </w:p>
    <w:p>
      <w:pPr>
        <w:pStyle w:val="ListParagraph"/>
        <w:numPr>
          <w:ilvl w:val="0"/>
          <w:numId w:val="2"/>
        </w:numPr>
        <w:spacing w:after="60"/>
      </w:pPr>
      <w:r>
        <w:rPr>
          <w:rFonts w:ascii="Arial" w:cs="Arial" w:eastAsia="Arial" w:hAnsi="Arial"/>
          <w:color w:val="161616"/>
          <w:sz w:val="22"/>
          <w:szCs w:val="22"/>
        </w:rPr>
        <w:t xml:space="preserve">60-country labor law complexity: Any automation must account for different exit timelines, backfill requirements, and legal constraints by country.</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What is the timeline for solving the SPI data platform gap? Is this blocking other AI initiatives?</w:t>
      </w:r>
    </w:p>
    <w:p>
      <w:pPr>
        <w:pStyle w:val="ListParagraph"/>
        <w:numPr>
          <w:ilvl w:val="0"/>
          <w:numId w:val="2"/>
        </w:numPr>
        <w:spacing w:after="60"/>
      </w:pPr>
      <w:r>
        <w:rPr>
          <w:rFonts w:ascii="Arial" w:cs="Arial" w:eastAsia="Arial" w:hAnsi="Arial"/>
          <w:color w:val="161616"/>
          <w:sz w:val="22"/>
          <w:szCs w:val="22"/>
        </w:rPr>
        <w:t xml:space="preserve">Can Uptempo or IPA serve as the platform, or is a purpose-built tool needed?</w:t>
      </w:r>
    </w:p>
    <w:p>
      <w:pPr>
        <w:pStyle w:val="ListParagraph"/>
        <w:numPr>
          <w:ilvl w:val="0"/>
          <w:numId w:val="2"/>
        </w:numPr>
        <w:spacing w:after="60"/>
      </w:pPr>
      <w:r>
        <w:rPr>
          <w:rFonts w:ascii="Arial" w:cs="Arial" w:eastAsia="Arial" w:hAnsi="Arial"/>
          <w:color w:val="161616"/>
          <w:sz w:val="22"/>
          <w:szCs w:val="22"/>
        </w:rPr>
        <w:t xml:space="preserve">How do we handle the chicken-and-egg problem: AI optimization requires structured data, but structuring the data requires investment?</w:t>
      </w:r>
    </w:p>
    <w:p>
      <w:pPr>
        <w:pStyle w:val="ListParagraph"/>
        <w:numPr>
          <w:ilvl w:val="0"/>
          <w:numId w:val="2"/>
        </w:numPr>
        <w:spacing w:after="60"/>
      </w:pPr>
      <w:r>
        <w:rPr>
          <w:rFonts w:ascii="Arial" w:cs="Arial" w:eastAsia="Arial" w:hAnsi="Arial"/>
          <w:color w:val="161616"/>
          <w:sz w:val="22"/>
          <w:szCs w:val="22"/>
        </w:rPr>
        <w:t xml:space="preserve">How does this workforce planning connect to the HR transformation happening at the broader IBM level?</w:t>
      </w:r>
    </w:p>
    <w:p>
      <w:pPr>
        <w:pStyle w:val="ListParagraph"/>
        <w:numPr>
          <w:ilvl w:val="0"/>
          <w:numId w:val="2"/>
        </w:numPr>
        <w:spacing w:after="60"/>
      </w:pPr>
      <w:r>
        <w:rPr>
          <w:rFonts w:ascii="Arial" w:cs="Arial" w:eastAsia="Arial" w:hAnsi="Arial"/>
          <w:color w:val="161616"/>
          <w:sz w:val="22"/>
          <w:szCs w:val="22"/>
        </w:rPr>
        <w:t xml:space="preserve">What is the cost of delayed or inaccurate infrastructure budget forecasts to downstream program planning?</w:t>
      </w:r>
    </w:p>
    <w:p>
      <w:r>
        <w:br w:type="page"/>
      </w:r>
    </w:p>
    <w:p>
      <w:pPr>
        <w:pStyle w:val="Heading1"/>
        <w:spacing w:before="360" w:after="200"/>
      </w:pPr>
      <w:r>
        <w:rPr>
          <w:rFonts w:ascii="Arial" w:cs="Arial" w:eastAsia="Arial" w:hAnsi="Arial"/>
          <w:b/>
          <w:bCs/>
          <w:color w:val="0F62FE"/>
          <w:sz w:val="36"/>
          <w:szCs w:val="36"/>
        </w:rPr>
        <w:t xml:space="preserve">WORKFLOW 3: Risk &amp; Compliance Monitoring Agent</w:t>
      </w:r>
    </w:p>
    <w:p>
      <w:pPr>
        <w:pBdr>
          <w:bottom w:val="single" w:color="0F62FE" w:sz="6" w:space="1"/>
        </w:pBdr>
        <w:spacing w:before="200" w:after="200"/>
      </w:pPr>
    </w:p>
    <w:p>
      <w:pPr>
        <w:pStyle w:val="Heading2"/>
        <w:spacing w:before="280" w:after="160"/>
      </w:pPr>
      <w:r>
        <w:rPr>
          <w:rFonts w:ascii="Arial" w:cs="Arial" w:eastAsia="Arial" w:hAnsi="Arial"/>
          <w:b/>
          <w:bCs/>
          <w:color w:val="161616"/>
          <w:sz w:val="28"/>
          <w:szCs w:val="28"/>
        </w:rPr>
        <w:t xml:space="preserve">1. Workflow Name &amp; Definition</w:t>
      </w:r>
    </w:p>
    <w:p>
      <w:pPr>
        <w:spacing w:before="200" w:after="100"/>
      </w:pPr>
      <w:r>
        <w:rPr>
          <w:rFonts w:ascii="Arial" w:cs="Arial" w:eastAsia="Arial" w:hAnsi="Arial"/>
          <w:b/>
          <w:bCs/>
          <w:color w:val="525252"/>
          <w:sz w:val="24"/>
          <w:szCs w:val="24"/>
        </w:rPr>
        <w:t xml:space="preserve">Workflow Name</w:t>
      </w:r>
    </w:p>
    <w:p>
      <w:pPr>
        <w:spacing w:after="120"/>
      </w:pPr>
      <w:r>
        <w:rPr>
          <w:rFonts w:ascii="Arial" w:cs="Arial" w:eastAsia="Arial" w:hAnsi="Arial"/>
          <w:color w:val="161616"/>
          <w:sz w:val="22"/>
          <w:szCs w:val="22"/>
        </w:rPr>
        <w:t xml:space="preserve">MCC Risk &amp; Compliance Continuous Monitoring Agent</w:t>
      </w:r>
    </w:p>
    <w:p>
      <w:pPr>
        <w:spacing w:before="200" w:after="100"/>
      </w:pPr>
      <w:r>
        <w:rPr>
          <w:rFonts w:ascii="Arial" w:cs="Arial" w:eastAsia="Arial" w:hAnsi="Arial"/>
          <w:b/>
          <w:bCs/>
          <w:color w:val="525252"/>
          <w:sz w:val="24"/>
          <w:szCs w:val="24"/>
        </w:rPr>
        <w:t xml:space="preserve">Definition</w:t>
      </w:r>
    </w:p>
    <w:p>
      <w:pPr>
        <w:spacing w:after="120"/>
      </w:pPr>
      <w:r>
        <w:rPr>
          <w:rFonts w:ascii="Arial" w:cs="Arial" w:eastAsia="Arial" w:hAnsi="Arial"/>
          <w:color w:val="161616"/>
          <w:sz w:val="22"/>
          <w:szCs w:val="22"/>
        </w:rPr>
        <w:t xml:space="preserve">An AI-enabled agent that continuously monitors MCC operations against the IBM risk management framework, proactively identifying compliance exposures, audit risks, and process violations before they are discovered in quarterly testing or external audits, replacing the current reactive, human-driven testing cycle. It serves the T&amp;O risk management team, compliance officers, and MCC leadership.</w:t>
      </w:r>
    </w:p>
    <w:p>
      <w:pPr>
        <w:spacing w:before="200" w:after="100"/>
      </w:pPr>
      <w:r>
        <w:rPr>
          <w:rFonts w:ascii="Arial" w:cs="Arial" w:eastAsia="Arial" w:hAnsi="Arial"/>
          <w:b/>
          <w:bCs/>
          <w:color w:val="525252"/>
          <w:sz w:val="24"/>
          <w:szCs w:val="24"/>
        </w:rPr>
        <w:t xml:space="preserve">Business Outcome</w:t>
      </w:r>
    </w:p>
    <w:p>
      <w:pPr>
        <w:spacing w:after="120"/>
      </w:pPr>
      <w:r>
        <w:rPr>
          <w:rFonts w:ascii="Arial" w:cs="Arial" w:eastAsia="Arial" w:hAnsi="Arial"/>
          <w:color w:val="161616"/>
          <w:sz w:val="22"/>
          <w:szCs w:val="22"/>
        </w:rPr>
        <w:t xml:space="preserve">Compliance adherence and risk reduction. MCC has just completed defining its auditable unit within the IBM risk management framework, identifying high-risk areas for the business. Currently, risk identification is reactive: the team conducts quarterly testing and certifications, and auditors identify issues after the fact. Sue Takhar described wanting to 'move from identifying risk after the fact to identifying risk ahead of time.' Joyce Costello reinforced that auditors have 'a flavor of the year' causing reactive scrambles. The business benefit is not primarily headcount reduction but rather early risk detection preventing significant financial and compliance downstream impacts.</w:t>
      </w:r>
    </w:p>
    <w:p>
      <w:pPr>
        <w:spacing w:before="200" w:after="100"/>
      </w:pPr>
      <w:r>
        <w:rPr>
          <w:rFonts w:ascii="Arial" w:cs="Arial" w:eastAsia="Arial" w:hAnsi="Arial"/>
          <w:b/>
          <w:bCs/>
          <w:color w:val="525252"/>
          <w:sz w:val="24"/>
          <w:szCs w:val="24"/>
        </w:rPr>
        <w:t xml:space="preserve">Trigger</w:t>
      </w:r>
    </w:p>
    <w:p>
      <w:pPr>
        <w:spacing w:after="120"/>
      </w:pPr>
      <w:r>
        <w:rPr>
          <w:rFonts w:ascii="Arial" w:cs="Arial" w:eastAsia="Arial" w:hAnsi="Arial"/>
          <w:b/>
          <w:bCs/>
          <w:color w:val="161616"/>
          <w:sz w:val="22"/>
          <w:szCs w:val="22"/>
        </w:rPr>
        <w:t xml:space="preserve">Primary: </w:t>
      </w:r>
      <w:r>
        <w:rPr>
          <w:rFonts w:ascii="Arial" w:cs="Arial" w:eastAsia="Arial" w:hAnsi="Arial"/>
          <w:color w:val="161616"/>
          <w:sz w:val="22"/>
          <w:szCs w:val="22"/>
        </w:rPr>
        <w:t xml:space="preserve">Continuous monitoring (always-on agent scanning for risk indicators). </w:t>
      </w:r>
      <w:r>
        <w:rPr>
          <w:rFonts w:ascii="Arial" w:cs="Arial" w:eastAsia="Arial" w:hAnsi="Arial"/>
          <w:b/>
          <w:bCs/>
          <w:color w:val="161616"/>
          <w:sz w:val="22"/>
          <w:szCs w:val="22"/>
        </w:rPr>
        <w:t xml:space="preserve">Secondary: </w:t>
      </w:r>
      <w:r>
        <w:rPr>
          <w:rFonts w:ascii="Arial" w:cs="Arial" w:eastAsia="Arial" w:hAnsi="Arial"/>
          <w:color w:val="161616"/>
          <w:sz w:val="22"/>
          <w:szCs w:val="22"/>
        </w:rPr>
        <w:t xml:space="preserve">Quarterly certification cycle requiring risk testing and reporting to IBM audit framework. </w:t>
      </w:r>
      <w:r>
        <w:rPr>
          <w:rFonts w:ascii="Arial" w:cs="Arial" w:eastAsia="Arial" w:hAnsi="Arial"/>
          <w:b/>
          <w:bCs/>
          <w:color w:val="161616"/>
          <w:sz w:val="22"/>
          <w:szCs w:val="22"/>
        </w:rPr>
        <w:t xml:space="preserve">Tertiary: </w:t>
      </w:r>
      <w:r>
        <w:rPr>
          <w:rFonts w:ascii="Arial" w:cs="Arial" w:eastAsia="Arial" w:hAnsi="Arial"/>
          <w:color w:val="161616"/>
          <w:sz w:val="22"/>
          <w:szCs w:val="22"/>
        </w:rPr>
        <w:t xml:space="preserve">Audit team identifies new risk focus areas that need monitoring.</w:t>
      </w:r>
    </w:p>
    <w:p>
      <w:pPr>
        <w:spacing w:before="200" w:after="100"/>
      </w:pPr>
      <w:r>
        <w:rPr>
          <w:rFonts w:ascii="Arial" w:cs="Arial" w:eastAsia="Arial" w:hAnsi="Arial"/>
          <w:b/>
          <w:bCs/>
          <w:color w:val="525252"/>
          <w:sz w:val="24"/>
          <w:szCs w:val="24"/>
        </w:rPr>
        <w:t xml:space="preserve">Key Stakeholders</w:t>
      </w:r>
    </w:p>
    <w:p>
      <w:pPr>
        <w:pStyle w:val="ListParagraph"/>
        <w:numPr>
          <w:ilvl w:val="0"/>
          <w:numId w:val="2"/>
        </w:numPr>
        <w:spacing w:after="60"/>
      </w:pPr>
      <w:r>
        <w:rPr>
          <w:rFonts w:ascii="Arial" w:cs="Arial" w:eastAsia="Arial" w:hAnsi="Arial"/>
          <w:color w:val="161616"/>
          <w:sz w:val="22"/>
          <w:szCs w:val="22"/>
        </w:rPr>
        <w:t xml:space="preserve">Sue Takhar - Operations lead, risk management team owner</w:t>
      </w:r>
    </w:p>
    <w:p>
      <w:pPr>
        <w:pStyle w:val="ListParagraph"/>
        <w:numPr>
          <w:ilvl w:val="0"/>
          <w:numId w:val="2"/>
        </w:numPr>
        <w:spacing w:after="60"/>
      </w:pPr>
      <w:r>
        <w:rPr>
          <w:rFonts w:ascii="Arial" w:cs="Arial" w:eastAsia="Arial" w:hAnsi="Arial"/>
          <w:color w:val="161616"/>
          <w:sz w:val="22"/>
          <w:szCs w:val="22"/>
        </w:rPr>
        <w:t xml:space="preserve">Kimberly Rasmussen - Data governance and AI governance</w:t>
      </w:r>
    </w:p>
    <w:p>
      <w:pPr>
        <w:pStyle w:val="ListParagraph"/>
        <w:numPr>
          <w:ilvl w:val="0"/>
          <w:numId w:val="2"/>
        </w:numPr>
        <w:spacing w:after="60"/>
      </w:pPr>
      <w:r>
        <w:rPr>
          <w:rFonts w:ascii="Arial" w:cs="Arial" w:eastAsia="Arial" w:hAnsi="Arial"/>
          <w:color w:val="161616"/>
          <w:sz w:val="22"/>
          <w:szCs w:val="22"/>
        </w:rPr>
        <w:t xml:space="preserve">Joyce Costello - Risk management framework contributor</w:t>
      </w:r>
    </w:p>
    <w:p>
      <w:pPr>
        <w:pStyle w:val="ListParagraph"/>
        <w:numPr>
          <w:ilvl w:val="0"/>
          <w:numId w:val="2"/>
        </w:numPr>
        <w:spacing w:after="60"/>
      </w:pPr>
      <w:r>
        <w:rPr>
          <w:rFonts w:ascii="Arial" w:cs="Arial" w:eastAsia="Arial" w:hAnsi="Arial"/>
          <w:color w:val="161616"/>
          <w:sz w:val="22"/>
          <w:szCs w:val="22"/>
        </w:rPr>
        <w:t xml:space="preserve">Alexandra Gazdova - Referenced as having the audit framework 'ready'</w:t>
      </w:r>
    </w:p>
    <w:p>
      <w:pPr>
        <w:pStyle w:val="ListParagraph"/>
        <w:numPr>
          <w:ilvl w:val="0"/>
          <w:numId w:val="2"/>
        </w:numPr>
        <w:spacing w:after="60"/>
      </w:pPr>
      <w:r>
        <w:rPr>
          <w:rFonts w:ascii="Arial" w:cs="Arial" w:eastAsia="Arial" w:hAnsi="Arial"/>
          <w:color w:val="161616"/>
          <w:sz w:val="22"/>
          <w:szCs w:val="22"/>
        </w:rPr>
        <w:t xml:space="preserve">Paul Ambraz - T&amp;O VP</w:t>
      </w:r>
    </w:p>
    <w:p>
      <w:pPr>
        <w:pStyle w:val="ListParagraph"/>
        <w:numPr>
          <w:ilvl w:val="0"/>
          <w:numId w:val="2"/>
        </w:numPr>
        <w:spacing w:after="60"/>
      </w:pPr>
      <w:r>
        <w:rPr>
          <w:rFonts w:ascii="Arial" w:cs="Arial" w:eastAsia="Arial" w:hAnsi="Arial"/>
          <w:color w:val="161616"/>
          <w:sz w:val="22"/>
          <w:szCs w:val="22"/>
        </w:rPr>
        <w:t xml:space="preserve">IBM Audit team - External to MCC, defines audit framework and risk focus</w:t>
      </w:r>
    </w:p>
    <w:p>
      <w:pPr>
        <w:pStyle w:val="ListParagraph"/>
        <w:numPr>
          <w:ilvl w:val="0"/>
          <w:numId w:val="2"/>
        </w:numPr>
        <w:spacing w:after="60"/>
      </w:pPr>
      <w:r>
        <w:rPr>
          <w:rFonts w:ascii="Arial" w:cs="Arial" w:eastAsia="Arial" w:hAnsi="Arial"/>
          <w:color w:val="161616"/>
          <w:sz w:val="22"/>
          <w:szCs w:val="22"/>
        </w:rPr>
        <w:t xml:space="preserve">Legal team - AI governance and compliance standards</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large is the risk management team under Sue?</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specific risk categories has the audit framework identified as high-risk for MCC?</w:t>
      </w:r>
    </w:p>
    <w:p>
      <w:pPr>
        <w:pStyle w:val="Heading2"/>
        <w:spacing w:before="280" w:after="160"/>
      </w:pPr>
      <w:r>
        <w:rPr>
          <w:rFonts w:ascii="Arial" w:cs="Arial" w:eastAsia="Arial" w:hAnsi="Arial"/>
          <w:b/>
          <w:bCs/>
          <w:color w:val="161616"/>
          <w:sz w:val="28"/>
          <w:szCs w:val="28"/>
        </w:rPr>
        <w:t xml:space="preserve">2. High-Level Flow (5-7 Steps)</w:t>
      </w:r>
    </w:p>
    <w:p>
      <w:pPr>
        <w:pStyle w:val="ListParagraph"/>
        <w:numPr>
          <w:ilvl w:val="0"/>
          <w:numId w:val="6"/>
        </w:numPr>
        <w:spacing w:after="60"/>
      </w:pPr>
      <w:r>
        <w:rPr>
          <w:rFonts w:ascii="Arial" w:cs="Arial" w:eastAsia="Arial" w:hAnsi="Arial"/>
          <w:b/>
          <w:bCs/>
          <w:color w:val="161616"/>
          <w:sz w:val="22"/>
          <w:szCs w:val="22"/>
        </w:rPr>
        <w:t xml:space="preserve">Step 1 - Risk Framework Definition: </w:t>
      </w:r>
      <w:r>
        <w:rPr>
          <w:rFonts w:ascii="Arial" w:cs="Arial" w:eastAsia="Arial" w:hAnsi="Arial"/>
          <w:color w:val="161616"/>
          <w:sz w:val="22"/>
          <w:szCs w:val="22"/>
        </w:rPr>
        <w:t xml:space="preserve">Audit team defines the auditable unit and identifies high-risk areas for MCC. Just completed. Performed by: IBM Audit + Sue's team + Alexandra. System: Audit framework. Handoff: Risk areas defined.</w:t>
      </w:r>
    </w:p>
    <w:p>
      <w:pPr>
        <w:pStyle w:val="ListParagraph"/>
        <w:numPr>
          <w:ilvl w:val="0"/>
          <w:numId w:val="6"/>
        </w:numPr>
        <w:spacing w:after="60"/>
      </w:pPr>
      <w:r>
        <w:rPr>
          <w:rFonts w:ascii="Arial" w:cs="Arial" w:eastAsia="Arial" w:hAnsi="Arial"/>
          <w:b/>
          <w:bCs/>
          <w:color w:val="161616"/>
          <w:sz w:val="22"/>
          <w:szCs w:val="22"/>
        </w:rPr>
        <w:t xml:space="preserve">Step 2 - Test Design: </w:t>
      </w:r>
      <w:r>
        <w:rPr>
          <w:rFonts w:ascii="Arial" w:cs="Arial" w:eastAsia="Arial" w:hAnsi="Arial"/>
          <w:color w:val="161616"/>
          <w:sz w:val="22"/>
          <w:szCs w:val="22"/>
        </w:rPr>
        <w:t xml:space="preserve">Risk team decides what to test and focus on. IBM provides framework but not 'how to do it' (Sue). Performed by: Sue's risk team. System: Manual. Handoff: Test plan created.</w:t>
      </w:r>
    </w:p>
    <w:p>
      <w:pPr>
        <w:pStyle w:val="ListParagraph"/>
        <w:numPr>
          <w:ilvl w:val="0"/>
          <w:numId w:val="6"/>
        </w:numPr>
        <w:spacing w:after="60"/>
      </w:pPr>
      <w:r>
        <w:rPr>
          <w:rFonts w:ascii="Arial" w:cs="Arial" w:eastAsia="Arial" w:hAnsi="Arial"/>
          <w:b/>
          <w:bCs/>
          <w:color w:val="161616"/>
          <w:sz w:val="22"/>
          <w:szCs w:val="22"/>
        </w:rPr>
        <w:t xml:space="preserve">Step 3 - Quarterly Testing: </w:t>
      </w:r>
      <w:r>
        <w:rPr>
          <w:rFonts w:ascii="Arial" w:cs="Arial" w:eastAsia="Arial" w:hAnsi="Arial"/>
          <w:color w:val="161616"/>
          <w:sz w:val="22"/>
          <w:szCs w:val="22"/>
        </w:rPr>
        <w:t xml:space="preserve">Team conducts risk testing and certifications against defined risk areas. Performed by: Risk management team. System: Manual testing/sampling. Handoff: Test results.</w:t>
      </w:r>
    </w:p>
    <w:p>
      <w:pPr>
        <w:pStyle w:val="ListParagraph"/>
        <w:numPr>
          <w:ilvl w:val="0"/>
          <w:numId w:val="6"/>
        </w:numPr>
        <w:spacing w:after="60"/>
      </w:pPr>
      <w:r>
        <w:rPr>
          <w:rFonts w:ascii="Arial" w:cs="Arial" w:eastAsia="Arial" w:hAnsi="Arial"/>
          <w:b/>
          <w:bCs/>
          <w:color w:val="161616"/>
          <w:sz w:val="22"/>
          <w:szCs w:val="22"/>
        </w:rPr>
        <w:t xml:space="preserve">Step 4 - Issue Identification: </w:t>
      </w:r>
      <w:r>
        <w:rPr>
          <w:rFonts w:ascii="Arial" w:cs="Arial" w:eastAsia="Arial" w:hAnsi="Arial"/>
          <w:color w:val="161616"/>
          <w:sz w:val="22"/>
          <w:szCs w:val="22"/>
        </w:rPr>
        <w:t xml:space="preserve">Test results reveal risk exposures, process violations, or compliance gaps. Performed by: Risk team. System: Manual analysis. Handoff: Issues flagged.</w:t>
      </w:r>
    </w:p>
    <w:p>
      <w:pPr>
        <w:pStyle w:val="ListParagraph"/>
        <w:numPr>
          <w:ilvl w:val="0"/>
          <w:numId w:val="6"/>
        </w:numPr>
        <w:spacing w:after="60"/>
      </w:pPr>
      <w:r>
        <w:rPr>
          <w:rFonts w:ascii="Arial" w:cs="Arial" w:eastAsia="Arial" w:hAnsi="Arial"/>
          <w:b/>
          <w:bCs/>
          <w:color w:val="161616"/>
          <w:sz w:val="22"/>
          <w:szCs w:val="22"/>
        </w:rPr>
        <w:t xml:space="preserve">Step 5 - Remediation: </w:t>
      </w:r>
      <w:r>
        <w:rPr>
          <w:rFonts w:ascii="Arial" w:cs="Arial" w:eastAsia="Arial" w:hAnsi="Arial"/>
          <w:color w:val="161616"/>
          <w:sz w:val="22"/>
          <w:szCs w:val="22"/>
        </w:rPr>
        <w:t xml:space="preserve">Identified issues are addressed. Joyce described 'scurrying around to fix the issue of the year.' Performed by: Relevant teams. System: Manual. Handoff: Issues resolved.</w:t>
      </w:r>
    </w:p>
    <w:p>
      <w:pPr>
        <w:pStyle w:val="ListParagraph"/>
        <w:numPr>
          <w:ilvl w:val="0"/>
          <w:numId w:val="6"/>
        </w:numPr>
        <w:spacing w:after="60"/>
      </w:pPr>
      <w:r>
        <w:rPr>
          <w:rFonts w:ascii="Arial" w:cs="Arial" w:eastAsia="Arial" w:hAnsi="Arial"/>
          <w:b/>
          <w:bCs/>
          <w:color w:val="161616"/>
          <w:sz w:val="22"/>
          <w:szCs w:val="22"/>
        </w:rPr>
        <w:t xml:space="preserve">Step 6 - Certification: </w:t>
      </w:r>
      <w:r>
        <w:rPr>
          <w:rFonts w:ascii="Arial" w:cs="Arial" w:eastAsia="Arial" w:hAnsi="Arial"/>
          <w:color w:val="161616"/>
          <w:sz w:val="22"/>
          <w:szCs w:val="22"/>
        </w:rPr>
        <w:t xml:space="preserve">Quarterly risk certifications submitted to IBM risk management framework. Performed by: Sue's team. System: IBM risk management framework. Handoff: Certification filed.</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are the specific types of tests conducted? Sampling methodology?</w:t>
      </w:r>
    </w:p>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How many risk tests are conducted per quarter?</w:t>
      </w:r>
    </w:p>
    <w:p>
      <w:pPr>
        <w:pStyle w:val="Heading2"/>
        <w:spacing w:before="280" w:after="160"/>
      </w:pPr>
      <w:r>
        <w:rPr>
          <w:rFonts w:ascii="Arial" w:cs="Arial" w:eastAsia="Arial" w:hAnsi="Arial"/>
          <w:b/>
          <w:bCs/>
          <w:color w:val="161616"/>
          <w:sz w:val="28"/>
          <w:szCs w:val="28"/>
        </w:rPr>
        <w:t xml:space="preserve">3. Systems &amp; Tools Involved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System/Tool</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Role in Workflow</w:t>
            </w:r>
          </w:p>
        </w:tc>
        <w:tc>
          <w:tcPr>
            <w:tcW w:type="dxa" w:w="34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IBM Audit Framework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Risk framework and auditable unit definition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Just defined for MCC. Alexandra has it 'ready.'</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Manual Testing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Quarterly risk sampling and certification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 primary method; Sue wants to replace with AI.</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Uptempo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Spend data that risk monitoring would scan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Vendor engagement, PO compliance, spend patterns.</w:t>
            </w:r>
          </w:p>
        </w:tc>
      </w:tr>
      <w:tr>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SAP</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Financial transactions for compliance validation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PO and invoice data.</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systems contain the data that would be monitored for risk? Full inventory needed.</w:t>
      </w:r>
    </w:p>
    <w:p>
      <w:pPr>
        <w:pStyle w:val="Heading2"/>
        <w:spacing w:before="280" w:after="160"/>
      </w:pPr>
      <w:r>
        <w:rPr>
          <w:rFonts w:ascii="Arial" w:cs="Arial" w:eastAsia="Arial" w:hAnsi="Arial"/>
          <w:b/>
          <w:bCs/>
          <w:color w:val="161616"/>
          <w:sz w:val="28"/>
          <w:szCs w:val="28"/>
        </w:rPr>
        <w:t xml:space="preserve">4. AI Hypothesis (High-Level)</w:t>
      </w:r>
    </w:p>
    <w:p>
      <w:pPr>
        <w:pStyle w:val="ListParagraph"/>
        <w:numPr>
          <w:ilvl w:val="0"/>
          <w:numId w:val="4"/>
        </w:numPr>
        <w:spacing w:after="60"/>
      </w:pPr>
      <w:r>
        <w:rPr>
          <w:rFonts w:ascii="Arial" w:cs="Arial" w:eastAsia="Arial" w:hAnsi="Arial"/>
          <w:b/>
          <w:bCs/>
          <w:color w:val="161616"/>
          <w:sz w:val="22"/>
          <w:szCs w:val="22"/>
        </w:rPr>
        <w:t xml:space="preserve">☑ Anomaly detection: </w:t>
      </w:r>
      <w:r>
        <w:rPr>
          <w:rFonts w:ascii="Arial" w:cs="Arial" w:eastAsia="Arial" w:hAnsi="Arial"/>
          <w:color w:val="161616"/>
          <w:sz w:val="22"/>
          <w:szCs w:val="22"/>
        </w:rPr>
        <w:t xml:space="preserve">Core function. AI continuously scans operational data (spend patterns, vendor engagements, PO compliance, budget usage) to detect risk indicators. Sue: 'I don't want human intervention. How can I use an agent to monitor and tell us the risk?'</w:t>
      </w:r>
    </w:p>
    <w:p>
      <w:pPr>
        <w:pStyle w:val="ListParagraph"/>
        <w:numPr>
          <w:ilvl w:val="0"/>
          <w:numId w:val="4"/>
        </w:numPr>
        <w:spacing w:after="60"/>
      </w:pPr>
      <w:r>
        <w:rPr>
          <w:rFonts w:ascii="Arial" w:cs="Arial" w:eastAsia="Arial" w:hAnsi="Arial"/>
          <w:b/>
          <w:bCs/>
          <w:color w:val="161616"/>
          <w:sz w:val="22"/>
          <w:szCs w:val="22"/>
        </w:rPr>
        <w:t xml:space="preserve">☑ Risk scoring / pre-review: </w:t>
      </w:r>
      <w:r>
        <w:rPr>
          <w:rFonts w:ascii="Arial" w:cs="Arial" w:eastAsia="Arial" w:hAnsi="Arial"/>
          <w:color w:val="161616"/>
          <w:sz w:val="22"/>
          <w:szCs w:val="22"/>
        </w:rPr>
        <w:t xml:space="preserve">AI identifies and prioritizes risk indicators before quarterly testing. Joyce: 'Move from identifying risk after the fact to identifying risk ahead of time.' The agent would flag 'the top five things we're looking at today as a risk in your area.'</w:t>
      </w:r>
    </w:p>
    <w:p>
      <w:pPr>
        <w:pStyle w:val="ListParagraph"/>
        <w:numPr>
          <w:ilvl w:val="0"/>
          <w:numId w:val="4"/>
        </w:numPr>
        <w:spacing w:after="60"/>
      </w:pPr>
      <w:r>
        <w:rPr>
          <w:rFonts w:ascii="Arial" w:cs="Arial" w:eastAsia="Arial" w:hAnsi="Arial"/>
          <w:b/>
          <w:bCs/>
          <w:color w:val="161616"/>
          <w:sz w:val="22"/>
          <w:szCs w:val="22"/>
        </w:rPr>
        <w:t xml:space="preserve">☑ Insight generation: </w:t>
      </w:r>
      <w:r>
        <w:rPr>
          <w:rFonts w:ascii="Arial" w:cs="Arial" w:eastAsia="Arial" w:hAnsi="Arial"/>
          <w:color w:val="161616"/>
          <w:sz w:val="22"/>
          <w:szCs w:val="22"/>
        </w:rPr>
        <w:t xml:space="preserve">AI analyzes patterns across risk data to identify trends and root causes. Mairead: 'Identify trends.'</w:t>
      </w:r>
    </w:p>
    <w:p>
      <w:pPr>
        <w:pStyle w:val="ListParagraph"/>
        <w:numPr>
          <w:ilvl w:val="0"/>
          <w:numId w:val="4"/>
        </w:numPr>
        <w:spacing w:after="60"/>
      </w:pPr>
      <w:r>
        <w:rPr>
          <w:rFonts w:ascii="Arial" w:cs="Arial" w:eastAsia="Arial" w:hAnsi="Arial"/>
          <w:b/>
          <w:bCs/>
          <w:color w:val="161616"/>
          <w:sz w:val="22"/>
          <w:szCs w:val="22"/>
        </w:rPr>
        <w:t xml:space="preserve">☑ Workflow automation: </w:t>
      </w:r>
      <w:r>
        <w:rPr>
          <w:rFonts w:ascii="Arial" w:cs="Arial" w:eastAsia="Arial" w:hAnsi="Arial"/>
          <w:color w:val="161616"/>
          <w:sz w:val="22"/>
          <w:szCs w:val="22"/>
        </w:rPr>
        <w:t xml:space="preserve">AI automates sampling, testing, and certification workflows that are currently manual. Rosanna suggested: 'You could use AI to do the sampling.'</w:t>
      </w:r>
    </w:p>
    <w:p>
      <w:pPr>
        <w:pStyle w:val="ListParagraph"/>
        <w:numPr>
          <w:ilvl w:val="0"/>
          <w:numId w:val="4"/>
        </w:numPr>
        <w:spacing w:after="60"/>
      </w:pPr>
      <w:r>
        <w:rPr>
          <w:rFonts w:ascii="Arial" w:cs="Arial" w:eastAsia="Arial" w:hAnsi="Arial"/>
          <w:b/>
          <w:bCs/>
          <w:color w:val="161616"/>
          <w:sz w:val="22"/>
          <w:szCs w:val="22"/>
        </w:rPr>
        <w:t xml:space="preserve">☑ Executive summarization: </w:t>
      </w:r>
      <w:r>
        <w:rPr>
          <w:rFonts w:ascii="Arial" w:cs="Arial" w:eastAsia="Arial" w:hAnsi="Arial"/>
          <w:color w:val="161616"/>
          <w:sz w:val="22"/>
          <w:szCs w:val="22"/>
        </w:rPr>
        <w:t xml:space="preserve">AI generates risk reports and certification materials for IBM audit framework.</w:t>
      </w:r>
    </w:p>
    <w:p>
      <w:pPr>
        <w:pStyle w:val="ListParagraph"/>
        <w:numPr>
          <w:ilvl w:val="0"/>
          <w:numId w:val="4"/>
        </w:numPr>
        <w:spacing w:after="60"/>
      </w:pPr>
      <w:r>
        <w:rPr>
          <w:rFonts w:ascii="Arial" w:cs="Arial" w:eastAsia="Arial" w:hAnsi="Arial"/>
          <w:b/>
          <w:bCs/>
          <w:color w:val="161616"/>
          <w:sz w:val="22"/>
          <w:szCs w:val="22"/>
        </w:rPr>
        <w:t xml:space="preserve">☑ Orchestration / routing: </w:t>
      </w:r>
      <w:r>
        <w:rPr>
          <w:rFonts w:ascii="Arial" w:cs="Arial" w:eastAsia="Arial" w:hAnsi="Arial"/>
          <w:color w:val="161616"/>
          <w:sz w:val="22"/>
          <w:szCs w:val="22"/>
        </w:rPr>
        <w:t xml:space="preserve">AI routes risk alerts to appropriate owners for remediation.</w:t>
      </w:r>
    </w:p>
    <w:p>
      <w:pPr>
        <w:pStyle w:val="ListParagraph"/>
        <w:numPr>
          <w:ilvl w:val="0"/>
          <w:numId w:val="4"/>
        </w:numPr>
        <w:spacing w:after="60"/>
      </w:pPr>
      <w:r>
        <w:rPr>
          <w:rFonts w:ascii="Arial" w:cs="Arial" w:eastAsia="Arial" w:hAnsi="Arial"/>
          <w:b/>
          <w:bCs/>
          <w:color w:val="161616"/>
          <w:sz w:val="22"/>
          <w:szCs w:val="22"/>
        </w:rPr>
        <w:t xml:space="preserve">☐ Drafting / content generation: </w:t>
      </w:r>
      <w:r>
        <w:rPr>
          <w:rFonts w:ascii="Arial" w:cs="Arial" w:eastAsia="Arial" w:hAnsi="Arial"/>
          <w:color w:val="161616"/>
          <w:sz w:val="22"/>
          <w:szCs w:val="22"/>
        </w:rPr>
        <w:t xml:space="preserve">[NOT DISCUSSED]</w:t>
      </w:r>
    </w:p>
    <w:p>
      <w:pPr>
        <w:pStyle w:val="ListParagraph"/>
        <w:numPr>
          <w:ilvl w:val="0"/>
          <w:numId w:val="4"/>
        </w:numPr>
        <w:spacing w:after="60"/>
      </w:pPr>
      <w:r>
        <w:rPr>
          <w:rFonts w:ascii="Arial" w:cs="Arial" w:eastAsia="Arial" w:hAnsi="Arial"/>
          <w:b/>
          <w:bCs/>
          <w:color w:val="161616"/>
          <w:sz w:val="22"/>
          <w:szCs w:val="22"/>
        </w:rPr>
        <w:t xml:space="preserve">☐ Translation consistency: </w:t>
      </w:r>
      <w:r>
        <w:rPr>
          <w:rFonts w:ascii="Arial" w:cs="Arial" w:eastAsia="Arial" w:hAnsi="Arial"/>
          <w:color w:val="161616"/>
          <w:sz w:val="22"/>
          <w:szCs w:val="22"/>
        </w:rPr>
        <w:t xml:space="preserve">[NOT DISCUSSED]</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Hypothesis</w:t>
      </w:r>
    </w:p>
    <w:p>
      <w:pPr>
        <w:spacing w:after="120"/>
      </w:pPr>
      <w:r>
        <w:rPr>
          <w:rFonts w:ascii="Arial" w:cs="Arial" w:eastAsia="Arial" w:hAnsi="Arial"/>
          <w:color w:val="161616"/>
          <w:sz w:val="22"/>
          <w:szCs w:val="22"/>
        </w:rPr>
        <w:t xml:space="preserve">The Risk &amp; Compliance Monitoring Agent would continuously scan MCC operational data (spend transactions, vendor engagements, budget usage, process compliance indicators) against the newly defined IBM audit framework risk areas to: (1) proactively identify risk indicators and compliance exposures before quarterly testing; (2) prioritize risks based on severity and audit focus ('flavor of the year'); (3) automate routine testing and sampling that is currently manual; and (4) generate certification-ready risk reports. Human-in-the-loop: risk team validates AI-identified risks; leadership reviews prioritized risk dashboard; remediation remains human-driven.</w:t>
      </w:r>
    </w:p>
    <w:p>
      <w:pPr>
        <w:pStyle w:val="Heading2"/>
        <w:spacing w:before="280" w:after="160"/>
      </w:pPr>
      <w:r>
        <w:rPr>
          <w:rFonts w:ascii="Arial" w:cs="Arial" w:eastAsia="Arial" w:hAnsi="Arial"/>
          <w:b/>
          <w:bCs/>
          <w:color w:val="161616"/>
          <w:sz w:val="28"/>
          <w:szCs w:val="28"/>
        </w:rPr>
        <w:t xml:space="preserve">5. Primary Friction Points</w:t>
      </w:r>
    </w:p>
    <w:p>
      <w:pPr>
        <w:pStyle w:val="ListParagraph"/>
        <w:numPr>
          <w:ilvl w:val="0"/>
          <w:numId w:val="4"/>
        </w:numPr>
        <w:spacing w:after="60"/>
      </w:pPr>
      <w:r>
        <w:rPr>
          <w:rFonts w:ascii="Arial" w:cs="Arial" w:eastAsia="Arial" w:hAnsi="Arial"/>
          <w:b/>
          <w:bCs/>
          <w:color w:val="161616"/>
          <w:sz w:val="22"/>
          <w:szCs w:val="22"/>
        </w:rPr>
        <w:t xml:space="preserve">☑ Manual aggregation / synthesis: </w:t>
      </w:r>
      <w:r>
        <w:rPr>
          <w:rFonts w:ascii="Arial" w:cs="Arial" w:eastAsia="Arial" w:hAnsi="Arial"/>
          <w:color w:val="161616"/>
          <w:sz w:val="22"/>
          <w:szCs w:val="22"/>
        </w:rPr>
        <w:t xml:space="preserve">Quarterly testing is entirely manual: sampling, testing, analysis, and certification.</w:t>
      </w:r>
    </w:p>
    <w:p>
      <w:pPr>
        <w:pStyle w:val="ListParagraph"/>
        <w:numPr>
          <w:ilvl w:val="0"/>
          <w:numId w:val="4"/>
        </w:numPr>
        <w:spacing w:after="60"/>
      </w:pPr>
      <w:r>
        <w:rPr>
          <w:rFonts w:ascii="Arial" w:cs="Arial" w:eastAsia="Arial" w:hAnsi="Arial"/>
          <w:b/>
          <w:bCs/>
          <w:color w:val="161616"/>
          <w:sz w:val="22"/>
          <w:szCs w:val="22"/>
        </w:rPr>
        <w:t xml:space="preserve">☑ Monitoring burden: </w:t>
      </w:r>
      <w:r>
        <w:rPr>
          <w:rFonts w:ascii="Arial" w:cs="Arial" w:eastAsia="Arial" w:hAnsi="Arial"/>
          <w:color w:val="161616"/>
          <w:sz w:val="22"/>
          <w:szCs w:val="22"/>
        </w:rPr>
        <w:t xml:space="preserve">Risk team monitors retrospectively. Sue: 'Why wait for an audit to tell you you've got a problem?'</w:t>
      </w:r>
    </w:p>
    <w:p>
      <w:pPr>
        <w:pStyle w:val="ListParagraph"/>
        <w:numPr>
          <w:ilvl w:val="0"/>
          <w:numId w:val="4"/>
        </w:numPr>
        <w:spacing w:after="60"/>
      </w:pPr>
      <w:r>
        <w:rPr>
          <w:rFonts w:ascii="Arial" w:cs="Arial" w:eastAsia="Arial" w:hAnsi="Arial"/>
          <w:b/>
          <w:bCs/>
          <w:color w:val="161616"/>
          <w:sz w:val="22"/>
          <w:szCs w:val="22"/>
        </w:rPr>
        <w:t xml:space="preserve">☑ Data visibility gaps: </w:t>
      </w:r>
      <w:r>
        <w:rPr>
          <w:rFonts w:ascii="Arial" w:cs="Arial" w:eastAsia="Arial" w:hAnsi="Arial"/>
          <w:color w:val="161616"/>
          <w:sz w:val="22"/>
          <w:szCs w:val="22"/>
        </w:rPr>
        <w:t xml:space="preserve">No continuous visibility into risk indicators. Kimberly: 'Risk is all about human error right now.'</w:t>
      </w:r>
    </w:p>
    <w:p>
      <w:pPr>
        <w:pStyle w:val="ListParagraph"/>
        <w:numPr>
          <w:ilvl w:val="0"/>
          <w:numId w:val="4"/>
        </w:numPr>
        <w:spacing w:after="60"/>
      </w:pPr>
      <w:r>
        <w:rPr>
          <w:rFonts w:ascii="Arial" w:cs="Arial" w:eastAsia="Arial" w:hAnsi="Arial"/>
          <w:b/>
          <w:bCs/>
          <w:color w:val="161616"/>
          <w:sz w:val="22"/>
          <w:szCs w:val="22"/>
        </w:rPr>
        <w:t xml:space="preserve">☑ Cross-team coordination: </w:t>
      </w:r>
      <w:r>
        <w:rPr>
          <w:rFonts w:ascii="Arial" w:cs="Arial" w:eastAsia="Arial" w:hAnsi="Arial"/>
          <w:color w:val="161616"/>
          <w:sz w:val="22"/>
          <w:szCs w:val="22"/>
        </w:rPr>
        <w:t xml:space="preserve">Risk findings require coordination with multiple teams for remediation. Joyce described 'scurrying around to fix the issue of the year.'</w:t>
      </w:r>
    </w:p>
    <w:p>
      <w:pPr>
        <w:pStyle w:val="ListParagraph"/>
        <w:numPr>
          <w:ilvl w:val="0"/>
          <w:numId w:val="4"/>
        </w:numPr>
        <w:spacing w:after="60"/>
      </w:pPr>
      <w:r>
        <w:rPr>
          <w:rFonts w:ascii="Arial" w:cs="Arial" w:eastAsia="Arial" w:hAnsi="Arial"/>
          <w:b/>
          <w:bCs/>
          <w:color w:val="161616"/>
          <w:sz w:val="22"/>
          <w:szCs w:val="22"/>
        </w:rPr>
        <w:t xml:space="preserve">☑ Compliance review bottlenecks: </w:t>
      </w:r>
      <w:r>
        <w:rPr>
          <w:rFonts w:ascii="Arial" w:cs="Arial" w:eastAsia="Arial" w:hAnsi="Arial"/>
          <w:color w:val="161616"/>
          <w:sz w:val="22"/>
          <w:szCs w:val="22"/>
        </w:rPr>
        <w:t xml:space="preserve">Quarterly certifications are labor-intensive and reactive.</w:t>
      </w:r>
    </w:p>
    <w:p>
      <w:pPr>
        <w:pStyle w:val="ListParagraph"/>
        <w:numPr>
          <w:ilvl w:val="0"/>
          <w:numId w:val="4"/>
        </w:numPr>
        <w:spacing w:after="60"/>
      </w:pPr>
      <w:r>
        <w:rPr>
          <w:rFonts w:ascii="Arial" w:cs="Arial" w:eastAsia="Arial" w:hAnsi="Arial"/>
          <w:b/>
          <w:bCs/>
          <w:color w:val="161616"/>
          <w:sz w:val="22"/>
          <w:szCs w:val="22"/>
        </w:rPr>
        <w:t xml:space="preserve">☐ Tool switching: </w:t>
      </w:r>
      <w:r>
        <w:rPr>
          <w:rFonts w:ascii="Arial" w:cs="Arial" w:eastAsia="Arial" w:hAnsi="Arial"/>
          <w:color w:val="161616"/>
          <w:sz w:val="22"/>
          <w:szCs w:val="22"/>
        </w:rPr>
        <w:t xml:space="preserve">[NOT DISCUSSED specifically]</w:t>
      </w:r>
    </w:p>
    <w:p>
      <w:pPr>
        <w:spacing w:after="120"/>
      </w:pPr>
      <w:r>
        <w:rPr>
          <w:rFonts w:ascii="Arial" w:cs="Arial" w:eastAsia="Arial" w:hAnsi="Arial"/>
          <w:color w:val="161616"/>
          <w:sz w:val="22"/>
          <w:szCs w:val="22"/>
        </w:rPr>
        <w:t xml:space="preserve"/>
      </w:r>
    </w:p>
    <w:p>
      <w:pPr>
        <w:spacing w:before="200" w:after="100"/>
      </w:pPr>
      <w:r>
        <w:rPr>
          <w:rFonts w:ascii="Arial" w:cs="Arial" w:eastAsia="Arial" w:hAnsi="Arial"/>
          <w:b/>
          <w:bCs/>
          <w:color w:val="525252"/>
          <w:sz w:val="24"/>
          <w:szCs w:val="24"/>
        </w:rPr>
        <w:t xml:space="preserve">Most Painful Area</w:t>
      </w:r>
    </w:p>
    <w:p>
      <w:pPr>
        <w:spacing w:after="120"/>
      </w:pPr>
      <w:r>
        <w:rPr>
          <w:rFonts w:ascii="Arial" w:cs="Arial" w:eastAsia="Arial" w:hAnsi="Arial"/>
          <w:color w:val="161616"/>
          <w:sz w:val="22"/>
          <w:szCs w:val="22"/>
        </w:rPr>
        <w:t xml:space="preserve">The most painful area is the entirely reactive nature of risk management. MCC has just defined its auditable unit and identified high-risk areas, but the monitoring and testing approach is quarterly and manual. Sue described wanting to take the audit framework's risk definitions and get AI-driven insights 'versus waiting for quarterly testing.' Joyce identified a pattern where auditors have different focus areas each year, and the team reactively 'scurries around' to fix whatever the current audit priority reveals. Kimberly added that in a post-agentification world, risk management fundamentally changes from catching human errors to monitoring for systemic biases and AI-related risks. The team has the risk framework freshly defined (Alexandra: 'We have it ready'), creating a window of opportunity to build monitoring before the next audit cycle.</w:t>
      </w:r>
    </w:p>
    <w:p>
      <w:pPr>
        <w:pStyle w:val="Heading2"/>
        <w:spacing w:before="280" w:after="160"/>
      </w:pPr>
      <w:r>
        <w:rPr>
          <w:rFonts w:ascii="Arial" w:cs="Arial" w:eastAsia="Arial" w:hAnsi="Arial"/>
          <w:b/>
          <w:bCs/>
          <w:color w:val="161616"/>
          <w:sz w:val="28"/>
          <w:szCs w:val="28"/>
        </w:rPr>
        <w:t xml:space="preserve">6. Impact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Business Impact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MEDIUM-HIGH. The headcount against risk management is small, so the efficiency gain is modest. However, the downstream impact of undetected risk is potentially very large: compliance penalties, audit findings, financial exposure. David Gerken specifically asked about this: 'significant downstream implications?' The answer is speed and early detection, not headcount.</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Technical Feasibility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MEDIUM-HIGH. The newly defined audit framework provides structured risk categories for AI to monitor against. Operational data exists in Uptempo, SAP, and other systems. Rules-based anomaly detection is technically mature. Paul's quarter-close automation project with IX/CIO already demonstrates the rules-based approach.</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Direct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Small risk management team under Sue (exact size unspecified).</w:t>
            </w:r>
          </w:p>
        </w:tc>
      </w:tr>
      <w:tr>
        <w:tc>
          <w:tcPr>
            <w:tcW w:type="dxa" w:w="2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b/>
                <w:bCs/>
                <w:sz w:val="22"/>
                <w:szCs w:val="22"/>
              </w:rPr>
              <w:t xml:space="preserve">Headcount - Broad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All MCC staff whose processes generate risk data. Compliance impact extends to MCC leadership and IBM audit.</w:t>
            </w:r>
          </w:p>
        </w:tc>
      </w:tr>
    </w:tbl>
    <w:p>
      <w:pPr>
        <w:spacing w:after="120"/>
      </w:pPr>
      <w:r>
        <w:rPr>
          <w:rFonts w:ascii="Arial" w:cs="Arial" w:eastAsia="Arial" w:hAnsi="Arial"/>
          <w:b/>
          <w:bCs/>
          <w:color w:val="DA1E28"/>
          <w:sz w:val="22"/>
          <w:szCs w:val="22"/>
        </w:rPr>
        <w:t xml:space="preserve">[GAP] </w:t>
      </w:r>
      <w:r>
        <w:rPr>
          <w:rFonts w:ascii="Arial" w:cs="Arial" w:eastAsia="Arial" w:hAnsi="Arial"/>
          <w:b/>
          <w:bCs/>
          <w:color w:val="DA1E28"/>
          <w:sz w:val="22"/>
          <w:szCs w:val="22"/>
        </w:rPr>
        <w:t xml:space="preserve">What is the financial exposure from past audit findings? This would quantify the 'risk reduced' benefit.</w:t>
      </w:r>
    </w:p>
    <w:p>
      <w:pPr>
        <w:spacing w:before="200" w:after="100"/>
      </w:pPr>
      <w:r>
        <w:rPr>
          <w:rFonts w:ascii="Arial" w:cs="Arial" w:eastAsia="Arial" w:hAnsi="Arial"/>
          <w:b/>
          <w:bCs/>
          <w:color w:val="525252"/>
          <w:sz w:val="24"/>
          <w:szCs w:val="24"/>
        </w:rPr>
        <w:t xml:space="preserve">Urgency Narrative</w:t>
      </w:r>
    </w:p>
    <w:p>
      <w:pPr>
        <w:spacing w:after="120"/>
      </w:pPr>
      <w:r>
        <w:rPr>
          <w:rFonts w:ascii="Arial" w:cs="Arial" w:eastAsia="Arial" w:hAnsi="Arial"/>
          <w:color w:val="161616"/>
          <w:sz w:val="22"/>
          <w:szCs w:val="22"/>
        </w:rPr>
        <w:t xml:space="preserve">The timing is optimal: MCC has just completed defining its auditable unit with the IBM audit team, and Alexandra has the framework 'ready.' Building continuous monitoring now means the agent is operational before the next audit cycle, demonstrating proactive risk management rather than reactive testing. Sue's enthusiasm was clear: 'This has just got my brain thinking.' Kimberly's observation that risk management 'looks entirely different in a post-agentified state' adds strategic importance: as MCC deploys more AI agents across other domains, the risk surface grows, making AI-powered risk monitoring not just useful but necessary. The quarter-close automation project already in progress with IX and CIO provides a technical foundation and organizational precedent.</w:t>
      </w:r>
    </w:p>
    <w:p>
      <w:pPr>
        <w:pStyle w:val="Heading2"/>
        <w:spacing w:before="280" w:after="160"/>
      </w:pPr>
      <w:r>
        <w:rPr>
          <w:rFonts w:ascii="Arial" w:cs="Arial" w:eastAsia="Arial" w:hAnsi="Arial"/>
          <w:b/>
          <w:bCs/>
          <w:color w:val="161616"/>
          <w:sz w:val="28"/>
          <w:szCs w:val="28"/>
        </w:rPr>
        <w:t xml:space="preserve">7. Reusability Across MCC</w:t>
      </w:r>
    </w:p>
    <w:p>
      <w:pPr>
        <w:spacing w:after="120"/>
      </w:pPr>
      <w:r>
        <w:rPr>
          <w:rFonts w:ascii="Arial" w:cs="Arial" w:eastAsia="Arial" w:hAnsi="Arial"/>
          <w:color w:val="161616"/>
          <w:sz w:val="22"/>
          <w:szCs w:val="22"/>
        </w:rPr>
        <w:t xml:space="preserve">High reusability. Every MCC domain generates compliance data that could be monitored. The pattern of continuous monitoring against structured risk frameworks applies to data governance (Kimberly's domain), vendor compliance, spend governance, and any future AI agents deployed across MCC. As Kimberly noted, the growing volume of data, tools, and AI deployments creates a risk surface that will only expand.</w:t>
      </w:r>
    </w:p>
    <w:p>
      <w:pPr>
        <w:pStyle w:val="Heading2"/>
        <w:spacing w:before="280" w:after="160"/>
      </w:pPr>
      <w:r>
        <w:rPr>
          <w:rFonts w:ascii="Arial" w:cs="Arial" w:eastAsia="Arial" w:hAnsi="Arial"/>
          <w:b/>
          <w:bCs/>
          <w:color w:val="161616"/>
          <w:sz w:val="28"/>
          <w:szCs w:val="28"/>
        </w:rPr>
        <w:t xml:space="preserve">8. Engagement &amp; Tech Requirements</w:t>
      </w:r>
    </w:p>
    <w:p>
      <w:pPr>
        <w:spacing w:before="200" w:after="100"/>
      </w:pPr>
      <w:r>
        <w:rPr>
          <w:rFonts w:ascii="Arial" w:cs="Arial" w:eastAsia="Arial" w:hAnsi="Arial"/>
          <w:b/>
          <w:bCs/>
          <w:color w:val="525252"/>
          <w:sz w:val="24"/>
          <w:szCs w:val="24"/>
        </w:rPr>
        <w:t xml:space="preserve">Engagement Needed</w:t>
      </w:r>
    </w:p>
    <w:p>
      <w:pPr>
        <w:spacing w:after="120"/>
      </w:pPr>
      <w:r>
        <w:rPr>
          <w:rFonts w:ascii="Arial" w:cs="Arial" w:eastAsia="Arial" w:hAnsi="Arial"/>
          <w:color w:val="161616"/>
          <w:sz w:val="22"/>
          <w:szCs w:val="22"/>
        </w:rPr>
        <w:t xml:space="preserve">Medium. Risk team is small and enthusiastic. IBM Audit team must collaborate on defining monitoring rules. CIO engagement exists via Koen's related quarter-close project.</w:t>
      </w:r>
    </w:p>
    <w:p>
      <w:pPr>
        <w:spacing w:before="200" w:after="100"/>
      </w:pPr>
      <w:r>
        <w:rPr>
          <w:rFonts w:ascii="Arial" w:cs="Arial" w:eastAsia="Arial" w:hAnsi="Arial"/>
          <w:b/>
          <w:bCs/>
          <w:color w:val="525252"/>
          <w:sz w:val="24"/>
          <w:szCs w:val="24"/>
        </w:rPr>
        <w:t xml:space="preserve">New Tech Requirements</w:t>
      </w:r>
    </w:p>
    <w:p>
      <w:pPr>
        <w:pStyle w:val="ListParagraph"/>
        <w:numPr>
          <w:ilvl w:val="0"/>
          <w:numId w:val="2"/>
        </w:numPr>
        <w:spacing w:after="60"/>
      </w:pPr>
      <w:r>
        <w:rPr>
          <w:rFonts w:ascii="Arial" w:cs="Arial" w:eastAsia="Arial" w:hAnsi="Arial"/>
          <w:color w:val="161616"/>
          <w:sz w:val="22"/>
          <w:szCs w:val="22"/>
        </w:rPr>
        <w:t xml:space="preserve">Risk monitoring agent connected to Uptempo, SAP, and other operational data sources.</w:t>
      </w:r>
    </w:p>
    <w:p>
      <w:pPr>
        <w:pStyle w:val="ListParagraph"/>
        <w:numPr>
          <w:ilvl w:val="0"/>
          <w:numId w:val="2"/>
        </w:numPr>
        <w:spacing w:after="60"/>
      </w:pPr>
      <w:r>
        <w:rPr>
          <w:rFonts w:ascii="Arial" w:cs="Arial" w:eastAsia="Arial" w:hAnsi="Arial"/>
          <w:color w:val="161616"/>
          <w:sz w:val="22"/>
          <w:szCs w:val="22"/>
        </w:rPr>
        <w:t xml:space="preserve">Rules engine mapping audit framework risk categories to data indicators.</w:t>
      </w:r>
    </w:p>
    <w:p>
      <w:pPr>
        <w:pStyle w:val="ListParagraph"/>
        <w:numPr>
          <w:ilvl w:val="0"/>
          <w:numId w:val="2"/>
        </w:numPr>
        <w:spacing w:after="60"/>
      </w:pPr>
      <w:r>
        <w:rPr>
          <w:rFonts w:ascii="Arial" w:cs="Arial" w:eastAsia="Arial" w:hAnsi="Arial"/>
          <w:color w:val="161616"/>
          <w:sz w:val="22"/>
          <w:szCs w:val="22"/>
        </w:rPr>
        <w:t xml:space="preserve">Continuous anomaly detection across spend, vendor, and process data.</w:t>
      </w:r>
    </w:p>
    <w:p>
      <w:pPr>
        <w:pStyle w:val="ListParagraph"/>
        <w:numPr>
          <w:ilvl w:val="0"/>
          <w:numId w:val="2"/>
        </w:numPr>
        <w:spacing w:after="60"/>
      </w:pPr>
      <w:r>
        <w:rPr>
          <w:rFonts w:ascii="Arial" w:cs="Arial" w:eastAsia="Arial" w:hAnsi="Arial"/>
          <w:color w:val="161616"/>
          <w:sz w:val="22"/>
          <w:szCs w:val="22"/>
        </w:rPr>
        <w:t xml:space="preserve">Risk dashboard with prioritization and trend analysis.</w:t>
      </w:r>
    </w:p>
    <w:p>
      <w:pPr>
        <w:pStyle w:val="ListParagraph"/>
        <w:numPr>
          <w:ilvl w:val="0"/>
          <w:numId w:val="2"/>
        </w:numPr>
        <w:spacing w:after="60"/>
      </w:pPr>
      <w:r>
        <w:rPr>
          <w:rFonts w:ascii="Arial" w:cs="Arial" w:eastAsia="Arial" w:hAnsi="Arial"/>
          <w:color w:val="161616"/>
          <w:sz w:val="22"/>
          <w:szCs w:val="22"/>
        </w:rPr>
        <w:t xml:space="preserve">Automated certification report generation.</w:t>
      </w:r>
    </w:p>
    <w:p>
      <w:pPr>
        <w:spacing w:before="200" w:after="100"/>
      </w:pPr>
      <w:r>
        <w:rPr>
          <w:rFonts w:ascii="Arial" w:cs="Arial" w:eastAsia="Arial" w:hAnsi="Arial"/>
          <w:b/>
          <w:bCs/>
          <w:color w:val="525252"/>
          <w:sz w:val="24"/>
          <w:szCs w:val="24"/>
        </w:rPr>
        <w:t xml:space="preserve">Additional Discovery Needed</w:t>
      </w:r>
    </w:p>
    <w:p>
      <w:pPr>
        <w:pStyle w:val="ListParagraph"/>
        <w:numPr>
          <w:ilvl w:val="0"/>
          <w:numId w:val="2"/>
        </w:numPr>
        <w:spacing w:after="60"/>
      </w:pPr>
      <w:r>
        <w:rPr>
          <w:rFonts w:ascii="Arial" w:cs="Arial" w:eastAsia="Arial" w:hAnsi="Arial"/>
          <w:color w:val="161616"/>
          <w:sz w:val="22"/>
          <w:szCs w:val="22"/>
        </w:rPr>
        <w:t xml:space="preserve">Sue committed to sharing the audit framework and risk definitions.</w:t>
      </w:r>
    </w:p>
    <w:p>
      <w:pPr>
        <w:pStyle w:val="ListParagraph"/>
        <w:numPr>
          <w:ilvl w:val="0"/>
          <w:numId w:val="2"/>
        </w:numPr>
        <w:spacing w:after="60"/>
      </w:pPr>
      <w:r>
        <w:rPr>
          <w:rFonts w:ascii="Arial" w:cs="Arial" w:eastAsia="Arial" w:hAnsi="Arial"/>
          <w:color w:val="161616"/>
          <w:sz w:val="22"/>
          <w:szCs w:val="22"/>
        </w:rPr>
        <w:t xml:space="preserve">Detailed mapping of which systems contain monitorable risk data.</w:t>
      </w:r>
    </w:p>
    <w:p>
      <w:pPr>
        <w:pStyle w:val="ListParagraph"/>
        <w:numPr>
          <w:ilvl w:val="0"/>
          <w:numId w:val="2"/>
        </w:numPr>
        <w:spacing w:after="60"/>
      </w:pPr>
      <w:r>
        <w:rPr>
          <w:rFonts w:ascii="Arial" w:cs="Arial" w:eastAsia="Arial" w:hAnsi="Arial"/>
          <w:color w:val="161616"/>
          <w:sz w:val="22"/>
          <w:szCs w:val="22"/>
        </w:rPr>
        <w:t xml:space="preserve">Review Koen's quarter-close automation project for reusable components.</w:t>
      </w:r>
    </w:p>
    <w:p>
      <w:pPr>
        <w:pStyle w:val="Heading2"/>
        <w:spacing w:before="280" w:after="160"/>
      </w:pPr>
      <w:r>
        <w:rPr>
          <w:rFonts w:ascii="Arial" w:cs="Arial" w:eastAsia="Arial" w:hAnsi="Arial"/>
          <w:b/>
          <w:bCs/>
          <w:color w:val="161616"/>
          <w:sz w:val="28"/>
          <w:szCs w:val="28"/>
        </w:rPr>
        <w:t xml:space="preserve">9. Dependencies &amp; Constraints</w:t>
      </w:r>
    </w:p>
    <w:p>
      <w:pPr>
        <w:pStyle w:val="ListParagraph"/>
        <w:numPr>
          <w:ilvl w:val="0"/>
          <w:numId w:val="2"/>
        </w:numPr>
        <w:spacing w:after="60"/>
      </w:pPr>
      <w:r>
        <w:rPr>
          <w:rFonts w:ascii="Arial" w:cs="Arial" w:eastAsia="Arial" w:hAnsi="Arial"/>
          <w:color w:val="161616"/>
          <w:sz w:val="22"/>
          <w:szCs w:val="22"/>
        </w:rPr>
        <w:t xml:space="preserve">Audit framework recency: Just defined. Risk categories may evolve as MCC gains experience with the framework.</w:t>
      </w:r>
    </w:p>
    <w:p>
      <w:pPr>
        <w:pStyle w:val="ListParagraph"/>
        <w:numPr>
          <w:ilvl w:val="0"/>
          <w:numId w:val="2"/>
        </w:numPr>
        <w:spacing w:after="60"/>
      </w:pPr>
      <w:r>
        <w:rPr>
          <w:rFonts w:ascii="Arial" w:cs="Arial" w:eastAsia="Arial" w:hAnsi="Arial"/>
          <w:color w:val="161616"/>
          <w:sz w:val="22"/>
          <w:szCs w:val="22"/>
        </w:rPr>
        <w:t xml:space="preserve">Data access: Monitoring requires read access to Uptempo, SAP, and potentially other operational systems.</w:t>
      </w:r>
    </w:p>
    <w:p>
      <w:pPr>
        <w:pStyle w:val="ListParagraph"/>
        <w:numPr>
          <w:ilvl w:val="0"/>
          <w:numId w:val="2"/>
        </w:numPr>
        <w:spacing w:after="60"/>
      </w:pPr>
      <w:r>
        <w:rPr>
          <w:rFonts w:ascii="Arial" w:cs="Arial" w:eastAsia="Arial" w:hAnsi="Arial"/>
          <w:color w:val="161616"/>
          <w:sz w:val="22"/>
          <w:szCs w:val="22"/>
        </w:rPr>
        <w:t xml:space="preserve">IBM-wide alignment: Risk management processes must align with broader IBM audit standards and tooling.</w:t>
      </w:r>
    </w:p>
    <w:p>
      <w:pPr>
        <w:pStyle w:val="ListParagraph"/>
        <w:numPr>
          <w:ilvl w:val="0"/>
          <w:numId w:val="2"/>
        </w:numPr>
        <w:spacing w:after="60"/>
      </w:pPr>
      <w:r>
        <w:rPr>
          <w:rFonts w:ascii="Arial" w:cs="Arial" w:eastAsia="Arial" w:hAnsi="Arial"/>
          <w:color w:val="161616"/>
          <w:sz w:val="22"/>
          <w:szCs w:val="22"/>
        </w:rPr>
        <w:t xml:space="preserve">Small team: Risk management team is small; any build must be low-maintenance once deployed.</w:t>
      </w:r>
    </w:p>
    <w:p>
      <w:pPr>
        <w:pStyle w:val="ListParagraph"/>
        <w:numPr>
          <w:ilvl w:val="0"/>
          <w:numId w:val="2"/>
        </w:numPr>
        <w:spacing w:after="60"/>
      </w:pPr>
      <w:r>
        <w:rPr>
          <w:rFonts w:ascii="Arial" w:cs="Arial" w:eastAsia="Arial" w:hAnsi="Arial"/>
          <w:color w:val="161616"/>
          <w:sz w:val="22"/>
          <w:szCs w:val="22"/>
        </w:rPr>
        <w:t xml:space="preserve">AI governance: Kimberly's team must validate that any AI risk monitoring agent itself meets IBM AI governance standards.</w:t>
      </w:r>
    </w:p>
    <w:p>
      <w:pPr>
        <w:pStyle w:val="Heading2"/>
        <w:spacing w:before="280" w:after="160"/>
      </w:pPr>
      <w:r>
        <w:rPr>
          <w:rFonts w:ascii="Arial" w:cs="Arial" w:eastAsia="Arial" w:hAnsi="Arial"/>
          <w:b/>
          <w:bCs/>
          <w:color w:val="161616"/>
          <w:sz w:val="28"/>
          <w:szCs w:val="28"/>
        </w:rPr>
        <w:t xml:space="preserve">10. Callouts &amp; Questions</w:t>
      </w:r>
    </w:p>
    <w:p>
      <w:pPr>
        <w:pStyle w:val="ListParagraph"/>
        <w:numPr>
          <w:ilvl w:val="0"/>
          <w:numId w:val="2"/>
        </w:numPr>
        <w:spacing w:after="60"/>
      </w:pPr>
      <w:r>
        <w:rPr>
          <w:rFonts w:ascii="Arial" w:cs="Arial" w:eastAsia="Arial" w:hAnsi="Arial"/>
          <w:color w:val="161616"/>
          <w:sz w:val="22"/>
          <w:szCs w:val="22"/>
        </w:rPr>
        <w:t xml:space="preserve">Sue committed to a deeper dive on risk and to sharing the audit framework. This should be scheduled as a follow-up.</w:t>
      </w:r>
    </w:p>
    <w:p>
      <w:pPr>
        <w:pStyle w:val="ListParagraph"/>
        <w:numPr>
          <w:ilvl w:val="0"/>
          <w:numId w:val="2"/>
        </w:numPr>
        <w:spacing w:after="60"/>
      </w:pPr>
      <w:r>
        <w:rPr>
          <w:rFonts w:ascii="Arial" w:cs="Arial" w:eastAsia="Arial" w:hAnsi="Arial"/>
          <w:color w:val="161616"/>
          <w:sz w:val="22"/>
          <w:szCs w:val="22"/>
        </w:rPr>
        <w:t xml:space="preserve">Can the quarter-close automation rules engine (Koen's IX/CIO project) be extended to broader risk monitoring?</w:t>
      </w:r>
    </w:p>
    <w:p>
      <w:pPr>
        <w:pStyle w:val="ListParagraph"/>
        <w:numPr>
          <w:ilvl w:val="0"/>
          <w:numId w:val="2"/>
        </w:numPr>
        <w:spacing w:after="60"/>
      </w:pPr>
      <w:r>
        <w:rPr>
          <w:rFonts w:ascii="Arial" w:cs="Arial" w:eastAsia="Arial" w:hAnsi="Arial"/>
          <w:color w:val="161616"/>
          <w:sz w:val="22"/>
          <w:szCs w:val="22"/>
        </w:rPr>
        <w:t xml:space="preserve">How do we ensure the risk monitoring agent stays calibrated to the audit team's evolving focus areas?</w:t>
      </w:r>
    </w:p>
    <w:p>
      <w:pPr>
        <w:pStyle w:val="ListParagraph"/>
        <w:numPr>
          <w:ilvl w:val="0"/>
          <w:numId w:val="2"/>
        </w:numPr>
        <w:spacing w:after="60"/>
      </w:pPr>
      <w:r>
        <w:rPr>
          <w:rFonts w:ascii="Arial" w:cs="Arial" w:eastAsia="Arial" w:hAnsi="Arial"/>
          <w:color w:val="161616"/>
          <w:sz w:val="22"/>
          <w:szCs w:val="22"/>
        </w:rPr>
        <w:t xml:space="preserve">What is the governance model for AI monitoring AI? As MCC deploys more agents, who monitors the monitors?</w:t>
      </w:r>
    </w:p>
    <w:p>
      <w:pPr>
        <w:pStyle w:val="ListParagraph"/>
        <w:numPr>
          <w:ilvl w:val="0"/>
          <w:numId w:val="2"/>
        </w:numPr>
        <w:spacing w:after="60"/>
      </w:pPr>
      <w:r>
        <w:rPr>
          <w:rFonts w:ascii="Arial" w:cs="Arial" w:eastAsia="Arial" w:hAnsi="Arial"/>
          <w:color w:val="161616"/>
          <w:sz w:val="22"/>
          <w:szCs w:val="22"/>
        </w:rPr>
        <w:t xml:space="preserve">Should risk monitoring be a standalone agent or integrated into the Program Budget Optimization Agent as a guardrail layer?</w:t>
      </w:r>
    </w:p>
    <w:p>
      <w:r>
        <w:br w:type="page"/>
      </w:r>
    </w:p>
    <w:p>
      <w:pPr>
        <w:pStyle w:val="Heading1"/>
        <w:spacing w:before="360" w:after="200"/>
      </w:pPr>
      <w:r>
        <w:rPr>
          <w:rFonts w:ascii="Arial" w:cs="Arial" w:eastAsia="Arial" w:hAnsi="Arial"/>
          <w:b/>
          <w:bCs/>
          <w:color w:val="0F62FE"/>
          <w:sz w:val="36"/>
          <w:szCs w:val="36"/>
        </w:rPr>
        <w:t xml:space="preserve">Gap Summary</w:t>
      </w:r>
    </w:p>
    <w:p>
      <w:pPr>
        <w:pBdr>
          <w:bottom w:val="single" w:color="0F62FE" w:sz="6" w:space="1"/>
        </w:pBdr>
        <w:spacing w:before="200" w:after="200"/>
      </w:pPr>
    </w:p>
    <w:p>
      <w:pPr>
        <w:spacing w:after="120"/>
      </w:pPr>
      <w:r>
        <w:rPr>
          <w:rFonts w:ascii="Arial" w:cs="Arial" w:eastAsia="Arial" w:hAnsi="Arial"/>
          <w:color w:val="161616"/>
          <w:sz w:val="22"/>
          <w:szCs w:val="22"/>
        </w:rPr>
        <w:t xml:space="preserve">The following gaps were identified across all three T&amp;O workflow analysis cards.</w:t>
      </w:r>
    </w:p>
    <w:p>
      <w:pPr>
        <w:pStyle w:val="Heading2"/>
        <w:spacing w:before="280" w:after="160"/>
      </w:pPr>
      <w:r>
        <w:rPr>
          <w:rFonts w:ascii="Arial" w:cs="Arial" w:eastAsia="Arial" w:hAnsi="Arial"/>
          <w:b/>
          <w:bCs/>
          <w:color w:val="161616"/>
          <w:sz w:val="28"/>
          <w:szCs w:val="28"/>
        </w:rPr>
        <w:t xml:space="preserve">Workflow 1: Program Budget Optimization &amp; Scenario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functional leaders who make tactic allocation decisions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the decision-making structure across 8 teams</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 for each planning step; tactics planned per quarter</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Sue/Koen on quarterly planning timeline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state of Uptempo AI capabilities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Paul to provide resource under Mark Mills for technical review</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flows between Uptempo and Salesforce pipeline data</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discovery with CIO and Mark Mills'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MCC annual program budget</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Paul/finance</w:t>
            </w:r>
          </w:p>
        </w:tc>
      </w:tr>
    </w:tbl>
    <w:p>
      <w:pPr>
        <w:pStyle w:val="Heading2"/>
        <w:spacing w:before="280" w:after="160"/>
      </w:pPr>
      <w:r>
        <w:rPr>
          <w:rFonts w:ascii="Arial" w:cs="Arial" w:eastAsia="Arial" w:hAnsi="Arial"/>
          <w:b/>
          <w:bCs/>
          <w:color w:val="161616"/>
          <w:sz w:val="28"/>
          <w:szCs w:val="28"/>
        </w:rPr>
        <w:t xml:space="preserve">Workflow 2: Infrastructure Budget &amp; Workforce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 team FTE count for workforce planning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Sue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Infrastructure budget category breakdown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Paul/Mark</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SPI data elements and security classification</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with Kimberly and IBM security</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 IPA handle SPI, or is new platform needed?</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assessment with CIO</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Workforce plan change frequency and reforecast labor hours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study with Sue's team</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6</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60-country labor law considerations for planning</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Legal/HR review</w:t>
            </w:r>
          </w:p>
        </w:tc>
      </w:tr>
    </w:tbl>
    <w:p>
      <w:pPr>
        <w:pStyle w:val="Heading2"/>
        <w:spacing w:before="280" w:after="160"/>
      </w:pPr>
      <w:r>
        <w:rPr>
          <w:rFonts w:ascii="Arial" w:cs="Arial" w:eastAsia="Arial" w:hAnsi="Arial"/>
          <w:b/>
          <w:bCs/>
          <w:color w:val="161616"/>
          <w:sz w:val="28"/>
          <w:szCs w:val="28"/>
        </w:rPr>
        <w:t xml:space="preserve">Workflow 3: Risk &amp; Compliance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4380"/>
            <w:tcBorders>
              <w:top w:val="single" w:color="CCCCCC" w:sz="1"/>
              <w:left w:val="single" w:color="CCCCCC" w:sz="1"/>
              <w:bottom w:val="single" w:color="CCCCCC" w:sz="1"/>
              <w:right w:val="single" w:color="CCCCCC" w:sz="1"/>
            </w:tcBorders>
            <w:shd w:fill="0F62FE" w:val="clear"/>
            <w:tcMar>
              <w:top w:type="dxa" w:w="80"/>
              <w:left w:type="dxa" w:w="120"/>
              <w:bottom w:type="dxa" w:w="80"/>
              <w:right w:type="dxa" w:w="120"/>
            </w:tcMar>
          </w:tcPr>
          <w:p>
            <w:r>
              <w:rPr>
                <w:rFonts w:ascii="Arial" w:cs="Arial" w:eastAsia="Arial" w:hAnsi="Arial"/>
                <w:b/>
                <w:bCs/>
                <w:color w:val="FFFFFF"/>
                <w:sz w:val="20"/>
                <w:szCs w:val="20"/>
              </w:rPr>
              <w:t xml:space="preserve">Recommended Next Step</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1</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management team size</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Sue</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2</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Specific risk categories from audit framework</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Sue committed to sharing audit framework</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3</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Types and volume of quarterly risk tests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 session with Sue and Alexandra</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4</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Systems containing monitorable risk data (full inventory)</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discovery with risk team and CIO</w:t>
            </w:r>
          </w:p>
        </w:tc>
      </w:tr>
      <w:tr>
        <w:tc>
          <w:tcPr>
            <w:tcW w:type="dxa" w:w="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sz w:val="20"/>
                <w:szCs w:val="20"/>
              </w:rPr>
              <w:t xml:space="preserve">5</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exposure from past audit findings</w:t>
            </w:r>
          </w:p>
        </w:tc>
        <w:tc>
          <w:tcPr>
            <w:tcW w:type="dxa" w:w="4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 from Sue/Paul</w:t>
            </w:r>
          </w:p>
        </w:tc>
      </w:tr>
    </w:tbl>
    <w:p>
      <w:pPr>
        <w:pStyle w:val="Heading2"/>
        <w:spacing w:before="280" w:after="160"/>
      </w:pPr>
      <w:r>
        <w:rPr>
          <w:rFonts w:ascii="Arial" w:cs="Arial" w:eastAsia="Arial" w:hAnsi="Arial"/>
          <w:b/>
          <w:bCs/>
          <w:color w:val="161616"/>
          <w:sz w:val="28"/>
          <w:szCs w:val="28"/>
        </w:rPr>
        <w:t xml:space="preserve">Cross-Workflow Action Items</w:t>
      </w:r>
    </w:p>
    <w:p>
      <w:pPr>
        <w:pStyle w:val="ListParagraph"/>
        <w:numPr>
          <w:ilvl w:val="0"/>
          <w:numId w:val="2"/>
        </w:numPr>
        <w:spacing w:after="60"/>
      </w:pPr>
      <w:r>
        <w:rPr>
          <w:rFonts w:ascii="Arial" w:cs="Arial" w:eastAsia="Arial" w:hAnsi="Arial"/>
          <w:color w:val="161616"/>
          <w:sz w:val="22"/>
          <w:szCs w:val="22"/>
        </w:rPr>
        <w:t xml:space="preserve">Paul committed to having Mairead/Sue canvas the team for priority manual workflows by Tuesday.</w:t>
      </w:r>
    </w:p>
    <w:p>
      <w:pPr>
        <w:pStyle w:val="ListParagraph"/>
        <w:numPr>
          <w:ilvl w:val="0"/>
          <w:numId w:val="2"/>
        </w:numPr>
        <w:spacing w:after="60"/>
      </w:pPr>
      <w:r>
        <w:rPr>
          <w:rFonts w:ascii="Arial" w:cs="Arial" w:eastAsia="Arial" w:hAnsi="Arial"/>
          <w:color w:val="161616"/>
          <w:sz w:val="22"/>
          <w:szCs w:val="22"/>
        </w:rPr>
        <w:t xml:space="preserve">Paul committed to providing a resource under Mark Mills for detailed Uptempo technical review.</w:t>
      </w:r>
    </w:p>
    <w:p>
      <w:pPr>
        <w:pStyle w:val="ListParagraph"/>
        <w:numPr>
          <w:ilvl w:val="0"/>
          <w:numId w:val="2"/>
        </w:numPr>
        <w:spacing w:after="60"/>
      </w:pPr>
      <w:r>
        <w:rPr>
          <w:rFonts w:ascii="Arial" w:cs="Arial" w:eastAsia="Arial" w:hAnsi="Arial"/>
          <w:color w:val="161616"/>
          <w:sz w:val="22"/>
          <w:szCs w:val="22"/>
        </w:rPr>
        <w:t xml:space="preserve">Sue committed to sharing the audit framework and scheduling a deeper risk management dive.</w:t>
      </w:r>
    </w:p>
    <w:p>
      <w:pPr>
        <w:pStyle w:val="ListParagraph"/>
        <w:numPr>
          <w:ilvl w:val="0"/>
          <w:numId w:val="2"/>
        </w:numPr>
        <w:spacing w:after="60"/>
      </w:pPr>
      <w:r>
        <w:rPr>
          <w:rFonts w:ascii="Arial" w:cs="Arial" w:eastAsia="Arial" w:hAnsi="Arial"/>
          <w:color w:val="161616"/>
          <w:sz w:val="22"/>
          <w:szCs w:val="22"/>
        </w:rPr>
        <w:t xml:space="preserve">Kimberly offered a side conversation on data governance/AI governance opportunities.</w:t>
      </w:r>
    </w:p>
    <w:p>
      <w:pPr>
        <w:pStyle w:val="ListParagraph"/>
        <w:numPr>
          <w:ilvl w:val="0"/>
          <w:numId w:val="2"/>
        </w:numPr>
        <w:spacing w:after="60"/>
      </w:pPr>
      <w:r>
        <w:rPr>
          <w:rFonts w:ascii="Arial" w:cs="Arial" w:eastAsia="Arial" w:hAnsi="Arial"/>
          <w:color w:val="161616"/>
          <w:sz w:val="22"/>
          <w:szCs w:val="22"/>
        </w:rPr>
        <w:t xml:space="preserve">David Gerken committed to research on the Uptempo ecosystem and complementary AI vendors.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25252"/>
        <w:sz w:val="18"/>
        <w:szCs w:val="18"/>
      </w:rPr>
      <w:t xml:space="preserve">IBM MCC AI Transformation  |  Marketing Transformation &amp; Operations  |  Page </w:t>
    </w:r>
    <w:r>
      <w:rPr>
        <w:rFonts w:ascii="Arial" w:cs="Arial" w:eastAsia="Arial" w:hAnsi="Arial"/>
        <w:color w:val="52525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25252"/>
        <w:sz w:val="18"/>
        <w:szCs w:val="18"/>
      </w:rPr>
      <w:t xml:space="preserve">MCC Workflow Agentic Solution Analysis Cards - T&amp;O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62F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6161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2026-03-04T19:49:32.584Z</dcterms:created>
  <dcterms:modified xsi:type="dcterms:W3CDTF">2026-03-04T19:49:32.585Z</dcterms:modified>
</cp:coreProperties>
</file>

<file path=docProps/custom.xml><?xml version="1.0" encoding="utf-8"?>
<Properties xmlns="http://schemas.openxmlformats.org/officeDocument/2006/custom-properties" xmlns:vt="http://schemas.openxmlformats.org/officeDocument/2006/docPropsVTypes"/>
</file>