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0F62FE"/>
          <w:sz w:val="72"/>
          <w:szCs w:val="72"/>
        </w:rPr>
        <w:t xml:space="preserve">MCC Workflow Agentic Solution</w:t>
      </w:r>
    </w:p>
    <w:p>
      <w:pPr>
        <w:spacing w:after="400"/>
      </w:pPr>
      <w:r>
        <w:rPr>
          <w:rFonts w:ascii="Arial" w:cs="Arial" w:eastAsia="Arial" w:hAnsi="Arial"/>
          <w:b/>
          <w:bCs/>
          <w:color w:val="0F62FE"/>
          <w:sz w:val="72"/>
          <w:szCs w:val="72"/>
        </w:rPr>
        <w:t xml:space="preserve">Analysis Cards</w:t>
      </w:r>
    </w:p>
    <w:p>
      <w:pPr>
        <w:pBdr>
          <w:bottom w:val="single" w:color="0F62FE" w:sz="6" w:space="1"/>
        </w:pBdr>
        <w:spacing w:after="200" w:before="200"/>
      </w:pPr>
    </w:p>
    <w:p>
      <w:pPr>
        <w:spacing w:after="100"/>
      </w:pPr>
      <w:r>
        <w:rPr>
          <w:rFonts w:ascii="Arial" w:cs="Arial" w:eastAsia="Arial" w:hAnsi="Arial"/>
          <w:b/>
          <w:bCs/>
          <w:color w:val="525252"/>
          <w:sz w:val="28"/>
          <w:szCs w:val="28"/>
        </w:rPr>
        <w:t xml:space="preserve">Domain: </w:t>
      </w:r>
      <w:r>
        <w:rPr>
          <w:rFonts w:ascii="Arial" w:cs="Arial" w:eastAsia="Arial" w:hAnsi="Arial"/>
          <w:color w:val="161616"/>
          <w:sz w:val="28"/>
          <w:szCs w:val="28"/>
        </w:rPr>
        <w:t xml:space="preserve">Analyst Relations</w:t>
      </w:r>
    </w:p>
    <w:p>
      <w:pPr>
        <w:spacing w:after="100"/>
      </w:pPr>
      <w:r>
        <w:rPr>
          <w:rFonts w:ascii="Arial" w:cs="Arial" w:eastAsia="Arial" w:hAnsi="Arial"/>
          <w:b/>
          <w:bCs/>
          <w:color w:val="525252"/>
          <w:sz w:val="28"/>
          <w:szCs w:val="28"/>
        </w:rPr>
        <w:t xml:space="preserve">Source: </w:t>
      </w:r>
      <w:r>
        <w:rPr>
          <w:rFonts w:ascii="Arial" w:cs="Arial" w:eastAsia="Arial" w:hAnsi="Arial"/>
          <w:color w:val="161616"/>
          <w:sz w:val="28"/>
          <w:szCs w:val="28"/>
        </w:rPr>
        <w:t xml:space="preserve">Interview conducted March 10, 2026</w:t>
      </w:r>
    </w:p>
    <w:p>
      <w:pPr>
        <w:spacing w:after="100"/>
      </w:pPr>
      <w:r>
        <w:rPr>
          <w:rFonts w:ascii="Arial" w:cs="Arial" w:eastAsia="Arial" w:hAnsi="Arial"/>
          <w:b/>
          <w:bCs/>
          <w:color w:val="525252"/>
          <w:sz w:val="28"/>
          <w:szCs w:val="28"/>
        </w:rPr>
        <w:t xml:space="preserve">Participants: </w:t>
      </w:r>
      <w:r>
        <w:rPr>
          <w:rFonts w:ascii="Arial" w:cs="Arial" w:eastAsia="Arial" w:hAnsi="Arial"/>
          <w:color w:val="161616"/>
          <w:sz w:val="28"/>
          <w:szCs w:val="28"/>
        </w:rPr>
        <w:t xml:space="preserve">Elizabeth Bamonte, John Spooner, Gisele Spolador Lopes, Christina Rohrmann, Rosanna Palmisano, Estefano Desiderio Cezar Bento</w:t>
      </w:r>
    </w:p>
    <w:p>
      <w:pPr>
        <w:spacing w:after="100"/>
      </w:pPr>
      <w:r>
        <w:rPr>
          <w:rFonts w:ascii="Arial" w:cs="Arial" w:eastAsia="Arial" w:hAnsi="Arial"/>
          <w:b/>
          <w:bCs/>
          <w:color w:val="525252"/>
          <w:sz w:val="28"/>
          <w:szCs w:val="28"/>
        </w:rPr>
        <w:t xml:space="preserve">Facilitators: </w:t>
      </w:r>
      <w:r>
        <w:rPr>
          <w:rFonts w:ascii="Arial" w:cs="Arial" w:eastAsia="Arial" w:hAnsi="Arial"/>
          <w:color w:val="161616"/>
          <w:sz w:val="28"/>
          <w:szCs w:val="28"/>
        </w:rPr>
        <w:t xml:space="preserve">Tucker Rizzi, David Gerken, Sandra Grieden, Puja Gupta</w:t>
      </w:r>
    </w:p>
    <w:p/>
    <w:p>
      <w:pPr>
        <w:spacing w:after="200"/>
      </w:pPr>
      <w:r>
        <w:rPr>
          <w:rFonts w:ascii="Arial" w:cs="Arial" w:eastAsia="Arial" w:hAnsi="Arial"/>
          <w:b/>
          <w:bCs/>
          <w:color w:val="161616"/>
          <w:sz w:val="28"/>
          <w:szCs w:val="28"/>
        </w:rPr>
        <w:t xml:space="preserve">Workflows Analyzed:</w:t>
      </w:r>
    </w:p>
    <w:p>
      <w:pPr>
        <w:pStyle w:val="ListParagraph"/>
        <w:numPr>
          <w:ilvl w:val="0"/>
          <w:numId w:val="2"/>
        </w:numPr>
        <w:spacing w:after="80"/>
      </w:pPr>
      <w:r>
        <w:rPr>
          <w:rFonts w:ascii="Arial" w:cs="Arial" w:eastAsia="Arial" w:hAnsi="Arial"/>
          <w:color w:val="161616"/>
          <w:sz w:val="24"/>
          <w:szCs w:val="24"/>
        </w:rPr>
        <w:t xml:space="preserve">Workflow 1: RFI Response Intelligence Agent (RFI Ninja)</w:t>
      </w:r>
    </w:p>
    <w:p>
      <w:pPr>
        <w:pStyle w:val="ListParagraph"/>
        <w:numPr>
          <w:ilvl w:val="0"/>
          <w:numId w:val="2"/>
        </w:numPr>
        <w:spacing w:after="80"/>
      </w:pPr>
      <w:r>
        <w:rPr>
          <w:rFonts w:ascii="Arial" w:cs="Arial" w:eastAsia="Arial" w:hAnsi="Arial"/>
          <w:color w:val="161616"/>
          <w:sz w:val="24"/>
          <w:szCs w:val="24"/>
        </w:rPr>
        <w:t xml:space="preserve">Workflow 2: Analyst Insight Amplification &amp; Enterprise Activation Agent</w:t>
      </w:r>
    </w:p>
    <w:p/>
    <w:p>
      <w:pPr>
        <w:spacing w:after="100"/>
      </w:pPr>
      <w:r>
        <w:rPr>
          <w:rFonts w:ascii="Arial" w:cs="Arial" w:eastAsia="Arial" w:hAnsi="Arial"/>
          <w:i/>
          <w:iCs/>
          <w:color w:val="525252"/>
          <w:sz w:val="22"/>
          <w:szCs w:val="22"/>
        </w:rPr>
        <w:t xml:space="preserve">NOTE: The Analyst Relations team arrived with a detailed pre-read document including a proposed three-component enterprise architecture, existing prototypes (watsonx RFI Ninja, Copilot experiments), defined KPIs, and an operating model. Workflow scoping was refined during the interview with facilitator input. David Gerken proposed consolidating the team's three workflow areas (RFI response, outcome tracking, insight amplification) into two core workflows, which the team confirmed.</w:t>
      </w:r>
    </w:p>
    <w:p>
      <w:r>
        <w:br w:type="page"/>
      </w:r>
    </w:p>
    <w:p>
      <w:pPr>
        <w:spacing w:after="200" w:before="400"/>
      </w:pPr>
      <w:r>
        <w:rPr>
          <w:rFonts w:ascii="Arial" w:cs="Arial" w:eastAsia="Arial" w:hAnsi="Arial"/>
          <w:b/>
          <w:bCs/>
          <w:color w:val="0F62FE"/>
          <w:sz w:val="72"/>
          <w:szCs w:val="72"/>
        </w:rPr>
        <w:t xml:space="preserve">Workflow 1: RFI Response Intelligence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RFI Response Intelligence Agent (RFI Ninja)</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AI system that automates the end-to-end analyst RFI response lifecycle—from knowledge assembly and first-draft generation through SME review orchestration to outcome tracking and continuous improvement—enabling IBM's Analyst Relations team to scale evaluative report coverage without proportional headcount increase.</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Double evaluative RFI throughput while holding human effort flat (team's stated KPI). Reduce 250–300 SME hours per RFI cycle by ~75%. Expand coverage from ~100 current RFI responses to 1,000+ including Tier 2/3 firms (QKS Group, etc.). Protect and grow $647M+ in associated pipeline from analyst research amplification.</w:t>
      </w:r>
    </w:p>
    <w:p/>
    <w:p>
      <w:pPr>
        <w:spacing w:after="120"/>
      </w:pPr>
      <w:r>
        <w:rPr>
          <w:rFonts w:ascii="Arial" w:cs="Arial" w:eastAsia="Arial" w:hAnsi="Arial"/>
          <w:b/>
          <w:bCs/>
          <w:color w:val="161616"/>
          <w:sz w:val="22"/>
          <w:szCs w:val="22"/>
        </w:rPr>
        <w:t xml:space="preserve">Triggers:</w:t>
      </w:r>
    </w:p>
    <w:p>
      <w:pPr>
        <w:pStyle w:val="ListParagraph"/>
        <w:numPr>
          <w:ilvl w:val="0"/>
          <w:numId w:val="2"/>
        </w:numPr>
        <w:spacing w:after="8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Analyst firm (Gartner, IDC, Forrester) issues new RFI/questionnaire for evaluative report</w:t>
      </w:r>
    </w:p>
    <w:p>
      <w:pPr>
        <w:pStyle w:val="ListParagraph"/>
        <w:numPr>
          <w:ilvl w:val="0"/>
          <w:numId w:val="2"/>
        </w:numPr>
        <w:spacing w:after="80"/>
      </w:pP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Gartner increases evaluation cadence from annual to 2–3 cycles per year, compressing response timelines</w:t>
      </w:r>
    </w:p>
    <w:p>
      <w:pPr>
        <w:pStyle w:val="ListParagraph"/>
        <w:numPr>
          <w:ilvl w:val="0"/>
          <w:numId w:val="2"/>
        </w:numPr>
        <w:spacing w:after="80"/>
      </w:pP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New product capability, roadmap pivot, or competitive event requiring content refresh across active and upcoming RFIs</w:t>
      </w:r>
    </w:p>
    <w:p/>
    <w:p>
      <w:pPr>
        <w:spacing w:after="120"/>
      </w:pPr>
      <w:r>
        <w:rPr>
          <w:rFonts w:ascii="Arial" w:cs="Arial" w:eastAsia="Arial" w:hAnsi="Arial"/>
          <w:b/>
          <w:bCs/>
          <w:color w:val="161616"/>
          <w:sz w:val="22"/>
          <w:szCs w:val="22"/>
        </w:rPr>
        <w:t xml:space="preserve">Key Stakeholders:</w:t>
      </w:r>
    </w:p>
    <w:p>
      <w:pPr>
        <w:pStyle w:val="ListParagraph"/>
        <w:numPr>
          <w:ilvl w:val="0"/>
          <w:numId w:val="2"/>
        </w:numPr>
        <w:spacing w:after="80"/>
      </w:pPr>
      <w:r>
        <w:rPr>
          <w:rFonts w:ascii="Arial" w:cs="Arial" w:eastAsia="Arial" w:hAnsi="Arial"/>
          <w:b/>
          <w:bCs/>
          <w:color w:val="161616"/>
          <w:sz w:val="22"/>
          <w:szCs w:val="22"/>
        </w:rPr>
        <w:t xml:space="preserve">Elizabeth Bamonte</w:t>
      </w:r>
      <w:r>
        <w:rPr>
          <w:rFonts w:ascii="Arial" w:cs="Arial" w:eastAsia="Arial" w:hAnsi="Arial"/>
          <w:color w:val="161616"/>
          <w:sz w:val="22"/>
          <w:szCs w:val="22"/>
        </w:rPr>
        <w:t xml:space="preserve"> — AR team lead, strategic oversight, executive reporting chain to Sarah Marin → Jonathan Astrick → Rob (executive sponsor, owns Gartner relationship)</w:t>
      </w:r>
    </w:p>
    <w:p>
      <w:pPr>
        <w:pStyle w:val="ListParagraph"/>
        <w:numPr>
          <w:ilvl w:val="0"/>
          <w:numId w:val="2"/>
        </w:numPr>
        <w:spacing w:after="80"/>
      </w:pPr>
      <w:r>
        <w:rPr>
          <w:rFonts w:ascii="Arial" w:cs="Arial" w:eastAsia="Arial" w:hAnsi="Arial"/>
          <w:b/>
          <w:bCs/>
          <w:color w:val="161616"/>
          <w:sz w:val="22"/>
          <w:szCs w:val="22"/>
        </w:rPr>
        <w:t xml:space="preserve">John Spooner</w:t>
      </w:r>
      <w:r>
        <w:rPr>
          <w:rFonts w:ascii="Arial" w:cs="Arial" w:eastAsia="Arial" w:hAnsi="Arial"/>
          <w:color w:val="161616"/>
          <w:sz w:val="22"/>
          <w:szCs w:val="22"/>
        </w:rPr>
        <w:t xml:space="preserve"> — AI leader for AR, RFI orchestration, SME coordination, cross-portfolio narrative management</w:t>
      </w:r>
    </w:p>
    <w:p>
      <w:pPr>
        <w:pStyle w:val="ListParagraph"/>
        <w:numPr>
          <w:ilvl w:val="0"/>
          <w:numId w:val="2"/>
        </w:numPr>
        <w:spacing w:after="80"/>
      </w:pPr>
      <w:r>
        <w:rPr>
          <w:rFonts w:ascii="Arial" w:cs="Arial" w:eastAsia="Arial" w:hAnsi="Arial"/>
          <w:b/>
          <w:bCs/>
          <w:color w:val="161616"/>
          <w:sz w:val="22"/>
          <w:szCs w:val="22"/>
        </w:rPr>
        <w:t xml:space="preserve">Gisele Spolador Lopes</w:t>
      </w:r>
      <w:r>
        <w:rPr>
          <w:rFonts w:ascii="Arial" w:cs="Arial" w:eastAsia="Arial" w:hAnsi="Arial"/>
          <w:color w:val="161616"/>
          <w:sz w:val="22"/>
          <w:szCs w:val="22"/>
        </w:rPr>
        <w:t xml:space="preserve"> — Operations &amp; automation lead, Monday.com board management, data readiness, quantitative tracking ($647M pipeline)</w:t>
      </w:r>
    </w:p>
    <w:p>
      <w:pPr>
        <w:pStyle w:val="ListParagraph"/>
        <w:numPr>
          <w:ilvl w:val="0"/>
          <w:numId w:val="2"/>
        </w:numPr>
        <w:spacing w:after="80"/>
      </w:pPr>
      <w:r>
        <w:rPr>
          <w:rFonts w:ascii="Arial" w:cs="Arial" w:eastAsia="Arial" w:hAnsi="Arial"/>
          <w:b/>
          <w:bCs/>
          <w:color w:val="161616"/>
          <w:sz w:val="22"/>
          <w:szCs w:val="22"/>
        </w:rPr>
        <w:t xml:space="preserve">Angela Jamerson</w:t>
      </w:r>
      <w:r>
        <w:rPr>
          <w:rFonts w:ascii="Arial" w:cs="Arial" w:eastAsia="Arial" w:hAnsi="Arial"/>
          <w:color w:val="161616"/>
          <w:sz w:val="22"/>
          <w:szCs w:val="22"/>
        </w:rPr>
        <w:t xml:space="preserve"> — Original RFI Ninja prototype developer (What’s Next.AI, reports through Neil); willing resource for next iteration</w:t>
      </w:r>
    </w:p>
    <w:p>
      <w:pPr>
        <w:pStyle w:val="ListParagraph"/>
        <w:numPr>
          <w:ilvl w:val="0"/>
          <w:numId w:val="2"/>
        </w:numPr>
        <w:spacing w:after="80"/>
      </w:pPr>
      <w:r>
        <w:rPr>
          <w:rFonts w:ascii="Arial" w:cs="Arial" w:eastAsia="Arial" w:hAnsi="Arial"/>
          <w:b/>
          <w:bCs/>
          <w:color w:val="161616"/>
          <w:sz w:val="22"/>
          <w:szCs w:val="22"/>
        </w:rPr>
        <w:t xml:space="preserve">Julius Utama</w:t>
      </w:r>
      <w:r>
        <w:rPr>
          <w:rFonts w:ascii="Arial" w:cs="Arial" w:eastAsia="Arial" w:hAnsi="Arial"/>
          <w:color w:val="161616"/>
          <w:sz w:val="22"/>
          <w:szCs w:val="22"/>
        </w:rPr>
        <w:t xml:space="preserve"> — Orchestrator PM (based in OMA), primary SME reviewer for complex multi-portfolio RFIs</w:t>
      </w:r>
    </w:p>
    <w:p>
      <w:pPr>
        <w:pStyle w:val="ListParagraph"/>
        <w:numPr>
          <w:ilvl w:val="0"/>
          <w:numId w:val="2"/>
        </w:numPr>
        <w:spacing w:after="80"/>
      </w:pPr>
      <w:r>
        <w:rPr>
          <w:rFonts w:ascii="Arial" w:cs="Arial" w:eastAsia="Arial" w:hAnsi="Arial"/>
          <w:b/>
          <w:bCs/>
          <w:color w:val="161616"/>
          <w:sz w:val="22"/>
          <w:szCs w:val="22"/>
        </w:rPr>
        <w:t xml:space="preserve">Christina Rohrmann</w:t>
      </w:r>
      <w:r>
        <w:rPr>
          <w:rFonts w:ascii="Arial" w:cs="Arial" w:eastAsia="Arial" w:hAnsi="Arial"/>
          <w:color w:val="161616"/>
          <w:sz w:val="22"/>
          <w:szCs w:val="22"/>
        </w:rPr>
        <w:t xml:space="preserve"> — Center of Excellence lead, documentation of guidelines and processes</w:t>
      </w:r>
    </w:p>
    <w:p>
      <w:pPr>
        <w:pStyle w:val="ListParagraph"/>
        <w:numPr>
          <w:ilvl w:val="0"/>
          <w:numId w:val="2"/>
        </w:numPr>
        <w:spacing w:after="80"/>
      </w:pPr>
      <w:r>
        <w:rPr>
          <w:rFonts w:ascii="Arial" w:cs="Arial" w:eastAsia="Arial" w:hAnsi="Arial"/>
          <w:b/>
          <w:bCs/>
          <w:color w:val="161616"/>
          <w:sz w:val="22"/>
          <w:szCs w:val="22"/>
        </w:rPr>
        <w:t xml:space="preserve">Rosanna Palmisano</w:t>
      </w:r>
      <w:r>
        <w:rPr>
          <w:rFonts w:ascii="Arial" w:cs="Arial" w:eastAsia="Arial" w:hAnsi="Arial"/>
          <w:color w:val="161616"/>
          <w:sz w:val="22"/>
          <w:szCs w:val="22"/>
        </w:rPr>
        <w:t xml:space="preserve"> — AR team, previously collaborated with Patrick on cycle time analysis</w:t>
      </w:r>
    </w:p>
    <w:p>
      <w:pPr>
        <w:pStyle w:val="ListParagraph"/>
        <w:numPr>
          <w:ilvl w:val="0"/>
          <w:numId w:val="2"/>
        </w:numPr>
        <w:spacing w:after="80"/>
      </w:pPr>
      <w:r>
        <w:rPr>
          <w:rFonts w:ascii="Arial" w:cs="Arial" w:eastAsia="Arial" w:hAnsi="Arial"/>
          <w:b/>
          <w:bCs/>
          <w:color w:val="161616"/>
          <w:sz w:val="22"/>
          <w:szCs w:val="22"/>
        </w:rPr>
        <w:t xml:space="preserve">Camilo</w:t>
      </w:r>
      <w:r>
        <w:rPr>
          <w:rFonts w:ascii="Arial" w:cs="Arial" w:eastAsia="Arial" w:hAnsi="Arial"/>
          <w:color w:val="161616"/>
          <w:sz w:val="22"/>
          <w:szCs w:val="22"/>
        </w:rPr>
        <w:t xml:space="preserve"> — Sales team contributor to RFI responses</w:t>
      </w:r>
    </w:p>
    <w:p>
      <w:pPr>
        <w:pStyle w:val="ListParagraph"/>
        <w:numPr>
          <w:ilvl w:val="0"/>
          <w:numId w:val="2"/>
        </w:numPr>
        <w:spacing w:after="80"/>
      </w:pPr>
      <w:r>
        <w:rPr>
          <w:rFonts w:ascii="Arial" w:cs="Arial" w:eastAsia="Arial" w:hAnsi="Arial"/>
          <w:b/>
          <w:bCs/>
          <w:color w:val="161616"/>
          <w:sz w:val="22"/>
          <w:szCs w:val="22"/>
        </w:rPr>
        <w:t xml:space="preserve">Rebecca Green</w:t>
      </w:r>
      <w:r>
        <w:rPr>
          <w:rFonts w:ascii="Arial" w:cs="Arial" w:eastAsia="Arial" w:hAnsi="Arial"/>
          <w:color w:val="161616"/>
          <w:sz w:val="22"/>
          <w:szCs w:val="22"/>
        </w:rPr>
        <w:t xml:space="preserve"> — Jen Connect’s organization, leads GPI/client reference system (peer review evidence)</w:t>
      </w:r>
    </w:p>
    <w:p>
      <w:pPr>
        <w:pStyle w:val="ListParagraph"/>
        <w:numPr>
          <w:ilvl w:val="0"/>
          <w:numId w:val="2"/>
        </w:numPr>
        <w:spacing w:after="80"/>
      </w:pPr>
      <w:r>
        <w:rPr>
          <w:rFonts w:ascii="Arial" w:cs="Arial" w:eastAsia="Arial" w:hAnsi="Arial"/>
          <w:b/>
          <w:bCs/>
          <w:color w:val="DA1E28"/>
          <w:sz w:val="22"/>
          <w:szCs w:val="22"/>
        </w:rPr>
        <w:t xml:space="preserve">[GAP] Exact AR team size and full squad roster not discussed. How many FTEs are dedicated to RFI response vs. other AR activities?</w:t>
      </w:r>
    </w:p>
    <w:p>
      <w:pPr>
        <w:spacing w:after="160" w:before="360"/>
      </w:pPr>
      <w:r>
        <w:rPr>
          <w:rFonts w:ascii="Arial" w:cs="Arial" w:eastAsia="Arial" w:hAnsi="Arial"/>
          <w:b/>
          <w:bCs/>
          <w:color w:val="161616"/>
          <w:sz w:val="56"/>
          <w:szCs w:val="56"/>
        </w:rPr>
        <w:t xml:space="preserve">2. High-Level Flow (7 Steps)</w:t>
      </w:r>
    </w:p>
    <w:p>
      <w:pPr>
        <w:pStyle w:val="ListParagraph"/>
        <w:numPr>
          <w:ilvl w:val="0"/>
          <w:numId w:val="3"/>
        </w:numPr>
        <w:spacing w:after="80"/>
      </w:pPr>
      <w:r>
        <w:rPr>
          <w:rFonts w:ascii="Arial" w:cs="Arial" w:eastAsia="Arial" w:hAnsi="Arial"/>
          <w:b/>
          <w:bCs/>
          <w:color w:val="161616"/>
          <w:sz w:val="22"/>
          <w:szCs w:val="22"/>
        </w:rPr>
        <w:t xml:space="preserve">RFI Receipt &amp; Triage: </w:t>
      </w:r>
      <w:r>
        <w:rPr>
          <w:rFonts w:ascii="Arial" w:cs="Arial" w:eastAsia="Arial" w:hAnsi="Arial"/>
          <w:color w:val="161616"/>
          <w:sz w:val="22"/>
          <w:szCs w:val="22"/>
        </w:rPr>
        <w:t xml:space="preserve">AR team receives RFI from analyst firm (Gartner, IDC, Forrester). Questions are logged into Monday.com board (e.g., 219 questions for Data Science &amp; ML report). Each question is assigned an owner, priority, and status. Agent performs initial classification: reusable from prior RFIs vs. requires new content vs. requires SME input.</w:t>
      </w:r>
    </w:p>
    <w:p>
      <w:pPr>
        <w:pStyle w:val="ListParagraph"/>
        <w:numPr>
          <w:ilvl w:val="0"/>
          <w:numId w:val="3"/>
        </w:numPr>
        <w:spacing w:after="80"/>
      </w:pPr>
      <w:r>
        <w:rPr>
          <w:rFonts w:ascii="Arial" w:cs="Arial" w:eastAsia="Arial" w:hAnsi="Arial"/>
          <w:b/>
          <w:bCs/>
          <w:color w:val="161616"/>
          <w:sz w:val="22"/>
          <w:szCs w:val="22"/>
        </w:rPr>
        <w:t xml:space="preserve">Knowledge Repository Query &amp; Content Assembly: </w:t>
      </w:r>
      <w:r>
        <w:rPr>
          <w:rFonts w:ascii="Arial" w:cs="Arial" w:eastAsia="Arial" w:hAnsi="Arial"/>
          <w:color w:val="161616"/>
          <w:sz w:val="22"/>
          <w:szCs w:val="22"/>
        </w:rPr>
        <w:t xml:space="preserve">Agent queries Secure Knowledge Repository combining internal sources (product messaging, positioning, roadmaps from Seismic; competitive narratives), public sources (GA documentation, ibm.com product catalogs, published benchmark results), and historical RFI responses from adjacent reports. Content blocks are surfaced with governance metadata: owner, version, “approved for analyst use” status, last review date, and confidence score.</w:t>
      </w:r>
    </w:p>
    <w:p>
      <w:pPr>
        <w:pStyle w:val="ListParagraph"/>
        <w:numPr>
          <w:ilvl w:val="0"/>
          <w:numId w:val="3"/>
        </w:numPr>
        <w:spacing w:after="80"/>
      </w:pPr>
      <w:r>
        <w:rPr>
          <w:rFonts w:ascii="Arial" w:cs="Arial" w:eastAsia="Arial" w:hAnsi="Arial"/>
          <w:b/>
          <w:bCs/>
          <w:color w:val="161616"/>
          <w:sz w:val="22"/>
          <w:szCs w:val="22"/>
        </w:rPr>
        <w:t xml:space="preserve">Automated Draft Generation: </w:t>
      </w:r>
      <w:r>
        <w:rPr>
          <w:rFonts w:ascii="Arial" w:cs="Arial" w:eastAsia="Arial" w:hAnsi="Arial"/>
          <w:color w:val="161616"/>
          <w:sz w:val="22"/>
          <w:szCs w:val="22"/>
        </w:rPr>
        <w:t xml:space="preserve">RFI Drafting Engine generates structured, analyst-ready draft answers applying report-specific rubric logic and word-count constraints. Engine produces citations back to source content (internal/public), builds consistent narratives across portfolios, and flags gaps, conflicts, and stale content for SME review. For routine questions (~180 of 219 in John Spooner’s example), drafts target sufficient quality to proceed with minimal editing.</w:t>
      </w:r>
    </w:p>
    <w:p>
      <w:pPr>
        <w:pStyle w:val="ListParagraph"/>
        <w:numPr>
          <w:ilvl w:val="0"/>
          <w:numId w:val="3"/>
        </w:numPr>
        <w:spacing w:after="80"/>
      </w:pPr>
      <w:r>
        <w:rPr>
          <w:rFonts w:ascii="Arial" w:cs="Arial" w:eastAsia="Arial" w:hAnsi="Arial"/>
          <w:b/>
          <w:bCs/>
          <w:color w:val="161616"/>
          <w:sz w:val="22"/>
          <w:szCs w:val="22"/>
        </w:rPr>
        <w:t xml:space="preserve">SME Review &amp; Strategic Enrichment: </w:t>
      </w:r>
      <w:r>
        <w:rPr>
          <w:rFonts w:ascii="Arial" w:cs="Arial" w:eastAsia="Arial" w:hAnsi="Arial"/>
          <w:color w:val="161616"/>
          <w:sz w:val="22"/>
          <w:szCs w:val="22"/>
        </w:rPr>
        <w:t xml:space="preserve">Draft answers for high-value strategic questions (~20–30 per RFI) are routed to appropriate PMs/SMEs. For example, Angela Jamerson reviews AI App Dev Platforms strategy questions; Julius Utama orchestrates cross-portfolio responses. SMEs receive AI-generated drafts as starting point rather than blank page, focusing their 250–300 hours of expertise on answers that truly require human judgment: roadmap articulation, competitive differentiation, capability demonstration.</w:t>
      </w:r>
    </w:p>
    <w:p>
      <w:pPr>
        <w:pStyle w:val="ListParagraph"/>
        <w:numPr>
          <w:ilvl w:val="0"/>
          <w:numId w:val="3"/>
        </w:numPr>
        <w:spacing w:after="80"/>
      </w:pPr>
      <w:r>
        <w:rPr>
          <w:rFonts w:ascii="Arial" w:cs="Arial" w:eastAsia="Arial" w:hAnsi="Arial"/>
          <w:b/>
          <w:bCs/>
          <w:color w:val="161616"/>
          <w:sz w:val="22"/>
          <w:szCs w:val="22"/>
        </w:rPr>
        <w:t xml:space="preserve">Cross-Portfolio Narrative Consistency Check: </w:t>
      </w:r>
      <w:r>
        <w:rPr>
          <w:rFonts w:ascii="Arial" w:cs="Arial" w:eastAsia="Arial" w:hAnsi="Arial"/>
          <w:color w:val="161616"/>
          <w:sz w:val="22"/>
          <w:szCs w:val="22"/>
        </w:rPr>
        <w:t xml:space="preserve">Agent validates narrative consistency across related product lines. John Spooner flagged that “the data science and machine learning report and the AI application developer platforms report might not actually have as much of the shared messages that we want.” Agent identifies messaging contradictions, ensures core themes are reinforced across reports, and flags divergences for human review.</w:t>
      </w:r>
    </w:p>
    <w:p>
      <w:pPr>
        <w:pStyle w:val="ListParagraph"/>
        <w:numPr>
          <w:ilvl w:val="0"/>
          <w:numId w:val="3"/>
        </w:numPr>
        <w:spacing w:after="80"/>
      </w:pPr>
      <w:r>
        <w:rPr>
          <w:rFonts w:ascii="Arial" w:cs="Arial" w:eastAsia="Arial" w:hAnsi="Arial"/>
          <w:b/>
          <w:bCs/>
          <w:color w:val="161616"/>
          <w:sz w:val="22"/>
          <w:szCs w:val="22"/>
        </w:rPr>
        <w:t xml:space="preserve">Final Review, Compliance &amp; Submission: </w:t>
      </w:r>
      <w:r>
        <w:rPr>
          <w:rFonts w:ascii="Arial" w:cs="Arial" w:eastAsia="Arial" w:hAnsi="Arial"/>
          <w:color w:val="161616"/>
          <w:sz w:val="22"/>
          <w:szCs w:val="22"/>
        </w:rPr>
        <w:t xml:space="preserve">AR team (John Spooner, Elizabeth Bamonte) conducts final review ensuring analyst-ready quality. Compliance checks verify adherence to Gartner contractual obligations (“they don’t want their RFIs out there either” — John Spooner), sensitive roadmap content handling, and NDA requirements. Approved responses submitted to analyst firm portal. Supporting materials (demos, videos, client examples) are assembled and attached.</w:t>
      </w:r>
    </w:p>
    <w:p>
      <w:pPr>
        <w:pStyle w:val="ListParagraph"/>
        <w:numPr>
          <w:ilvl w:val="0"/>
          <w:numId w:val="3"/>
        </w:numPr>
        <w:spacing w:after="80"/>
      </w:pPr>
      <w:r>
        <w:rPr>
          <w:rFonts w:ascii="Arial" w:cs="Arial" w:eastAsia="Arial" w:hAnsi="Arial"/>
          <w:b/>
          <w:bCs/>
          <w:color w:val="161616"/>
          <w:sz w:val="22"/>
          <w:szCs w:val="22"/>
        </w:rPr>
        <w:t xml:space="preserve">Outcome Tracking &amp; Continuous Improvement: </w:t>
      </w:r>
      <w:r>
        <w:rPr>
          <w:rFonts w:ascii="Arial" w:cs="Arial" w:eastAsia="Arial" w:hAnsi="Arial"/>
          <w:color w:val="161616"/>
          <w:sz w:val="22"/>
          <w:szCs w:val="22"/>
        </w:rPr>
        <w:t xml:space="preserve">Post-publication, agent captures report outcomes: leader position, dot placement, capability scores, year-over-year movement (previously tracked via EPM/Tableau, now manual). Agent correlates specific RFI responses to outcomes, identifying which answer strategies drove positive movement. Insights feed back to knowledge repository and inform “off-season” analyst engagement strategy. Elizabeth: “We don’t ever want the sun to set on what we’re working on, especially if something that was identified as a problem area.”</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Monday.com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RFI project management: question tracking (219 questions logged individually), owner assignment, status monitoring, deadline tracking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Currently operational; John Spooner demonstrated Data Science &amp; ML board with per-question granularity</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Seismic</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content repository: product messaging, positioning, enablement content, competitive narratives; organized by play for sales enablement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Primary source for analyst insights distribution to sales; Elizabeth exploring push notifications ("pop up or something")</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ibm.com / GA Docs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Public product documentation, feature catalogs, benchmark results, analyst-appropriate proof points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Proposed as component of Secure Knowledge Repository public content layer</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SharePoint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Historical RFI responses, internal documents, prior report submissions</w:t>
            </w:r>
          </w:p>
        </w:tc>
        <w:tc>
          <w:tcPr>
            <w:tcW w:type="dxa" w:w="34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John Spooner cannot effectively query SharePoint via Copilot due to licensing/access issues: "the lights and the licenses aren't proper"</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watsonx RFI Ninja (Prototype)</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Original AI drafting tool: Milvus vector database pulling answers from prior reports; user types question, gets draft answer to copy-paste</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Built by Angela Jamerson as Watson X Challenge project (~1 year ago). POC validated concept but not scaled. Still available but not actively used.</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Copilot / Consulting Advantage</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Front-end drafting experiments; team tested for RFI answer generation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Team reports declining performance: "how disappointed we are with copilot lately because it seems to be like dropping off" (John Spooner). </w:t>
            </w:r>
            <w:r>
              <w:rPr>
                <w:rFonts w:ascii="Arial" w:cs="Arial" w:eastAsia="Arial" w:hAnsi="Arial"/>
                <w:b/>
                <w:bCs/>
                <w:color w:val="DA1E28"/>
                <w:sz w:val="22"/>
                <w:szCs w:val="22"/>
              </w:rPr>
              <w:t xml:space="preserve">[GAP] What specific Copilot/CA license tier does the team have? What are the exact limitations encountered?</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Gartner / IDC / Forrester Portals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RFI receipt, submission interface, published report access, analyst engagement tracking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Contractual obligations govern data handling; RFI content cannot be externally exposed</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EPM / Tableau (Deprecated)</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Previously housed research tracking dashboard showing dot placement, ranking movement, year-over-year results</w:t>
            </w:r>
          </w:p>
        </w:tc>
        <w:tc>
          <w:tcPr>
            <w:tcW w:type="dxa" w:w="34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Dashboard "has since gone away." What is the replacement plan? Team currently produces manual monthly report as a "very sad, static document."</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Rebecca Green’s GPI System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Client reference and peer review evidence; analysts cross-reference RFI responses against client feedback</w:t>
            </w:r>
          </w:p>
        </w:tc>
        <w:tc>
          <w:tcPr>
            <w:tcW w:type="dxa" w:w="34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Integration between AR RFI process and GPI system not defined. How does peer review evidence flow into RFI preparation?</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Insight generation: </w:t>
      </w:r>
      <w:r>
        <w:rPr>
          <w:rFonts w:ascii="Arial" w:cs="Arial" w:eastAsia="Arial" w:hAnsi="Arial"/>
          <w:color w:val="161616"/>
          <w:sz w:val="22"/>
          <w:szCs w:val="22"/>
        </w:rPr>
        <w:t xml:space="preserve">Mine historical RFI responses, analyst feedback, and report outcomes to surface patterns in what drives leader positioning. Correlate specific answer strategies to dot movement and capability scores across evaluation cycles.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Drafting / content generation: </w:t>
      </w:r>
      <w:r>
        <w:rPr>
          <w:rFonts w:ascii="Arial" w:cs="Arial" w:eastAsia="Arial" w:hAnsi="Arial"/>
          <w:color w:val="161616"/>
          <w:sz w:val="22"/>
          <w:szCs w:val="22"/>
        </w:rPr>
        <w:t xml:space="preserve">Primary use case. Auto-generate analyst-ready first drafts from governed knowledge repository. Elizabeth: "One, we probably have the answer to a ton of them, but it's like, where do I find the answer? Copy, paste. Is that right? Is that source the latest and greatest?" Target: 50–60% first-pass quality rate per team’s proposed KPIs.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Risk scoring / pre-review: </w:t>
      </w:r>
      <w:r>
        <w:rPr>
          <w:rFonts w:ascii="Arial" w:cs="Arial" w:eastAsia="Arial" w:hAnsi="Arial"/>
          <w:color w:val="161616"/>
          <w:sz w:val="22"/>
          <w:szCs w:val="22"/>
        </w:rPr>
        <w:t xml:space="preserve">Flag stale content (last review date exceeded threshold), contradictions across portfolio narratives, missing proof points, and content lacking governance metadata (“approved for analyst use” status) before submission.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Anomaly detection: </w:t>
      </w:r>
      <w:r>
        <w:rPr>
          <w:rFonts w:ascii="Arial" w:cs="Arial" w:eastAsia="Arial" w:hAnsi="Arial"/>
          <w:color w:val="161616"/>
          <w:sz w:val="22"/>
          <w:szCs w:val="22"/>
        </w:rPr>
        <w:t xml:space="preserve">Detect when analyst questions deviate from historical patterns, signaling shifts in evaluation criteria or new competitive threats. Elizabeth noted firms are "inventing new research where different business pillars will come together."</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Orchestration / routing: </w:t>
      </w:r>
      <w:r>
        <w:rPr>
          <w:rFonts w:ascii="Arial" w:cs="Arial" w:eastAsia="Arial" w:hAnsi="Arial"/>
          <w:color w:val="161616"/>
          <w:sz w:val="22"/>
          <w:szCs w:val="22"/>
        </w:rPr>
        <w:t xml:space="preserve">Route questions to appropriate SMEs based on expertise area, track response status against deadlines, manage multi-SME coordination across 10–12 contributors per complex RFI. Automate the chase process Rosanna described: "chasing all those loose ends that then adds to the days."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Translation consistency: </w:t>
      </w:r>
      <w:r>
        <w:rPr>
          <w:rFonts w:ascii="Arial" w:cs="Arial" w:eastAsia="Arial" w:hAnsi="Arial"/>
          <w:color w:val="525252"/>
          <w:sz w:val="22"/>
          <w:szCs w:val="22"/>
        </w:rPr>
        <w:t xml:space="preserve">[NOT DIRECTLY DISCUSSED] — However, Elizabeth noted the challenge of ensuring IBM’s information is "properly understood" by analysts: "Did you say tomato, tomato." Cross-language translation not discussed, but message translation fidelity is a core concern.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Executive summarization: </w:t>
      </w:r>
      <w:r>
        <w:rPr>
          <w:rFonts w:ascii="Arial" w:cs="Arial" w:eastAsia="Arial" w:hAnsi="Arial"/>
          <w:color w:val="161616"/>
          <w:sz w:val="22"/>
          <w:szCs w:val="22"/>
        </w:rPr>
        <w:t xml:space="preserve">Generate leadership briefings on research position, dot movement, areas requiring product roadmap investment. Replace manual monthly report (Elizabeth’s "first Friday of every month" cutoff) with continuously updated intelligence. Supports reporting chain to Sarah Marin → Jonathan Astrick → Rob.</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Workflow automation: </w:t>
      </w:r>
      <w:r>
        <w:rPr>
          <w:rFonts w:ascii="Arial" w:cs="Arial" w:eastAsia="Arial" w:hAnsi="Arial"/>
          <w:color w:val="161616"/>
          <w:sz w:val="22"/>
          <w:szCs w:val="22"/>
        </w:rPr>
        <w:t xml:space="preserve">Automate the end-to-end pipeline: content assembly from governed repository, draft generation with rubric/word-count constraints, SME routing and deadline tracking, cross-portfolio consistency checking, outcome capture and feedback loop. Team’s proposed three-component architecture maps directly to this.</w:t>
      </w:r>
    </w:p>
    <w:p/>
    <w:p>
      <w:pPr>
        <w:spacing w:after="12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The Analyst Relations team’s RFI response process is fundamentally a knowledge retrieval, synthesis, and orchestration challenge operating at scale. The team has already validated the core AI drafting concept through the watsonx RFI Ninja prototype (Milvus-based RAG) and Copilot experiments, confirming that the limiting factor is not the generation layer but the absence of a governed knowledge foundation. An agentic system combining a Secure Knowledge Repository (with governance metadata, versioning, and compliance gating), an Automated RFI Drafting Engine (with report-specific rubric logic), and a Workflow/UI Integration Layer (with SME routing, deadline management, and outcome tracking) would transform a manual copy-paste-verify process consuming 250–300 SME hours per cycle into a human-in-the-loop review process where AI handles content assembly and first-draft generation while humans focus on strategic differentiation and analyst relationship nuance.</w:t>
      </w:r>
    </w:p>
    <w:p/>
    <w:p>
      <w:pPr>
        <w:spacing w:after="120"/>
      </w:pPr>
      <w:r>
        <w:rPr>
          <w:rFonts w:ascii="Arial" w:cs="Arial" w:eastAsia="Arial" w:hAnsi="Arial"/>
          <w:i/>
          <w:iCs/>
          <w:color w:val="525252"/>
          <w:sz w:val="22"/>
          <w:szCs w:val="22"/>
        </w:rPr>
        <w:t xml:space="preserve">Note: The team emphasized that accuracy and trust are non-negotiable. John Spooner: "It has to be perfect... to the Nth degree and you know well written and it has to understand the context of the question." Any AI system must prioritize correctness over speed, with robust citation trails and human review gates.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Content fragmented across too many systems: </w:t>
      </w:r>
      <w:r>
        <w:rPr>
          <w:rFonts w:ascii="Arial" w:cs="Arial" w:eastAsia="Arial" w:hAnsi="Arial"/>
          <w:color w:val="161616"/>
          <w:sz w:val="22"/>
          <w:szCs w:val="22"/>
        </w:rPr>
        <w:t xml:space="preserve">"Too many silos even within our practice" (John Spooner). Content for RFI responses spans Seismic (messaging), SharePoint (historical RFIs), ibm.com (public docs), Monday.com (project tracking), analyst portals (prior reports), and SME knowledge. No unified, governed repository exists.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Manual multi-system lookups for every transaction: </w:t>
      </w:r>
      <w:r>
        <w:rPr>
          <w:rFonts w:ascii="Arial" w:cs="Arial" w:eastAsia="Arial" w:hAnsi="Arial"/>
          <w:color w:val="161616"/>
          <w:sz w:val="22"/>
          <w:szCs w:val="22"/>
        </w:rPr>
        <w:t xml:space="preserve">300+ questions per RFI × copy/paste/find/verify workflow. Elizabeth: "It takes the team a full day, right? Hours and hours and hours." John: "Take somebody like Angela... 20 minutes [per question] and then multiply that by 200."</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Tool limitations / AI hallucination concerns: </w:t>
      </w:r>
      <w:r>
        <w:rPr>
          <w:rFonts w:ascii="Arial" w:cs="Arial" w:eastAsia="Arial" w:hAnsi="Arial"/>
          <w:color w:val="161616"/>
          <w:sz w:val="22"/>
          <w:szCs w:val="22"/>
        </w:rPr>
        <w:t xml:space="preserve">Copilot "dropping off" in performance; ChatGPT 4/5 "you spend just as much time verifying all the answers" (John). Consulting Advantage experiments have not solved the fundamental content governance problem. "You can’t just chuck it into copilot" (John).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Access / licensing barriers: </w:t>
      </w:r>
      <w:r>
        <w:rPr>
          <w:rFonts w:ascii="Arial" w:cs="Arial" w:eastAsia="Arial" w:hAnsi="Arial"/>
          <w:color w:val="161616"/>
          <w:sz w:val="22"/>
          <w:szCs w:val="22"/>
        </w:rPr>
        <w:t xml:space="preserve">John Spooner cannot get proper Copilot license to query SharePoint: "I can’t get Copilot to go into SharePoint and grab all the RFIs... the licenses aren’t proper." Despite knowing how to build a POC, tooling access prevents experimentation.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Knowledge governance gap: </w:t>
      </w:r>
      <w:r>
        <w:rPr>
          <w:rFonts w:ascii="Arial" w:cs="Arial" w:eastAsia="Arial" w:hAnsi="Arial"/>
          <w:color w:val="161616"/>
          <w:sz w:val="22"/>
          <w:szCs w:val="22"/>
        </w:rPr>
        <w:t xml:space="preserve">No source-of-truth with versioning, “approved for analyst use” metadata, owner tracking, last review dates, or confidence scores. Team’s proposed architecture identifies this as the critical missing layer. "The tool is only as good as the content it can access, and that content layer does not yet exist in governed form."</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SME bottleneck / burnout: </w:t>
      </w:r>
      <w:r>
        <w:rPr>
          <w:rFonts w:ascii="Arial" w:cs="Arial" w:eastAsia="Arial" w:hAnsi="Arial"/>
          <w:color w:val="161616"/>
          <w:sz w:val="22"/>
          <w:szCs w:val="22"/>
        </w:rPr>
        <w:t xml:space="preserve">250–300 PM/SME hours per RFI cycle. 10–20 extra people involved at any given time. "Burns people out" (John). Angela Jamerson spends "a couple weeks" per year on a single report. SMEs should be "building the product roadmap, talking to clients—not filling out this stuff" (Elizabeth).</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Scaling impossible in current state: </w:t>
      </w:r>
      <w:r>
        <w:rPr>
          <w:rFonts w:ascii="Arial" w:cs="Arial" w:eastAsia="Arial" w:hAnsi="Arial"/>
          <w:color w:val="161616"/>
          <w:sz w:val="22"/>
          <w:szCs w:val="22"/>
        </w:rPr>
        <w:t xml:space="preserve">Currently ~100 RFIs; Elizabeth: "If we’re in 100 of them today, we should be in 1,000 of them." Gartner moving from annual to 2–3 evaluations per year (John: "they’re gonna try to jam two MQs in a year"). Third-tier reports (QKS Group) cited by Perplexity and AI search but IBM cannot resource them.</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Siloed cross-portfolio responses: </w:t>
      </w:r>
      <w:r>
        <w:rPr>
          <w:rFonts w:ascii="Arial" w:cs="Arial" w:eastAsia="Arial" w:hAnsi="Arial"/>
          <w:color w:val="161616"/>
          <w:sz w:val="22"/>
          <w:szCs w:val="22"/>
        </w:rPr>
        <w:t xml:space="preserve">Product lines respond independently. Data Science &amp; ML and AI App Dev Platforms reports may not share core messaging. "Some of them are extremely complicated... pull in four or five different product lines" (John) with limited cross-portfolio coordination.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Deprecated tracking infrastructure: </w:t>
      </w:r>
      <w:r>
        <w:rPr>
          <w:rFonts w:ascii="Arial" w:cs="Arial" w:eastAsia="Arial" w:hAnsi="Arial"/>
          <w:color w:val="161616"/>
          <w:sz w:val="22"/>
          <w:szCs w:val="22"/>
        </w:rPr>
        <w:t xml:space="preserve">EPM/Tableau dashboard for research tracking (dot placement, rankings) "has since gone away." Team produces manual monthly static document. Gisele searching for alternatives.</w:t>
      </w:r>
    </w:p>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absence of a governed knowledge foundation combined with crushing manual scale. Elizabeth Bamonte: "Biggest challenge is just like accuracy and ensuring that we’ve got not just the latest and greatest, but that it’s coming from a reliable source and also truly just the nature of this copy paste exercise." John Spooner reinforced that existing AI tools fail because they lack access to governed, curated content: "It’s the kind of thing that we talk about with our analysts all the time" — the irony of IBM advising clients on data management while struggling with the same challenge internally. The team has concluded that the drafting engine is not the bottleneck; the knowledge repository is. Their proposed three-component architecture explicitly addresses this, but all three sponsorship dependencies (CIO Office, Security/Legal/Compliance, PMM leadership) remain open.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VERY HIGH. </w:t>
            </w:r>
            <w:r>
              <w:rPr>
                <w:rFonts w:ascii="Arial" w:cs="Arial" w:eastAsia="Arial" w:hAnsi="Arial"/>
                <w:color w:val="161616"/>
                <w:sz w:val="22"/>
                <w:szCs w:val="22"/>
              </w:rPr>
              <w:t xml:space="preserve">$647M in tracked associated pipeline from analyst research amplification (Gisele’s number). Elizabeth: "That number should be 20 times, OK, if not 100 times." Single deals involving analyst advocacy can be 5× that figure. Leader positioning in Gartner MQs directly determines whether enterprise clients will take meetings: Gisele: "If we don’t have [leader position], the client cannot schedule the call." IBM’s investment in analyst firms is "very large" (Elizabeth). As AI search tools (Perplexity, ChatGPT) increasingly cite analyst research, positioning in these reports has outsized influence on IBM’s brand in the AI era.</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MEDIUM-HIGH. </w:t>
            </w:r>
            <w:r>
              <w:rPr>
                <w:rFonts w:ascii="Arial" w:cs="Arial" w:eastAsia="Arial" w:hAnsi="Arial"/>
                <w:color w:val="161616"/>
                <w:sz w:val="22"/>
                <w:szCs w:val="22"/>
              </w:rPr>
              <w:t xml:space="preserve">Concept validated through watsonx RFI Ninja prototype (Milvus RAG, ~1 year old). Team has done extensive data readiness work (Elizabeth: "We’ve been on this mantra now for about a year"). Three-component architecture is designed and documented. Software team’s Gartner reports are the best-prepared starting point. Key blockers: CIO Office sponsorship/infrastructure budget, Security/Legal/Compliance review for AI-generated analyst-facing content, PMM leadership alignment on content governance. None of these are technically insurmountable but require organizational commitment.</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AR team (Elizabeth Bamonte’s org): core team + AI/AR squad including John Spooner, Gisele Spolador Lopes, Christina Rohrmann. </w:t>
            </w:r>
            <w:r>
              <w:rPr>
                <w:rFonts w:ascii="Arial" w:cs="Arial" w:eastAsia="Arial" w:hAnsi="Arial"/>
                <w:b/>
                <w:bCs/>
                <w:color w:val="DA1E28"/>
                <w:sz w:val="22"/>
                <w:szCs w:val="22"/>
              </w:rPr>
              <w:t xml:space="preserve">[GAP] Exact FTE count for AR team not provided. How many analysts cover the ~100 current RFIs?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10–20 SMEs per RFI cycle (Elizabeth) × 100+ RFIs = hundreds of unique SME touchpoints annually. Includes product managers (e.g., Angela Jamerson), orchestrator PMs (e.g., Julius Utama), sales contributors (e.g., Camilo), research team members. Executive stakeholders: Sarah Marin, Jonathan Astrick, Rob. External dependency: Rebecca Green’s GPI/client reference team.</w:t>
            </w:r>
          </w:p>
        </w:tc>
      </w:tr>
    </w:tbl>
    <w:p/>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Analyst Relations team faces a capacity crisis with a defined timeline. Gartner is moving from annual to 2–3 evaluative cycles per year (John Spooner: "they’re gonna try to jam two MQs in a year... that’s three in like 12 months"). Simultaneously, IBM needs to expand from ~100 RFI responses to potentially 1,000+ to cover Tier 2/3 firms whose reports are increasingly cited by AI search tools. Elizabeth: "Analyst relations in current state without an AI-powered help cannot do all the things we need to do." The team estimates 250–300 SME hours per RFI cycle, with a goal to reduce by 75%. At current trajectory (100 RFIs × 250 SME hours = 25,000 SME hours/year), scaling to 1,000 RFIs without automation would require 250,000 SME hours—clearly impossible. The team has also flagged that Gartner questions are becoming harder even as cadence increases (Elizabeth: "the questions are going to be harder even and almost take more time"), further compressing available capacity. Beyond efficiency, there is a strategic brand imperative: IBM is trying to influence analysts that IBM is an AI leader, while not using AI in its own analyst engagement process. Elizabeth: "We are trying to influence our analysts... that we are a leader in the AI space, right. But then we are not operating that way."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b/>
          <w:bCs/>
          <w:color w:val="161616"/>
          <w:sz w:val="22"/>
          <w:szCs w:val="22"/>
        </w:rPr>
        <w:t xml:space="preserve">RFP/RFI Response Teams: </w:t>
      </w:r>
      <w:r>
        <w:rPr>
          <w:rFonts w:ascii="Arial" w:cs="Arial" w:eastAsia="Arial" w:hAnsi="Arial"/>
          <w:color w:val="161616"/>
          <w:sz w:val="22"/>
          <w:szCs w:val="22"/>
        </w:rPr>
        <w:t xml:space="preserve">Elizabeth explicitly flagged this: "The RFI project, while relatively unique to the AR process, we hope can inform or help build other similar type work where there’s RFPs or right." The Secure Knowledge Repository + Drafting Engine pattern is directly applicable to any competitive response workflow across IBM.</w:t>
      </w:r>
    </w:p>
    <w:p>
      <w:pPr>
        <w:pStyle w:val="ListParagraph"/>
        <w:numPr>
          <w:ilvl w:val="0"/>
          <w:numId w:val="2"/>
        </w:numPr>
        <w:spacing w:after="80"/>
      </w:pPr>
      <w:r>
        <w:rPr>
          <w:rFonts w:ascii="Arial" w:cs="Arial" w:eastAsia="Arial" w:hAnsi="Arial"/>
          <w:b/>
          <w:bCs/>
          <w:color w:val="161616"/>
          <w:sz w:val="22"/>
          <w:szCs w:val="22"/>
        </w:rPr>
        <w:t xml:space="preserve">Cross-Domain Knowledge Repository: </w:t>
      </w:r>
      <w:r>
        <w:rPr>
          <w:rFonts w:ascii="Arial" w:cs="Arial" w:eastAsia="Arial" w:hAnsi="Arial"/>
          <w:color w:val="161616"/>
          <w:sz w:val="22"/>
          <w:szCs w:val="22"/>
        </w:rPr>
        <w:t xml:space="preserve">The governed content repository with versioning, metadata, and confidence scores is a foundational capability reusable by any MCC domain struggling with content fragmentation (a recurring theme across all interviews).</w:t>
      </w:r>
    </w:p>
    <w:p>
      <w:pPr>
        <w:pStyle w:val="ListParagraph"/>
        <w:numPr>
          <w:ilvl w:val="0"/>
          <w:numId w:val="2"/>
        </w:numPr>
        <w:spacing w:after="80"/>
      </w:pPr>
      <w:r>
        <w:rPr>
          <w:rFonts w:ascii="Arial" w:cs="Arial" w:eastAsia="Arial" w:hAnsi="Arial"/>
          <w:b/>
          <w:bCs/>
          <w:color w:val="161616"/>
          <w:sz w:val="22"/>
          <w:szCs w:val="22"/>
        </w:rPr>
        <w:t xml:space="preserve">Cross-Portfolio Narrative Consistency: </w:t>
      </w:r>
      <w:r>
        <w:rPr>
          <w:rFonts w:ascii="Arial" w:cs="Arial" w:eastAsia="Arial" w:hAnsi="Arial"/>
          <w:color w:val="161616"/>
          <w:sz w:val="22"/>
          <w:szCs w:val="22"/>
        </w:rPr>
        <w:t xml:space="preserve">The narrative consistency engine ensuring aligned messaging across product lines is relevant wherever multiple teams produce client-facing content about overlapping IBM capabilities.</w:t>
      </w:r>
    </w:p>
    <w:p>
      <w:pPr>
        <w:pStyle w:val="ListParagraph"/>
        <w:numPr>
          <w:ilvl w:val="0"/>
          <w:numId w:val="2"/>
        </w:numPr>
        <w:spacing w:after="80"/>
      </w:pPr>
      <w:r>
        <w:rPr>
          <w:rFonts w:ascii="Arial" w:cs="Arial" w:eastAsia="Arial" w:hAnsi="Arial"/>
          <w:b/>
          <w:bCs/>
          <w:color w:val="161616"/>
          <w:sz w:val="22"/>
          <w:szCs w:val="22"/>
        </w:rPr>
        <w:t xml:space="preserve">SME Orchestration Pattern: </w:t>
      </w:r>
      <w:r>
        <w:rPr>
          <w:rFonts w:ascii="Arial" w:cs="Arial" w:eastAsia="Arial" w:hAnsi="Arial"/>
          <w:color w:val="161616"/>
          <w:sz w:val="22"/>
          <w:szCs w:val="22"/>
        </w:rPr>
        <w:t xml:space="preserve">The automated routing, deadline tracking, and chase management for multi-contributor content assembly is applicable to any workflow involving 10+ contributors with tight deadlines (e.g., event content preparation, campaign development).</w:t>
      </w:r>
    </w:p>
    <w:p>
      <w:pPr>
        <w:pStyle w:val="ListParagraph"/>
        <w:numPr>
          <w:ilvl w:val="0"/>
          <w:numId w:val="2"/>
        </w:numPr>
        <w:spacing w:after="80"/>
      </w:pPr>
      <w:r>
        <w:rPr>
          <w:rFonts w:ascii="Arial" w:cs="Arial" w:eastAsia="Arial" w:hAnsi="Arial"/>
          <w:b/>
          <w:bCs/>
          <w:color w:val="161616"/>
          <w:sz w:val="22"/>
          <w:szCs w:val="22"/>
        </w:rPr>
        <w:t xml:space="preserve">Outcome Tracking &amp; Feedback Loop: </w:t>
      </w:r>
      <w:r>
        <w:rPr>
          <w:rFonts w:ascii="Arial" w:cs="Arial" w:eastAsia="Arial" w:hAnsi="Arial"/>
          <w:color w:val="161616"/>
          <w:sz w:val="22"/>
          <w:szCs w:val="22"/>
        </w:rPr>
        <w:t xml:space="preserve">Correlating specific content inputs to business outcomes and feeding insights back for continuous improvement is a pattern applicable to any MCC domain measuring content effectiveness.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CIO Office: Infrastructure, model hosting, compliance/security review, technical architecture decisions. Team’s proposed architecture explicitly requires CIO sponsorship as a critical path dependency.</w:t>
      </w:r>
    </w:p>
    <w:p>
      <w:pPr>
        <w:pStyle w:val="ListParagraph"/>
        <w:numPr>
          <w:ilvl w:val="0"/>
          <w:numId w:val="2"/>
        </w:numPr>
        <w:spacing w:after="80"/>
      </w:pPr>
      <w:r>
        <w:rPr>
          <w:rFonts w:ascii="Arial" w:cs="Arial" w:eastAsia="Arial" w:hAnsi="Arial"/>
          <w:color w:val="161616"/>
          <w:sz w:val="22"/>
          <w:szCs w:val="22"/>
        </w:rPr>
        <w:t xml:space="preserve">Security/Legal/Compliance: Review and approval framework for AI-generated content serving at analyst-ready quality. Must address Gartner NDA/contractual obligations and sensitive product roadmap content handling.</w:t>
      </w:r>
    </w:p>
    <w:p>
      <w:pPr>
        <w:pStyle w:val="ListParagraph"/>
        <w:numPr>
          <w:ilvl w:val="0"/>
          <w:numId w:val="2"/>
        </w:numPr>
        <w:spacing w:after="80"/>
      </w:pPr>
      <w:r>
        <w:rPr>
          <w:rFonts w:ascii="Arial" w:cs="Arial" w:eastAsia="Arial" w:hAnsi="Arial"/>
          <w:color w:val="161616"/>
          <w:sz w:val="22"/>
          <w:szCs w:val="22"/>
        </w:rPr>
        <w:t xml:space="preserve">PMM/Portfolio Leadership (Software, Consulting, Infrastructure): Content ownership agreement, governance metadata standards, update cadence commitment. Software team is most ready; Consulting and Infrastructure need alignment.</w:t>
      </w:r>
    </w:p>
    <w:p>
      <w:pPr>
        <w:pStyle w:val="ListParagraph"/>
        <w:numPr>
          <w:ilvl w:val="0"/>
          <w:numId w:val="2"/>
        </w:numPr>
        <w:spacing w:after="80"/>
      </w:pPr>
      <w:r>
        <w:rPr>
          <w:rFonts w:ascii="Arial" w:cs="Arial" w:eastAsia="Arial" w:hAnsi="Arial"/>
          <w:color w:val="161616"/>
          <w:sz w:val="22"/>
          <w:szCs w:val="22"/>
        </w:rPr>
        <w:t xml:space="preserve">Angela Jamerson (What’s Next.AI): Technical consultation on original RFI Ninja architecture (Milvus database) for reuse assessment. John: "She would be a resource for this, a quite willing one."</w:t>
      </w:r>
    </w:p>
    <w:p>
      <w:pPr>
        <w:pStyle w:val="ListParagraph"/>
        <w:numPr>
          <w:ilvl w:val="0"/>
          <w:numId w:val="2"/>
        </w:numPr>
        <w:spacing w:after="80"/>
      </w:pPr>
      <w:r>
        <w:rPr>
          <w:rFonts w:ascii="Arial" w:cs="Arial" w:eastAsia="Arial" w:hAnsi="Arial"/>
          <w:color w:val="161616"/>
          <w:sz w:val="22"/>
          <w:szCs w:val="22"/>
        </w:rPr>
        <w:t xml:space="preserve">Rebecca Green (Jen Connect): Integration planning between AR RFI process and GPI/client reference system for peer review evidence.</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b/>
          <w:bCs/>
          <w:color w:val="161616"/>
          <w:sz w:val="22"/>
          <w:szCs w:val="22"/>
        </w:rPr>
        <w:t xml:space="preserve">Secure Knowledge Repository (Source-of-Truth Layer): </w:t>
      </w:r>
      <w:r>
        <w:rPr>
          <w:rFonts w:ascii="Arial" w:cs="Arial" w:eastAsia="Arial" w:hAnsi="Arial"/>
          <w:color w:val="161616"/>
          <w:sz w:val="22"/>
          <w:szCs w:val="22"/>
        </w:rPr>
        <w:t xml:space="preserve">Continuously refreshed, access-controlled repository combining internal content (Seismic), public content (ibm.com, GA docs), and governance metadata (versioning, “approved for analyst use” tags, owner, last review date, confidence score). Must handle sensitive roadmap content with Security/Legal/Compliance gating.</w:t>
      </w:r>
    </w:p>
    <w:p>
      <w:pPr>
        <w:pStyle w:val="ListParagraph"/>
        <w:numPr>
          <w:ilvl w:val="0"/>
          <w:numId w:val="2"/>
        </w:numPr>
        <w:spacing w:after="80"/>
      </w:pPr>
      <w:r>
        <w:rPr>
          <w:rFonts w:ascii="Arial" w:cs="Arial" w:eastAsia="Arial" w:hAnsi="Arial"/>
          <w:b/>
          <w:bCs/>
          <w:color w:val="161616"/>
          <w:sz w:val="22"/>
          <w:szCs w:val="22"/>
        </w:rPr>
        <w:t xml:space="preserve">Automated RFI Drafting Engine (Generation Layer): </w:t>
      </w:r>
      <w:r>
        <w:rPr>
          <w:rFonts w:ascii="Arial" w:cs="Arial" w:eastAsia="Arial" w:hAnsi="Arial"/>
          <w:color w:val="161616"/>
          <w:sz w:val="22"/>
          <w:szCs w:val="22"/>
        </w:rPr>
        <w:t xml:space="preserve">AI system applying report-specific rubric logic and word-count constraints, producing citations back to source content, building consistent narratives across portfolios, flagging gaps/conflicts/stale content for SME review.</w:t>
      </w:r>
    </w:p>
    <w:p>
      <w:pPr>
        <w:pStyle w:val="ListParagraph"/>
        <w:numPr>
          <w:ilvl w:val="0"/>
          <w:numId w:val="2"/>
        </w:numPr>
        <w:spacing w:after="80"/>
      </w:pPr>
      <w:r>
        <w:rPr>
          <w:rFonts w:ascii="Arial" w:cs="Arial" w:eastAsia="Arial" w:hAnsi="Arial"/>
          <w:b/>
          <w:bCs/>
          <w:color w:val="161616"/>
          <w:sz w:val="22"/>
          <w:szCs w:val="22"/>
        </w:rPr>
        <w:t xml:space="preserve">Workflow + UI Integration (Execution Layer): </w:t>
      </w:r>
      <w:r>
        <w:rPr>
          <w:rFonts w:ascii="Arial" w:cs="Arial" w:eastAsia="Arial" w:hAnsi="Arial"/>
          <w:color w:val="161616"/>
          <w:sz w:val="22"/>
          <w:szCs w:val="22"/>
        </w:rPr>
        <w:t xml:space="preserve">Integration with whichever front-end AR teams work in (Copilot, Consulting Advantage, or purpose-built interface). Includes workflow for assignment, review, approvals, and audit trails. Must integrate with Monday.com for project tracking.</w:t>
      </w:r>
    </w:p>
    <w:p>
      <w:pPr>
        <w:pStyle w:val="ListParagraph"/>
        <w:numPr>
          <w:ilvl w:val="0"/>
          <w:numId w:val="2"/>
        </w:numPr>
        <w:spacing w:after="80"/>
      </w:pPr>
      <w:r>
        <w:rPr>
          <w:rFonts w:ascii="Arial" w:cs="Arial" w:eastAsia="Arial" w:hAnsi="Arial"/>
          <w:b/>
          <w:bCs/>
          <w:color w:val="161616"/>
          <w:sz w:val="22"/>
          <w:szCs w:val="22"/>
        </w:rPr>
        <w:t xml:space="preserve">Research Outcome Tracking Dashboard: </w:t>
      </w:r>
      <w:r>
        <w:rPr>
          <w:rFonts w:ascii="Arial" w:cs="Arial" w:eastAsia="Arial" w:hAnsi="Arial"/>
          <w:color w:val="161616"/>
          <w:sz w:val="22"/>
          <w:szCs w:val="22"/>
        </w:rPr>
        <w:t xml:space="preserve">Replacement for deprecated EPM/Tableau system. Tracks dot placement, ranking movement, year-over-year results, and correlates to specific RFI responses.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b/>
          <w:bCs/>
          <w:color w:val="DA1E28"/>
          <w:sz w:val="22"/>
          <w:szCs w:val="22"/>
        </w:rPr>
        <w:t xml:space="preserve">[GAP] Detailed content inventory across Seismic, SharePoint, ibm.com—what content exists, in what format, with what metadata?</w:t>
      </w:r>
    </w:p>
    <w:p>
      <w:pPr>
        <w:pStyle w:val="ListParagraph"/>
        <w:numPr>
          <w:ilvl w:val="0"/>
          <w:numId w:val="2"/>
        </w:numPr>
        <w:spacing w:after="80"/>
      </w:pPr>
      <w:r>
        <w:rPr>
          <w:rFonts w:ascii="Arial" w:cs="Arial" w:eastAsia="Arial" w:hAnsi="Arial"/>
          <w:b/>
          <w:bCs/>
          <w:color w:val="DA1E28"/>
          <w:sz w:val="22"/>
          <w:szCs w:val="22"/>
        </w:rPr>
        <w:t xml:space="preserve">[GAP] Security/Legal/Compliance requirements for including product roadmap content in an AI-accessible knowledge repository. What classification levels are involved?</w:t>
      </w:r>
    </w:p>
    <w:p>
      <w:pPr>
        <w:pStyle w:val="ListParagraph"/>
        <w:numPr>
          <w:ilvl w:val="0"/>
          <w:numId w:val="2"/>
        </w:numPr>
        <w:spacing w:after="80"/>
      </w:pPr>
      <w:r>
        <w:rPr>
          <w:rFonts w:ascii="Arial" w:cs="Arial" w:eastAsia="Arial" w:hAnsi="Arial"/>
          <w:b/>
          <w:bCs/>
          <w:color w:val="DA1E28"/>
          <w:sz w:val="22"/>
          <w:szCs w:val="22"/>
        </w:rPr>
        <w:t xml:space="preserve">[GAP] Integration path with Gartner submission portal. Can submissions be automated or must they remain manual?</w:t>
      </w:r>
    </w:p>
    <w:p>
      <w:pPr>
        <w:pStyle w:val="ListParagraph"/>
        <w:numPr>
          <w:ilvl w:val="0"/>
          <w:numId w:val="2"/>
        </w:numPr>
        <w:spacing w:after="80"/>
      </w:pPr>
      <w:r>
        <w:rPr>
          <w:rFonts w:ascii="Arial" w:cs="Arial" w:eastAsia="Arial" w:hAnsi="Arial"/>
          <w:b/>
          <w:bCs/>
          <w:color w:val="DA1E28"/>
          <w:sz w:val="22"/>
          <w:szCs w:val="22"/>
        </w:rPr>
        <w:t xml:space="preserve">[GAP] Angela Jamerson’s RFI Ninja technical architecture details (Milvus configuration, content ingestion pipeline, prompt engineering) for reuse assessment.</w:t>
      </w:r>
    </w:p>
    <w:p>
      <w:pPr>
        <w:pStyle w:val="ListParagraph"/>
        <w:numPr>
          <w:ilvl w:val="0"/>
          <w:numId w:val="2"/>
        </w:numPr>
        <w:spacing w:after="80"/>
      </w:pPr>
      <w:r>
        <w:rPr>
          <w:rFonts w:ascii="Arial" w:cs="Arial" w:eastAsia="Arial" w:hAnsi="Arial"/>
          <w:b/>
          <w:bCs/>
          <w:color w:val="DA1E28"/>
          <w:sz w:val="22"/>
          <w:szCs w:val="22"/>
        </w:rPr>
        <w:t xml:space="preserve">[GAP] Copilot/Consulting Advantage licensing situation. What is preventing John Spooner from querying SharePoint? Is this a license tier issue or a configuration issue?</w:t>
      </w:r>
    </w:p>
    <w:p>
      <w:pPr>
        <w:pStyle w:val="ListParagraph"/>
        <w:numPr>
          <w:ilvl w:val="0"/>
          <w:numId w:val="2"/>
        </w:numPr>
        <w:spacing w:after="80"/>
      </w:pPr>
      <w:r>
        <w:rPr>
          <w:rFonts w:ascii="Arial" w:cs="Arial" w:eastAsia="Arial" w:hAnsi="Arial"/>
          <w:b/>
          <w:bCs/>
          <w:color w:val="DA1E28"/>
          <w:sz w:val="22"/>
          <w:szCs w:val="22"/>
        </w:rPr>
        <w:t xml:space="preserve">[GAP] Exact FTE count and role distribution within AR team. How many analysts cover the ~100 current RFIs? What is the capacity model?</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b/>
          <w:bCs/>
          <w:color w:val="161616"/>
          <w:sz w:val="22"/>
          <w:szCs w:val="22"/>
        </w:rPr>
        <w:t xml:space="preserve">CIO Office Sponsorship (Critical Path): </w:t>
      </w:r>
      <w:r>
        <w:rPr>
          <w:rFonts w:ascii="Arial" w:cs="Arial" w:eastAsia="Arial" w:hAnsi="Arial"/>
          <w:color w:val="161616"/>
          <w:sz w:val="22"/>
          <w:szCs w:val="22"/>
        </w:rPr>
        <w:t xml:space="preserve">Team’s pre-read document identifies CIO Office commitment as the first dependency that must be resolved. Infrastructure budget, model hosting, and technical architecture decisions all flow from this.</w:t>
      </w:r>
    </w:p>
    <w:p>
      <w:pPr>
        <w:pStyle w:val="ListParagraph"/>
        <w:numPr>
          <w:ilvl w:val="0"/>
          <w:numId w:val="2"/>
        </w:numPr>
        <w:spacing w:after="80"/>
      </w:pPr>
      <w:r>
        <w:rPr>
          <w:rFonts w:ascii="Arial" w:cs="Arial" w:eastAsia="Arial" w:hAnsi="Arial"/>
          <w:b/>
          <w:bCs/>
          <w:color w:val="161616"/>
          <w:sz w:val="22"/>
          <w:szCs w:val="22"/>
        </w:rPr>
        <w:t xml:space="preserve">Security/Legal/Compliance Approval: </w:t>
      </w:r>
      <w:r>
        <w:rPr>
          <w:rFonts w:ascii="Arial" w:cs="Arial" w:eastAsia="Arial" w:hAnsi="Arial"/>
          <w:color w:val="161616"/>
          <w:sz w:val="22"/>
          <w:szCs w:val="22"/>
        </w:rPr>
        <w:t xml:space="preserve">AI-generated content serving for analyst-facing material requires formal approval framework. Gartner contractual obligations are strict: “They don’t want their RFIs out there either” (John). Sensitive product roadmap content (e.g., “there’s a pivot coming for Orchestrate”) requires classification and access controls.</w:t>
      </w:r>
    </w:p>
    <w:p>
      <w:pPr>
        <w:pStyle w:val="ListParagraph"/>
        <w:numPr>
          <w:ilvl w:val="0"/>
          <w:numId w:val="2"/>
        </w:numPr>
        <w:spacing w:after="80"/>
      </w:pPr>
      <w:r>
        <w:rPr>
          <w:rFonts w:ascii="Arial" w:cs="Arial" w:eastAsia="Arial" w:hAnsi="Arial"/>
          <w:b/>
          <w:bCs/>
          <w:color w:val="161616"/>
          <w:sz w:val="22"/>
          <w:szCs w:val="22"/>
        </w:rPr>
        <w:t xml:space="preserve">PMM/Portfolio Content Governance: </w:t>
      </w:r>
      <w:r>
        <w:rPr>
          <w:rFonts w:ascii="Arial" w:cs="Arial" w:eastAsia="Arial" w:hAnsi="Arial"/>
          <w:color w:val="161616"/>
          <w:sz w:val="22"/>
          <w:szCs w:val="22"/>
        </w:rPr>
        <w:t xml:space="preserve">Cross-BU alignment on content ownership, update cadence, and governance metadata. Software team is best prepared; Consulting and Infrastructure teams need to follow. Elizabeth: “We are trying to ensure that the true intricacies of everything that the software team—because they were the ones to get started—that’s permeating our consulting and infrastructure teams.”</w:t>
      </w:r>
    </w:p>
    <w:p>
      <w:pPr>
        <w:pStyle w:val="ListParagraph"/>
        <w:numPr>
          <w:ilvl w:val="0"/>
          <w:numId w:val="2"/>
        </w:numPr>
        <w:spacing w:after="80"/>
      </w:pPr>
      <w:r>
        <w:rPr>
          <w:rFonts w:ascii="Arial" w:cs="Arial" w:eastAsia="Arial" w:hAnsi="Arial"/>
          <w:b/>
          <w:bCs/>
          <w:color w:val="161616"/>
          <w:sz w:val="22"/>
          <w:szCs w:val="22"/>
        </w:rPr>
        <w:t xml:space="preserve">Gartner Contractual Obligations: </w:t>
      </w:r>
      <w:r>
        <w:rPr>
          <w:rFonts w:ascii="Arial" w:cs="Arial" w:eastAsia="Arial" w:hAnsi="Arial"/>
          <w:color w:val="161616"/>
          <w:sz w:val="22"/>
          <w:szCs w:val="22"/>
        </w:rPr>
        <w:t xml:space="preserve">RFI content cannot be externally exposed. Data handling must comply with existing agreements. John: “We have contractual obligations with Gartner too. They don’t want their RFIs out there either.” This constrains where and how RFI content can be stored and processed.</w:t>
      </w:r>
    </w:p>
    <w:p>
      <w:pPr>
        <w:pStyle w:val="ListParagraph"/>
        <w:numPr>
          <w:ilvl w:val="0"/>
          <w:numId w:val="2"/>
        </w:numPr>
        <w:spacing w:after="80"/>
      </w:pPr>
      <w:r>
        <w:rPr>
          <w:rFonts w:ascii="Arial" w:cs="Arial" w:eastAsia="Arial" w:hAnsi="Arial"/>
          <w:b/>
          <w:bCs/>
          <w:color w:val="161616"/>
          <w:sz w:val="22"/>
          <w:szCs w:val="22"/>
        </w:rPr>
        <w:t xml:space="preserve">Copilot/CA Licensing Barriers: </w:t>
      </w:r>
      <w:r>
        <w:rPr>
          <w:rFonts w:ascii="Arial" w:cs="Arial" w:eastAsia="Arial" w:hAnsi="Arial"/>
          <w:color w:val="161616"/>
          <w:sz w:val="22"/>
          <w:szCs w:val="22"/>
        </w:rPr>
        <w:t xml:space="preserve">Current licensing prevents team from effective experimentation with existing enterprise tools. John described failed attempts to get proper Copilot access to query SharePoint. This must be resolved as part of the Workflow + UI Integration layer.</w:t>
      </w:r>
    </w:p>
    <w:p>
      <w:pPr>
        <w:pStyle w:val="ListParagraph"/>
        <w:numPr>
          <w:ilvl w:val="0"/>
          <w:numId w:val="2"/>
        </w:numPr>
        <w:spacing w:after="80"/>
      </w:pPr>
      <w:r>
        <w:rPr>
          <w:rFonts w:ascii="Arial" w:cs="Arial" w:eastAsia="Arial" w:hAnsi="Arial"/>
          <w:b/>
          <w:bCs/>
          <w:color w:val="161616"/>
          <w:sz w:val="22"/>
          <w:szCs w:val="22"/>
        </w:rPr>
        <w:t xml:space="preserve">Gartner Evaluation Cadence Acceleration: </w:t>
      </w:r>
      <w:r>
        <w:rPr>
          <w:rFonts w:ascii="Arial" w:cs="Arial" w:eastAsia="Arial" w:hAnsi="Arial"/>
          <w:color w:val="161616"/>
          <w:sz w:val="22"/>
          <w:szCs w:val="22"/>
        </w:rPr>
        <w:t xml:space="preserve">Creates urgency but also a hard constraint: the team must be ready to handle 2–3× current volume within 12–18 months as Gartner transitions to multiple evaluations per year.</w:t>
      </w:r>
    </w:p>
    <w:p>
      <w:pPr>
        <w:pStyle w:val="ListParagraph"/>
        <w:numPr>
          <w:ilvl w:val="0"/>
          <w:numId w:val="2"/>
        </w:numPr>
        <w:spacing w:after="80"/>
      </w:pPr>
      <w:r>
        <w:rPr>
          <w:rFonts w:ascii="Arial" w:cs="Arial" w:eastAsia="Arial" w:hAnsi="Arial"/>
          <w:b/>
          <w:bCs/>
          <w:color w:val="161616"/>
          <w:sz w:val="22"/>
          <w:szCs w:val="22"/>
        </w:rPr>
        <w:t xml:space="preserve">Data Readiness Foundation: </w:t>
      </w:r>
      <w:r>
        <w:rPr>
          <w:rFonts w:ascii="Arial" w:cs="Arial" w:eastAsia="Arial" w:hAnsi="Arial"/>
          <w:color w:val="161616"/>
          <w:sz w:val="22"/>
          <w:szCs w:val="22"/>
        </w:rPr>
        <w:t xml:space="preserve">Elizabeth emphasized the team has been on a “data readiness journey” for about a year. Software + Gartner reports are the most ready; other BUs and firms need to follow. The phased approach (start with Software/Gartner, expand) must be honored.</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Elizabeth: “Is the ultimate goal here to have everything feed into Ask MCC?” — David Gerken deferred, saying focus should be on outcomes rather than manifestation, but this reflects a real architectural question about where AR tooling lives.</w:t>
      </w:r>
    </w:p>
    <w:p>
      <w:pPr>
        <w:pStyle w:val="ListParagraph"/>
        <w:numPr>
          <w:ilvl w:val="0"/>
          <w:numId w:val="2"/>
        </w:numPr>
        <w:spacing w:after="80"/>
      </w:pPr>
      <w:r>
        <w:rPr>
          <w:rFonts w:ascii="Arial" w:cs="Arial" w:eastAsia="Arial" w:hAnsi="Arial"/>
          <w:color w:val="161616"/>
          <w:sz w:val="22"/>
          <w:szCs w:val="22"/>
        </w:rPr>
        <w:t xml:space="preserve">David Gerken: “What are the main blockers to achieving Nirvana around this?” — Elizabeth’s answer: “Automation. And data.” This two-word answer captures the entire dependency chain.</w:t>
      </w:r>
    </w:p>
    <w:p>
      <w:pPr>
        <w:pStyle w:val="ListParagraph"/>
        <w:numPr>
          <w:ilvl w:val="0"/>
          <w:numId w:val="2"/>
        </w:numPr>
        <w:spacing w:after="80"/>
      </w:pPr>
      <w:r>
        <w:rPr>
          <w:rFonts w:ascii="Arial" w:cs="Arial" w:eastAsia="Arial" w:hAnsi="Arial"/>
          <w:color w:val="161616"/>
          <w:sz w:val="22"/>
          <w:szCs w:val="22"/>
        </w:rPr>
        <w:t xml:space="preserve">David Gerken: “Have you quantified the total amount of SME time?” — John estimated 250–300 SME hours per RFI cycle, with a 75% reduction target. Elizabeth flagged that broader stakeholder impact (executives, sales) is not yet quantified.</w:t>
      </w:r>
    </w:p>
    <w:p>
      <w:pPr>
        <w:pStyle w:val="ListParagraph"/>
        <w:numPr>
          <w:ilvl w:val="0"/>
          <w:numId w:val="2"/>
        </w:numPr>
        <w:spacing w:after="80"/>
      </w:pPr>
      <w:r>
        <w:rPr>
          <w:rFonts w:ascii="Arial" w:cs="Arial" w:eastAsia="Arial" w:hAnsi="Arial"/>
          <w:color w:val="161616"/>
          <w:sz w:val="22"/>
          <w:szCs w:val="22"/>
        </w:rPr>
        <w:t xml:space="preserve">David Gerken: “Are there vendors you’ve looked at like Qvidian?” — Team has evaluated external vendors but prioritized IBM tools for security and brand reasons. Elizabeth: “We would never go to somebody else because we have the best stuff ourselves.” Rosanna noted Qvidian’s similar challenges “were eventually worked through.”</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b/>
          <w:bCs/>
          <w:color w:val="DA1E28"/>
          <w:sz w:val="22"/>
          <w:szCs w:val="22"/>
        </w:rPr>
        <w:t xml:space="preserve">[GAP] What is the CIO Office’s current commitment level to AR infrastructure? Has a budget been allocated? What is the timeline for a decision?</w:t>
      </w:r>
    </w:p>
    <w:p>
      <w:pPr>
        <w:pStyle w:val="ListParagraph"/>
        <w:numPr>
          <w:ilvl w:val="0"/>
          <w:numId w:val="2"/>
        </w:numPr>
        <w:spacing w:after="80"/>
      </w:pPr>
      <w:r>
        <w:rPr>
          <w:rFonts w:ascii="Arial" w:cs="Arial" w:eastAsia="Arial" w:hAnsi="Arial"/>
          <w:b/>
          <w:bCs/>
          <w:color w:val="DA1E28"/>
          <w:sz w:val="22"/>
          <w:szCs w:val="22"/>
        </w:rPr>
        <w:t xml:space="preserve">[GAP] What is the Security/Legal/Compliance timeline for reviewing AI-generated analyst-facing content? Is there an existing precedent from other IBM teams?</w:t>
      </w:r>
    </w:p>
    <w:p>
      <w:pPr>
        <w:pStyle w:val="ListParagraph"/>
        <w:numPr>
          <w:ilvl w:val="0"/>
          <w:numId w:val="2"/>
        </w:numPr>
        <w:spacing w:after="80"/>
      </w:pPr>
      <w:r>
        <w:rPr>
          <w:rFonts w:ascii="Arial" w:cs="Arial" w:eastAsia="Arial" w:hAnsi="Arial"/>
          <w:b/>
          <w:bCs/>
          <w:color w:val="DA1E28"/>
          <w:sz w:val="22"/>
          <w:szCs w:val="22"/>
        </w:rPr>
        <w:t xml:space="preserve">[GAP] How will the Secure Knowledge Repository handle multi-BU content conflicts (e.g., when Software and Consulting messaging diverges on the same capability)?</w:t>
      </w:r>
    </w:p>
    <w:p>
      <w:pPr>
        <w:pStyle w:val="ListParagraph"/>
        <w:numPr>
          <w:ilvl w:val="0"/>
          <w:numId w:val="2"/>
        </w:numPr>
        <w:spacing w:after="80"/>
      </w:pPr>
      <w:r>
        <w:rPr>
          <w:rFonts w:ascii="Arial" w:cs="Arial" w:eastAsia="Arial" w:hAnsi="Arial"/>
          <w:b/>
          <w:bCs/>
          <w:color w:val="DA1E28"/>
          <w:sz w:val="22"/>
          <w:szCs w:val="22"/>
        </w:rPr>
        <w:t xml:space="preserve">[GAP] What is the governance model for “approved for analyst use” content—who approves, on what cadence, with what escalation path for disagreements?</w:t>
      </w:r>
    </w:p>
    <w:p>
      <w:pPr>
        <w:pStyle w:val="ListParagraph"/>
        <w:numPr>
          <w:ilvl w:val="0"/>
          <w:numId w:val="2"/>
        </w:numPr>
        <w:spacing w:after="80"/>
      </w:pPr>
      <w:r>
        <w:rPr>
          <w:rFonts w:ascii="Arial" w:cs="Arial" w:eastAsia="Arial" w:hAnsi="Arial"/>
          <w:b/>
          <w:bCs/>
          <w:color w:val="DA1E28"/>
          <w:sz w:val="22"/>
          <w:szCs w:val="22"/>
        </w:rPr>
        <w:t xml:space="preserve">[GAP] How will the system handle NDA-sensitive competitive intelligence and pre-announcement roadmap content? What classification levels are required?</w:t>
      </w:r>
    </w:p>
    <w:p>
      <w:pPr>
        <w:pStyle w:val="ListParagraph"/>
        <w:numPr>
          <w:ilvl w:val="0"/>
          <w:numId w:val="2"/>
        </w:numPr>
        <w:spacing w:after="80"/>
      </w:pPr>
      <w:r>
        <w:rPr>
          <w:rFonts w:ascii="Arial" w:cs="Arial" w:eastAsia="Arial" w:hAnsi="Arial"/>
          <w:b/>
          <w:bCs/>
          <w:color w:val="DA1E28"/>
          <w:sz w:val="22"/>
          <w:szCs w:val="22"/>
        </w:rPr>
        <w:t xml:space="preserve">[GAP] What is the integration plan with Rebecca Green’s GPI/client reference system? How does peer review evidence flow into RFI preparation?</w:t>
      </w:r>
    </w:p>
    <w:p>
      <w:pPr>
        <w:pStyle w:val="ListParagraph"/>
        <w:numPr>
          <w:ilvl w:val="0"/>
          <w:numId w:val="2"/>
        </w:numPr>
        <w:spacing w:after="80"/>
      </w:pPr>
      <w:r>
        <w:rPr>
          <w:rFonts w:ascii="Arial" w:cs="Arial" w:eastAsia="Arial" w:hAnsi="Arial"/>
          <w:b/>
          <w:bCs/>
          <w:color w:val="DA1E28"/>
          <w:sz w:val="22"/>
          <w:szCs w:val="22"/>
        </w:rPr>
        <w:t xml:space="preserve">[GAP] What are the specific Gartner contractual constraints on storing/processing RFI content in AI systems? Has IBM Legal reviewed this?</w:t>
      </w:r>
    </w:p>
    <w:p>
      <w:pPr>
        <w:pStyle w:val="ListParagraph"/>
        <w:numPr>
          <w:ilvl w:val="0"/>
          <w:numId w:val="2"/>
        </w:numPr>
        <w:spacing w:after="80"/>
      </w:pPr>
      <w:r>
        <w:rPr>
          <w:rFonts w:ascii="Arial" w:cs="Arial" w:eastAsia="Arial" w:hAnsi="Arial"/>
          <w:b/>
          <w:bCs/>
          <w:color w:val="DA1E28"/>
          <w:sz w:val="22"/>
          <w:szCs w:val="22"/>
        </w:rPr>
        <w:t xml:space="preserve">[GAP] What happened to the EPM/Tableau research tracking capability? Is there a corporate initiative to replace it, or is the AR team on its own?</w:t>
      </w:r>
    </w:p>
    <w:p>
      <w:r>
        <w:br w:type="page"/>
      </w:r>
    </w:p>
    <w:p>
      <w:pPr>
        <w:spacing w:after="200" w:before="400"/>
      </w:pPr>
      <w:r>
        <w:rPr>
          <w:rFonts w:ascii="Arial" w:cs="Arial" w:eastAsia="Arial" w:hAnsi="Arial"/>
          <w:b/>
          <w:bCs/>
          <w:color w:val="0F62FE"/>
          <w:sz w:val="72"/>
          <w:szCs w:val="72"/>
        </w:rPr>
        <w:t xml:space="preserve">Workflow 2: Analyst Insight Amplification &amp; Enterprise Activation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Analyst Insight Amplification &amp; Enterprise Activation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AI system that transforms IBM’s analyst relations from a pull-based model—where research is published and teams must find and activate it themselves—to a push-based, trigger-driven model that proactively routes analyst insights, research outcomes, and competitive intelligence to the right stakeholders at the right time, maximizing the enterprise impact of every analyst engagement and every dollar invested in analyst firm relationships.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Increase amplification reach of analyst research beyond the current $647M tracked pipeline (Elizabeth: “That number should be 20 times, if not 100 times”). Enable real-time activation of time-sensitive analyst advocacy. Ensure sales teams have analyst proof points at point of client engagement. Replace manual monthly research tracking with continuous, automated intelligence.</w:t>
      </w:r>
    </w:p>
    <w:p/>
    <w:p>
      <w:pPr>
        <w:spacing w:after="120"/>
      </w:pPr>
      <w:r>
        <w:rPr>
          <w:rFonts w:ascii="Arial" w:cs="Arial" w:eastAsia="Arial" w:hAnsi="Arial"/>
          <w:b/>
          <w:bCs/>
          <w:color w:val="161616"/>
          <w:sz w:val="22"/>
          <w:szCs w:val="22"/>
        </w:rPr>
        <w:t xml:space="preserve">Triggers:</w:t>
      </w:r>
    </w:p>
    <w:p>
      <w:pPr>
        <w:pStyle w:val="ListParagraph"/>
        <w:numPr>
          <w:ilvl w:val="0"/>
          <w:numId w:val="2"/>
        </w:numPr>
        <w:spacing w:after="8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New analyst report published or updated (leader position achieved, dot placement changed, new competitive intelligence available)</w:t>
      </w:r>
    </w:p>
    <w:p>
      <w:pPr>
        <w:pStyle w:val="ListParagraph"/>
        <w:numPr>
          <w:ilvl w:val="0"/>
          <w:numId w:val="2"/>
        </w:numPr>
        <w:spacing w:after="80"/>
      </w:pP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Analyst publishes thought leadership or social media content favorable to IBM (e.g., Gartner analyst LinkedIn post defending IBM during Anthropic/Cobol controversy)</w:t>
      </w:r>
    </w:p>
    <w:p>
      <w:pPr>
        <w:pStyle w:val="ListParagraph"/>
        <w:numPr>
          <w:ilvl w:val="0"/>
          <w:numId w:val="2"/>
        </w:numPr>
        <w:spacing w:after="80"/>
      </w:pP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Competitive event requiring rapid analyst-backed response (e.g., stock-moving news requiring counter-narrative with analyst validation)</w:t>
      </w:r>
    </w:p>
    <w:p/>
    <w:p>
      <w:pPr>
        <w:spacing w:after="120"/>
      </w:pPr>
      <w:r>
        <w:rPr>
          <w:rFonts w:ascii="Arial" w:cs="Arial" w:eastAsia="Arial" w:hAnsi="Arial"/>
          <w:b/>
          <w:bCs/>
          <w:color w:val="161616"/>
          <w:sz w:val="22"/>
          <w:szCs w:val="22"/>
        </w:rPr>
        <w:t xml:space="preserve">Key Stakeholders:</w:t>
      </w:r>
    </w:p>
    <w:p>
      <w:pPr>
        <w:pStyle w:val="ListParagraph"/>
        <w:numPr>
          <w:ilvl w:val="0"/>
          <w:numId w:val="2"/>
        </w:numPr>
        <w:spacing w:after="80"/>
      </w:pPr>
      <w:r>
        <w:rPr>
          <w:rFonts w:ascii="Arial" w:cs="Arial" w:eastAsia="Arial" w:hAnsi="Arial"/>
          <w:b/>
          <w:bCs/>
          <w:color w:val="161616"/>
          <w:sz w:val="22"/>
          <w:szCs w:val="22"/>
        </w:rPr>
        <w:t xml:space="preserve">Elizabeth Bamonte</w:t>
      </w:r>
      <w:r>
        <w:rPr>
          <w:rFonts w:ascii="Arial" w:cs="Arial" w:eastAsia="Arial" w:hAnsi="Arial"/>
          <w:color w:val="161616"/>
          <w:sz w:val="22"/>
          <w:szCs w:val="22"/>
        </w:rPr>
        <w:t xml:space="preserve"> — AR team lead, strategic amplification decisions, executive reporting</w:t>
      </w:r>
    </w:p>
    <w:p>
      <w:pPr>
        <w:pStyle w:val="ListParagraph"/>
        <w:numPr>
          <w:ilvl w:val="0"/>
          <w:numId w:val="2"/>
        </w:numPr>
        <w:spacing w:after="80"/>
      </w:pPr>
      <w:r>
        <w:rPr>
          <w:rFonts w:ascii="Arial" w:cs="Arial" w:eastAsia="Arial" w:hAnsi="Arial"/>
          <w:b/>
          <w:bCs/>
          <w:color w:val="161616"/>
          <w:sz w:val="22"/>
          <w:szCs w:val="22"/>
        </w:rPr>
        <w:t xml:space="preserve">John Spooner</w:t>
      </w:r>
      <w:r>
        <w:rPr>
          <w:rFonts w:ascii="Arial" w:cs="Arial" w:eastAsia="Arial" w:hAnsi="Arial"/>
          <w:color w:val="161616"/>
          <w:sz w:val="22"/>
          <w:szCs w:val="22"/>
        </w:rPr>
        <w:t xml:space="preserve"> — Report outcome tracking, narrative adjustment recommendations</w:t>
      </w:r>
    </w:p>
    <w:p>
      <w:pPr>
        <w:pStyle w:val="ListParagraph"/>
        <w:numPr>
          <w:ilvl w:val="0"/>
          <w:numId w:val="2"/>
        </w:numPr>
        <w:spacing w:after="80"/>
      </w:pPr>
      <w:r>
        <w:rPr>
          <w:rFonts w:ascii="Arial" w:cs="Arial" w:eastAsia="Arial" w:hAnsi="Arial"/>
          <w:b/>
          <w:bCs/>
          <w:color w:val="161616"/>
          <w:sz w:val="22"/>
          <w:szCs w:val="22"/>
        </w:rPr>
        <w:t xml:space="preserve">Gisele Spolador Lopes</w:t>
      </w:r>
      <w:r>
        <w:rPr>
          <w:rFonts w:ascii="Arial" w:cs="Arial" w:eastAsia="Arial" w:hAnsi="Arial"/>
          <w:color w:val="161616"/>
          <w:sz w:val="22"/>
          <w:szCs w:val="22"/>
        </w:rPr>
        <w:t xml:space="preserve"> — Quantitative tracking, pipeline attribution, operations</w:t>
      </w:r>
    </w:p>
    <w:p>
      <w:pPr>
        <w:pStyle w:val="ListParagraph"/>
        <w:numPr>
          <w:ilvl w:val="0"/>
          <w:numId w:val="2"/>
        </w:numPr>
        <w:spacing w:after="80"/>
      </w:pPr>
      <w:r>
        <w:rPr>
          <w:rFonts w:ascii="Arial" w:cs="Arial" w:eastAsia="Arial" w:hAnsi="Arial"/>
          <w:b/>
          <w:bCs/>
          <w:color w:val="161616"/>
          <w:sz w:val="22"/>
          <w:szCs w:val="22"/>
        </w:rPr>
        <w:t xml:space="preserve">Christina Rohrmann</w:t>
      </w:r>
      <w:r>
        <w:rPr>
          <w:rFonts w:ascii="Arial" w:cs="Arial" w:eastAsia="Arial" w:hAnsi="Arial"/>
          <w:color w:val="161616"/>
          <w:sz w:val="22"/>
          <w:szCs w:val="22"/>
        </w:rPr>
        <w:t xml:space="preserve"> — Center of Excellence, documentation of amplification guidelines</w:t>
      </w:r>
    </w:p>
    <w:p>
      <w:pPr>
        <w:pStyle w:val="ListParagraph"/>
        <w:numPr>
          <w:ilvl w:val="0"/>
          <w:numId w:val="2"/>
        </w:numPr>
        <w:spacing w:after="80"/>
      </w:pPr>
      <w:r>
        <w:rPr>
          <w:rFonts w:ascii="Arial" w:cs="Arial" w:eastAsia="Arial" w:hAnsi="Arial"/>
          <w:b/>
          <w:bCs/>
          <w:color w:val="161616"/>
          <w:sz w:val="22"/>
          <w:szCs w:val="22"/>
        </w:rPr>
        <w:t xml:space="preserve">Marketing Teams</w:t>
      </w:r>
      <w:r>
        <w:rPr>
          <w:rFonts w:ascii="Arial" w:cs="Arial" w:eastAsia="Arial" w:hAnsi="Arial"/>
          <w:color w:val="161616"/>
          <w:sz w:val="22"/>
          <w:szCs w:val="22"/>
        </w:rPr>
        <w:t xml:space="preserve"> — Campaign messaging, experience design, paid media amplification</w:t>
      </w:r>
    </w:p>
    <w:p>
      <w:pPr>
        <w:pStyle w:val="ListParagraph"/>
        <w:numPr>
          <w:ilvl w:val="0"/>
          <w:numId w:val="2"/>
        </w:numPr>
        <w:spacing w:after="80"/>
      </w:pPr>
      <w:r>
        <w:rPr>
          <w:rFonts w:ascii="Arial" w:cs="Arial" w:eastAsia="Arial" w:hAnsi="Arial"/>
          <w:b/>
          <w:bCs/>
          <w:color w:val="161616"/>
          <w:sz w:val="22"/>
          <w:szCs w:val="22"/>
        </w:rPr>
        <w:t xml:space="preserve">Sales Teams</w:t>
      </w:r>
      <w:r>
        <w:rPr>
          <w:rFonts w:ascii="Arial" w:cs="Arial" w:eastAsia="Arial" w:hAnsi="Arial"/>
          <w:color w:val="161616"/>
          <w:sz w:val="22"/>
          <w:szCs w:val="22"/>
        </w:rPr>
        <w:t xml:space="preserve"> — Sellers using analyst proof points in client engagements</w:t>
      </w:r>
    </w:p>
    <w:p>
      <w:pPr>
        <w:pStyle w:val="ListParagraph"/>
        <w:numPr>
          <w:ilvl w:val="0"/>
          <w:numId w:val="2"/>
        </w:numPr>
        <w:spacing w:after="80"/>
      </w:pPr>
      <w:r>
        <w:rPr>
          <w:rFonts w:ascii="Arial" w:cs="Arial" w:eastAsia="Arial" w:hAnsi="Arial"/>
          <w:b/>
          <w:bCs/>
          <w:color w:val="161616"/>
          <w:sz w:val="22"/>
          <w:szCs w:val="22"/>
        </w:rPr>
        <w:t xml:space="preserve">Rebecca Green</w:t>
      </w:r>
      <w:r>
        <w:rPr>
          <w:rFonts w:ascii="Arial" w:cs="Arial" w:eastAsia="Arial" w:hAnsi="Arial"/>
          <w:color w:val="161616"/>
          <w:sz w:val="22"/>
          <w:szCs w:val="22"/>
        </w:rPr>
        <w:t xml:space="preserve"> — GPI/client references (Jen Connect org); peer review evidence that supports analyst outcomes</w:t>
      </w:r>
    </w:p>
    <w:p>
      <w:pPr>
        <w:pStyle w:val="ListParagraph"/>
        <w:numPr>
          <w:ilvl w:val="0"/>
          <w:numId w:val="2"/>
        </w:numPr>
        <w:spacing w:after="80"/>
      </w:pPr>
      <w:r>
        <w:rPr>
          <w:rFonts w:ascii="Arial" w:cs="Arial" w:eastAsia="Arial" w:hAnsi="Arial"/>
          <w:b/>
          <w:bCs/>
          <w:color w:val="DA1E28"/>
          <w:sz w:val="22"/>
          <w:szCs w:val="22"/>
        </w:rPr>
        <w:t xml:space="preserve">[GAP] Who in Marketing is the primary partner for analyst research amplification? What is the handoff process?</w:t>
      </w:r>
    </w:p>
    <w:p>
      <w:pPr>
        <w:spacing w:after="160" w:before="360"/>
      </w:pPr>
      <w:r>
        <w:rPr>
          <w:rFonts w:ascii="Arial" w:cs="Arial" w:eastAsia="Arial" w:hAnsi="Arial"/>
          <w:b/>
          <w:bCs/>
          <w:color w:val="161616"/>
          <w:sz w:val="56"/>
          <w:szCs w:val="56"/>
        </w:rPr>
        <w:t xml:space="preserve">2. High-Level Flow (6 Steps)</w:t>
      </w:r>
    </w:p>
    <w:p>
      <w:pPr>
        <w:pStyle w:val="ListParagraph"/>
        <w:numPr>
          <w:ilvl w:val="0"/>
          <w:numId w:val="5"/>
        </w:numPr>
        <w:spacing w:after="80"/>
      </w:pPr>
      <w:r>
        <w:rPr>
          <w:rFonts w:ascii="Arial" w:cs="Arial" w:eastAsia="Arial" w:hAnsi="Arial"/>
          <w:b/>
          <w:bCs/>
          <w:color w:val="161616"/>
          <w:sz w:val="22"/>
          <w:szCs w:val="22"/>
        </w:rPr>
        <w:t xml:space="preserve">Research Publication &amp; Outcome Capture: </w:t>
      </w:r>
      <w:r>
        <w:rPr>
          <w:rFonts w:ascii="Arial" w:cs="Arial" w:eastAsia="Arial" w:hAnsi="Arial"/>
          <w:color w:val="161616"/>
          <w:sz w:val="22"/>
          <w:szCs w:val="22"/>
        </w:rPr>
        <w:t xml:space="preserve">When analyst report publishes, agent captures outcome data: leader position, dot placement, capability scores, year-over-year movement, and analyst commentary. Generates standardized summary replacing the manual monthly static document (Elizabeth’s “first Friday of every month” cutoff). Tracks which studies published, who authored them, what was last year’s result, what was the movement and dot placement, and why.</w:t>
      </w:r>
    </w:p>
    <w:p>
      <w:pPr>
        <w:pStyle w:val="ListParagraph"/>
        <w:numPr>
          <w:ilvl w:val="0"/>
          <w:numId w:val="5"/>
        </w:numPr>
        <w:spacing w:after="80"/>
      </w:pPr>
      <w:r>
        <w:rPr>
          <w:rFonts w:ascii="Arial" w:cs="Arial" w:eastAsia="Arial" w:hAnsi="Arial"/>
          <w:b/>
          <w:bCs/>
          <w:color w:val="161616"/>
          <w:sz w:val="22"/>
          <w:szCs w:val="22"/>
        </w:rPr>
        <w:t xml:space="preserve">Insight Extraction &amp; Smart Tagging: </w:t>
      </w:r>
      <w:r>
        <w:rPr>
          <w:rFonts w:ascii="Arial" w:cs="Arial" w:eastAsia="Arial" w:hAnsi="Arial"/>
          <w:color w:val="161616"/>
          <w:sz w:val="22"/>
          <w:szCs w:val="22"/>
        </w:rPr>
        <w:t xml:space="preserve">Agent extracts key insights: analyst quotes, competitive positioning data, capability differentiators, proof points suitable for external use, and client-relevant talking points. Tags by portfolio, industry vertical, persona relevance, and compliance status (approved for external use vs. internal-only vs. NDA-restricted). Elizabeth envisioned “some type of smart tagging system” to make content findable.</w:t>
      </w:r>
    </w:p>
    <w:p>
      <w:pPr>
        <w:pStyle w:val="ListParagraph"/>
        <w:numPr>
          <w:ilvl w:val="0"/>
          <w:numId w:val="5"/>
        </w:numPr>
        <w:spacing w:after="80"/>
      </w:pPr>
      <w:r>
        <w:rPr>
          <w:rFonts w:ascii="Arial" w:cs="Arial" w:eastAsia="Arial" w:hAnsi="Arial"/>
          <w:b/>
          <w:bCs/>
          <w:color w:val="161616"/>
          <w:sz w:val="22"/>
          <w:szCs w:val="22"/>
        </w:rPr>
        <w:t xml:space="preserve">Stakeholder Matching &amp; Push Distribution: </w:t>
      </w:r>
      <w:r>
        <w:rPr>
          <w:rFonts w:ascii="Arial" w:cs="Arial" w:eastAsia="Arial" w:hAnsi="Arial"/>
          <w:color w:val="161616"/>
          <w:sz w:val="22"/>
          <w:szCs w:val="22"/>
        </w:rPr>
        <w:t xml:space="preserve">Agent identifies relevant stakeholders (sellers by account/industry, marketers by portfolio, executives by business unit) and pushes contextualized insights through their natural workflow tools. David Gerken framed this as moving from “a pull model where things are published and you’re waiting for teams to see those” to “a push model where it’s more trigger based.” Elizabeth confirmed: “100%. Absolutely.”</w:t>
      </w:r>
    </w:p>
    <w:p>
      <w:pPr>
        <w:pStyle w:val="ListParagraph"/>
        <w:numPr>
          <w:ilvl w:val="0"/>
          <w:numId w:val="5"/>
        </w:numPr>
        <w:spacing w:after="80"/>
      </w:pPr>
      <w:r>
        <w:rPr>
          <w:rFonts w:ascii="Arial" w:cs="Arial" w:eastAsia="Arial" w:hAnsi="Arial"/>
          <w:b/>
          <w:bCs/>
          <w:color w:val="161616"/>
          <w:sz w:val="22"/>
          <w:szCs w:val="22"/>
        </w:rPr>
        <w:t xml:space="preserve">Sales Enablement Activation: </w:t>
      </w:r>
      <w:r>
        <w:rPr>
          <w:rFonts w:ascii="Arial" w:cs="Arial" w:eastAsia="Arial" w:hAnsi="Arial"/>
          <w:color w:val="161616"/>
          <w:sz w:val="22"/>
          <w:szCs w:val="22"/>
        </w:rPr>
        <w:t xml:space="preserve">For leader positions, agent generates ready-to-use assets in Seismic: Gartner/IDC quotes for client presentations, competitive proof points organized by play, industry-specific talking points. Elizabeth’s vision: a seller in a financial services meeting could “type in... a Gartner stat or an IDC quote that helps me ensure that I can communicate right here in the meeting that we are the leader.” Currently this relies on human search through Seismic organized by play.</w:t>
      </w:r>
    </w:p>
    <w:p>
      <w:pPr>
        <w:pStyle w:val="ListParagraph"/>
        <w:numPr>
          <w:ilvl w:val="0"/>
          <w:numId w:val="5"/>
        </w:numPr>
        <w:spacing w:after="80"/>
      </w:pPr>
      <w:r>
        <w:rPr>
          <w:rFonts w:ascii="Arial" w:cs="Arial" w:eastAsia="Arial" w:hAnsi="Arial"/>
          <w:b/>
          <w:bCs/>
          <w:color w:val="161616"/>
          <w:sz w:val="22"/>
          <w:szCs w:val="22"/>
        </w:rPr>
        <w:t xml:space="preserve">Real-Time Trigger Response: </w:t>
      </w:r>
      <w:r>
        <w:rPr>
          <w:rFonts w:ascii="Arial" w:cs="Arial" w:eastAsia="Arial" w:hAnsi="Arial"/>
          <w:color w:val="161616"/>
          <w:sz w:val="22"/>
          <w:szCs w:val="22"/>
        </w:rPr>
        <w:t xml:space="preserve">For time-sensitive events, agent generates rapid response packages and alerts appropriate teams. The Anthropic/Cobol incident demonstrated this: IBM stock dropped, a Gartner analyst defended IBM on LinkedIn (rare for Gartner), and the AR team manually amplified it. Result: analyst’s post got high engagement, he published another, and IBM gained “more advocacy from a firm that does not do advocacy.” Automating this trigger-to-activation pipeline would capture these high-value moments consistently.</w:t>
      </w:r>
    </w:p>
    <w:p>
      <w:pPr>
        <w:pStyle w:val="ListParagraph"/>
        <w:numPr>
          <w:ilvl w:val="0"/>
          <w:numId w:val="5"/>
        </w:numPr>
        <w:spacing w:after="80"/>
      </w:pPr>
      <w:r>
        <w:rPr>
          <w:rFonts w:ascii="Arial" w:cs="Arial" w:eastAsia="Arial" w:hAnsi="Arial"/>
          <w:b/>
          <w:bCs/>
          <w:color w:val="161616"/>
          <w:sz w:val="22"/>
          <w:szCs w:val="22"/>
        </w:rPr>
        <w:t xml:space="preserve">Performance Tracking &amp; Optimization: </w:t>
      </w:r>
      <w:r>
        <w:rPr>
          <w:rFonts w:ascii="Arial" w:cs="Arial" w:eastAsia="Arial" w:hAnsi="Arial"/>
          <w:color w:val="161616"/>
          <w:sz w:val="22"/>
          <w:szCs w:val="22"/>
        </w:rPr>
        <w:t xml:space="preserve">Agent tracks which channels, formats, and timing drive highest engagement and pipeline impact. Replaces deprecated EPM/Tableau dashboard. Feeds back to optimize future amplification strategy. Gisele tracks $647M in attributed pipeline; this system would expand attribution visibility. Elizabeth: “If we were putting it into the right places and people could find it better, we would have more data to help us know which channels and which teams are leveraging it the best.”</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Seismic</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Primary distribution channel for analyst insights to sales teams; organized by play; push notifications for time-sensitive insights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Elizabeth exploring Seismic as push mechanism: "How do we get this into Seismic as like a pop up?" </w:t>
            </w:r>
            <w:r>
              <w:rPr>
                <w:rFonts w:ascii="Arial" w:cs="Arial" w:eastAsia="Arial" w:hAnsi="Arial"/>
                <w:b/>
                <w:bCs/>
                <w:color w:val="DA1E28"/>
                <w:sz w:val="22"/>
                <w:szCs w:val="22"/>
              </w:rPr>
              <w:t xml:space="preserve">[GAP] Does Seismic support push notifications or real-time content alerts to users?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EPM / Tableau (Deprecated)</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Previously housed research tracking dashboard; must be replaced by this workflow’s performance tracking component</w:t>
            </w:r>
          </w:p>
        </w:tc>
        <w:tc>
          <w:tcPr>
            <w:tcW w:type="dxa" w:w="34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caused the deprecation? Is there a corporate replacement initiative, or must AR build its own?</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LinkedIn / Social Media</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Analyst advocacy monitoring; trigger source for real-time activation (e.g., Gartner analyst posts)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Gartner analysts rarely post on LinkedIn, making these moments high-value when they occur</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Monday.com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Coordination of amplification activities and tracking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Already in use for RFI project management; extends to amplification tracking</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Analyst Firm Portals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Source of published research, report outcomes, dot placements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Gartner, IDC, Forrester, and Tier 2/3 firms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Marketing Automation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Campaign execution for research amplification; gated assets, paid media distribution</w:t>
            </w:r>
          </w:p>
        </w:tc>
        <w:tc>
          <w:tcPr>
            <w:tcW w:type="dxa" w:w="34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Which specific marketing automation platforms are used for analyst research campaigns? What is the handoff process from AR to Marketing?</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W3 / IBM Intranet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amplification of analyst insights to IBMers; AR team’s W3 page and blog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Elizabeth mentioned the team has been "trying to build more referenceable material" on W3 and blog</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Insight generation: </w:t>
      </w:r>
      <w:r>
        <w:rPr>
          <w:rFonts w:ascii="Arial" w:cs="Arial" w:eastAsia="Arial" w:hAnsi="Arial"/>
          <w:color w:val="161616"/>
          <w:sz w:val="22"/>
          <w:szCs w:val="22"/>
        </w:rPr>
        <w:t xml:space="preserve">Extract and synthesize analyst insights from published research for enterprise distribution. Identify key quotes, competitive proof points, and client-relevant talking points from report outcomes. Surface patterns in what drives engagement across channels.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Drafting / content generation: </w:t>
      </w:r>
      <w:r>
        <w:rPr>
          <w:rFonts w:ascii="Arial" w:cs="Arial" w:eastAsia="Arial" w:hAnsi="Arial"/>
          <w:color w:val="161616"/>
          <w:sz w:val="22"/>
          <w:szCs w:val="22"/>
        </w:rPr>
        <w:t xml:space="preserve">Generate sales-ready talking points, executive summaries, press release quotes, and amplification assets from research outcomes. Transform the manual monthly report into continuously updated, role-contextualized intelligence.</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Risk scoring / pre-review: </w:t>
      </w:r>
      <w:r>
        <w:rPr>
          <w:rFonts w:ascii="Arial" w:cs="Arial" w:eastAsia="Arial" w:hAnsi="Arial"/>
          <w:color w:val="161616"/>
          <w:sz w:val="22"/>
          <w:szCs w:val="22"/>
        </w:rPr>
        <w:t xml:space="preserve">Flag content requiring compliance review before external use (analyst quotes, research citations for press releases, earnings call references). Elizabeth: "There’s an approval process to ensure that the use of that information is appropriately being sourced and leveraged."</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Anomaly detection: </w:t>
      </w:r>
      <w:r>
        <w:rPr>
          <w:rFonts w:ascii="Arial" w:cs="Arial" w:eastAsia="Arial" w:hAnsi="Arial"/>
          <w:color w:val="525252"/>
          <w:sz w:val="22"/>
          <w:szCs w:val="22"/>
        </w:rPr>
        <w:t xml:space="preserve">[NOT DISCUSSED] — Could be applied to detect unexpected analyst behavior (e.g., uncharacteristic social media activity, shifts in evaluation criteria).</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Orchestration / routing: </w:t>
      </w:r>
      <w:r>
        <w:rPr>
          <w:rFonts w:ascii="Arial" w:cs="Arial" w:eastAsia="Arial" w:hAnsi="Arial"/>
          <w:color w:val="161616"/>
          <w:sz w:val="22"/>
          <w:szCs w:val="22"/>
        </w:rPr>
        <w:t xml:space="preserve">Push-based routing of insights to right stakeholders at right time. Trigger-based activation for time-sensitive events. David Gerken: "More of a push model where it’s more trigger based... push that to the right kind of whether it’s a seller or a marketer to then activate in some way."</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Translation consistency: </w:t>
      </w:r>
      <w:r>
        <w:rPr>
          <w:rFonts w:ascii="Arial" w:cs="Arial" w:eastAsia="Arial" w:hAnsi="Arial"/>
          <w:color w:val="525252"/>
          <w:sz w:val="22"/>
          <w:szCs w:val="22"/>
        </w:rPr>
        <w:t xml:space="preserve">[NOT DISCUSSED]</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Executive summarization: </w:t>
      </w:r>
      <w:r>
        <w:rPr>
          <w:rFonts w:ascii="Arial" w:cs="Arial" w:eastAsia="Arial" w:hAnsi="Arial"/>
          <w:color w:val="161616"/>
          <w:sz w:val="22"/>
          <w:szCs w:val="22"/>
        </w:rPr>
        <w:t xml:space="preserve">Monthly rolling research position reports (currently manual “very sad, static document” with first-Friday-of-the-month cutoff). Leadership briefings on research position, dot movement, areas requiring attention. Supports reporting chain to senior executives.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Workflow automation: </w:t>
      </w:r>
      <w:r>
        <w:rPr>
          <w:rFonts w:ascii="Arial" w:cs="Arial" w:eastAsia="Arial" w:hAnsi="Arial"/>
          <w:color w:val="161616"/>
          <w:sz w:val="22"/>
          <w:szCs w:val="22"/>
        </w:rPr>
        <w:t xml:space="preserve">Automate the end-to-end publication → extraction → tagging → distribution → tracking pipeline. Replace manual amplification coordination with trigger-driven workflows.</w:t>
      </w:r>
    </w:p>
    <w:p/>
    <w:p>
      <w:pPr>
        <w:spacing w:after="12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The Analyst Relations team currently operates a high-effort, low-reach amplification model where research outcomes are manually compiled into static reports and passively placed in Seismic for teams to find. The $647M in attributed pipeline represents only a fraction of the potential impact. An agentic system that monitors research publications, extracts insights with smart tagging, matches them to relevant stakeholders, and pushes contextualized content through sellers’ and marketers’ natural workflow tools would transform the team from a reactive content publisher to a proactive intelligence distribution engine. The Anthropic/Cobol incident demonstrated that rapid, trigger-based activation creates a virtuous cycle: amplification drives engagement, engagement drives more analyst advocacy, and advocacy drives brand and pipeline impact. Automating this pattern would allow the AR team to capture these high-value moments consistently rather than on an ad-hoc basis.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Pull-based distribution model: </w:t>
      </w:r>
      <w:r>
        <w:rPr>
          <w:rFonts w:ascii="Arial" w:cs="Arial" w:eastAsia="Arial" w:hAnsi="Arial"/>
          <w:color w:val="161616"/>
          <w:sz w:val="22"/>
          <w:szCs w:val="22"/>
        </w:rPr>
        <w:t xml:space="preserve">Current state requires stakeholders to find and activate insights themselves. Elizabeth: "We are trying to find a way to get more of those insights out across the enterprise and I don’t really know how yet to do that beyond some of the tools and plugging into systems where people are naturally and organically going to for information."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Manual tracking with deprecated infrastructure: </w:t>
      </w:r>
      <w:r>
        <w:rPr>
          <w:rFonts w:ascii="Arial" w:cs="Arial" w:eastAsia="Arial" w:hAnsi="Arial"/>
          <w:color w:val="161616"/>
          <w:sz w:val="22"/>
          <w:szCs w:val="22"/>
        </w:rPr>
        <w:t xml:space="preserve">EPM/Tableau dashboard for research tracking “has since gone away.” Team produces manual monthly static document with first-Friday cutoff. Elizabeth: "We get a lot of requests from people of just like, where is that thing? And it’s currently a very sad, static document."</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Timeliness gap: </w:t>
      </w:r>
      <w:r>
        <w:rPr>
          <w:rFonts w:ascii="Arial" w:cs="Arial" w:eastAsia="Arial" w:hAnsi="Arial"/>
          <w:color w:val="161616"/>
          <w:sz w:val="22"/>
          <w:szCs w:val="22"/>
        </w:rPr>
        <w:t xml:space="preserve">Monthly reporting cadence misses real-time opportunities. Elizabeth: "Maybe something publishes the day after we kind of have a cutoff." Time-sensitive events (analyst social media posts, competitive news) require same-day activation but are handled ad-hoc.</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Attribution difficulty: </w:t>
      </w:r>
      <w:r>
        <w:rPr>
          <w:rFonts w:ascii="Arial" w:cs="Arial" w:eastAsia="Arial" w:hAnsi="Arial"/>
          <w:color w:val="161616"/>
          <w:sz w:val="22"/>
          <w:szCs w:val="22"/>
        </w:rPr>
        <w:t xml:space="preserve">Elizabeth: "That is the golden question of analyst relations. It’s almost like how do you know what revenue drove that billboard you drove by on the road?" Current attribution ($647M) relies on correctly coded systems and marketing partnership; actual impact is believed to be 20–100× higher.</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Cross-enterprise visibility gap: </w:t>
      </w:r>
      <w:r>
        <w:rPr>
          <w:rFonts w:ascii="Arial" w:cs="Arial" w:eastAsia="Arial" w:hAnsi="Arial"/>
          <w:color w:val="161616"/>
          <w:sz w:val="22"/>
          <w:szCs w:val="22"/>
        </w:rPr>
        <w:t xml:space="preserve">Elizabeth envisioned sales reps having analyst quotes at fingertips in client meetings; current state requires manual Seismic search. No automated matching of analyst insights to seller context (account, industry, competitive situation).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Compliance review bottleneck: </w:t>
      </w:r>
      <w:r>
        <w:rPr>
          <w:rFonts w:ascii="Arial" w:cs="Arial" w:eastAsia="Arial" w:hAnsi="Arial"/>
          <w:color w:val="161616"/>
          <w:sz w:val="22"/>
          <w:szCs w:val="22"/>
        </w:rPr>
        <w:t xml:space="preserve">Some research outcomes require approval before external use (press releases, earnings calls). Elizabeth: "There’s an approval process... we don’t always catch that." Manual compliance checking creates friction in time-sensitive amplification.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Off-season continuity gap: </w:t>
      </w:r>
      <w:r>
        <w:rPr>
          <w:rFonts w:ascii="Arial" w:cs="Arial" w:eastAsia="Arial" w:hAnsi="Arial"/>
          <w:color w:val="161616"/>
          <w:sz w:val="22"/>
          <w:szCs w:val="22"/>
        </w:rPr>
        <w:t xml:space="preserve">Elizabeth described the "off-season / on-season" dynamic: between RFI cycles, teams should be working to address gaps identified in prior evaluations. But insights from completed reports are not systematically fed back to product teams. "We don’t ever want the sun to set on what we’re working on."</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Disconnection between research outcomes and product roadmap: </w:t>
      </w:r>
      <w:r>
        <w:rPr>
          <w:rFonts w:ascii="Arial" w:cs="Arial" w:eastAsia="Arial" w:hAnsi="Arial"/>
          <w:color w:val="161616"/>
          <w:sz w:val="22"/>
          <w:szCs w:val="22"/>
        </w:rPr>
        <w:t xml:space="preserve">Elizabeth: "We want to say, yay, we got leader and we told 10 million people about it." But beyond amplification, outcomes need to feed back to product teams to address gaps before next evaluation cycle. This feedback loop is currently informal.</w:t>
      </w:r>
    </w:p>
    <w:p>
      <w:pPr>
        <w:pStyle w:val="ListParagraph"/>
        <w:numPr>
          <w:ilvl w:val="0"/>
          <w:numId w:val="4"/>
        </w:numPr>
        <w:spacing w:after="80"/>
      </w:pPr>
      <w:r>
        <w:rPr>
          <w:rFonts w:ascii="Arial" w:cs="Arial" w:eastAsia="Arial" w:hAnsi="Arial"/>
          <w:color w:val="161616"/>
          <w:sz w:val="22"/>
          <w:szCs w:val="22"/>
        </w:rPr>
        <w:t xml:space="preserve">☑ </w:t>
      </w:r>
      <w:r>
        <w:rPr>
          <w:rFonts w:ascii="Arial" w:cs="Arial" w:eastAsia="Arial" w:hAnsi="Arial"/>
          <w:b/>
          <w:bCs/>
          <w:color w:val="161616"/>
          <w:sz w:val="22"/>
          <w:szCs w:val="22"/>
        </w:rPr>
        <w:t xml:space="preserve">Evolving end-user consumption patterns: </w:t>
      </w:r>
      <w:r>
        <w:rPr>
          <w:rFonts w:ascii="Arial" w:cs="Arial" w:eastAsia="Arial" w:hAnsi="Arial"/>
          <w:color w:val="161616"/>
          <w:sz w:val="22"/>
          <w:szCs w:val="22"/>
        </w:rPr>
        <w:t xml:space="preserve">Elizabeth noted: "End user behavior is changing. They used to go into Google... now you’ve got a lot of AI tools." Analyst firms are also providing guidance on new amplification methods. Current distribution channels may not match how buyers actually discover analyst research.</w:t>
      </w:r>
    </w:p>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gap between the AR team’s investment in securing analyst outcomes and the enterprise’s ability to activate those outcomes at scale. Elizabeth: "We don’t just want to be like, yay, we got leader. We want to say, yay, we got leader and we told 10 million people about it." The Anthropic/Cobol incident is the clearest illustration: a rare, high-value moment of analyst advocacy was captured through manual effort and personal relationships, but the team has no systematic way to detect, package, and distribute such moments. Every missed trigger represents lost pipeline impact against a $647M+ baseline that Elizabeth believes should be 20–100× higher.</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VERY HIGH. </w:t>
            </w:r>
            <w:r>
              <w:rPr>
                <w:rFonts w:ascii="Arial" w:cs="Arial" w:eastAsia="Arial" w:hAnsi="Arial"/>
                <w:color w:val="161616"/>
                <w:sz w:val="22"/>
                <w:szCs w:val="22"/>
              </w:rPr>
              <w:t xml:space="preserve">$647M tracked pipeline is the floor, not the ceiling. Elizabeth: "That number should be 20 times, OK, if not 100 times." Single deals involving analyst advocacy can dwarf the tracked figure. As AI search tools (Perplexity, ChatGPT) increasingly cite analyst research, the amplification surface area is expanding exponentially. David Gerken: "As our buyers increasingly rely on AI to do the research for them, they’re going to be looking at authoritative independent sources." Gisele confirmed that leader positioning determines whether clients will even take a meeting.</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MEDIUM. </w:t>
            </w:r>
            <w:r>
              <w:rPr>
                <w:rFonts w:ascii="Arial" w:cs="Arial" w:eastAsia="Arial" w:hAnsi="Arial"/>
                <w:color w:val="161616"/>
                <w:sz w:val="22"/>
                <w:szCs w:val="22"/>
              </w:rPr>
              <w:t xml:space="preserve">Requires integration with multiple distribution channels (Seismic, marketing automation, social media monitoring). Content governance framework for external-use citations needed. Trigger-based monitoring infrastructure for analyst publications and social media. Depends on Workflow 1’s knowledge repository providing the content foundation. Smart tagging and stakeholder matching algorithms need development. Less technically complex than Workflow 1 but has broader integration surface area.</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AR team members responsible for amplification coordination; Gisele (quantitative tracking); marketing partners who execute campaigns.</w:t>
            </w:r>
            <w:r>
              <w:rPr>
                <w:rFonts w:ascii="Arial" w:cs="Arial" w:eastAsia="Arial" w:hAnsi="Arial"/>
                <w:b/>
                <w:bCs/>
                <w:color w:val="DA1E28"/>
                <w:sz w:val="22"/>
                <w:szCs w:val="22"/>
              </w:rPr>
              <w:t xml:space="preserve">[GAP]  How many FTEs currently dedicated to post-publication amplification vs. RFI response?</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Sales teams enterprise-wide (consumers of analyst insights in client engagements). Marketing teams across portfolios (campaign execution). Executive stakeholders (consumers of research position reports). Rebecca Green’s team (client reference/peer review evidence).</w:t>
            </w:r>
          </w:p>
        </w:tc>
      </w:tr>
    </w:tbl>
    <w:p/>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amplification challenge compounds with the RFI scaling challenge. As the team responds to more RFIs and secures more analyst outcomes, the value of each outcome is only realized through effective enterprise activation. Currently, the AR team invested significant effort to achieve leader positions but struggles to maximize the return on that investment. Elizabeth: "We don’t just want to be like, yay, we got leader. We want to say, yay, we got leader and we told 10 million people about it." The deprecation of the EPM/Tableau tracking dashboard has created an immediate operational gap, and the shift in buyer behavior toward AI-powered research (Perplexity, ChatGPT citing analyst reports) means the amplification playbook itself is evolving. IBM invented analyst relations; the team is determined to lead the profession into the AI era, but needs systematic tooling to match that ambition.</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80"/>
      </w:pPr>
      <w:r>
        <w:rPr>
          <w:rFonts w:ascii="Arial" w:cs="Arial" w:eastAsia="Arial" w:hAnsi="Arial"/>
          <w:b/>
          <w:bCs/>
          <w:color w:val="161616"/>
          <w:sz w:val="22"/>
          <w:szCs w:val="22"/>
        </w:rPr>
        <w:t xml:space="preserve">Broad MCC Content Activation: </w:t>
      </w:r>
      <w:r>
        <w:rPr>
          <w:rFonts w:ascii="Arial" w:cs="Arial" w:eastAsia="Arial" w:hAnsi="Arial"/>
          <w:color w:val="161616"/>
          <w:sz w:val="22"/>
          <w:szCs w:val="22"/>
        </w:rPr>
        <w:t xml:space="preserve">David Gerken explicitly positioned this as part of a broader initiative: “There’s maybe one around the back end activation... and that could be part of a broader initiative where there’s anything new that we know we should be engaging clients with. Analyst report is certainly one of those, but there are others—a newly published thought leadership piece, something from IBV.”</w:t>
      </w:r>
    </w:p>
    <w:p>
      <w:pPr>
        <w:pStyle w:val="ListParagraph"/>
        <w:numPr>
          <w:ilvl w:val="0"/>
          <w:numId w:val="2"/>
        </w:numPr>
        <w:spacing w:after="80"/>
      </w:pPr>
      <w:r>
        <w:rPr>
          <w:rFonts w:ascii="Arial" w:cs="Arial" w:eastAsia="Arial" w:hAnsi="Arial"/>
          <w:b/>
          <w:bCs/>
          <w:color w:val="161616"/>
          <w:sz w:val="22"/>
          <w:szCs w:val="22"/>
        </w:rPr>
        <w:t xml:space="preserve">Push-Based Intelligence Distribution: </w:t>
      </w:r>
      <w:r>
        <w:rPr>
          <w:rFonts w:ascii="Arial" w:cs="Arial" w:eastAsia="Arial" w:hAnsi="Arial"/>
          <w:color w:val="161616"/>
          <w:sz w:val="22"/>
          <w:szCs w:val="22"/>
        </w:rPr>
        <w:t xml:space="preserve">The trigger-based model for matching content to stakeholders and pushing through natural workflow tools is applicable to any MCC domain producing time-sensitive, stakeholder-specific content (media monitoring, competitive intelligence, campaign performance).</w:t>
      </w:r>
    </w:p>
    <w:p>
      <w:pPr>
        <w:pStyle w:val="ListParagraph"/>
        <w:numPr>
          <w:ilvl w:val="0"/>
          <w:numId w:val="2"/>
        </w:numPr>
        <w:spacing w:after="80"/>
      </w:pPr>
      <w:r>
        <w:rPr>
          <w:rFonts w:ascii="Arial" w:cs="Arial" w:eastAsia="Arial" w:hAnsi="Arial"/>
          <w:b/>
          <w:bCs/>
          <w:color w:val="161616"/>
          <w:sz w:val="22"/>
          <w:szCs w:val="22"/>
        </w:rPr>
        <w:t xml:space="preserve">Performance Attribution Framework: </w:t>
      </w:r>
      <w:r>
        <w:rPr>
          <w:rFonts w:ascii="Arial" w:cs="Arial" w:eastAsia="Arial" w:hAnsi="Arial"/>
          <w:color w:val="161616"/>
          <w:sz w:val="22"/>
          <w:szCs w:val="22"/>
        </w:rPr>
        <w:t xml:space="preserve">The channel/format/timing optimization engine for measuring content activation effectiveness is reusable across any MCC domain struggling with content ROI measurement.</w:t>
      </w:r>
    </w:p>
    <w:p>
      <w:pPr>
        <w:pStyle w:val="ListParagraph"/>
        <w:numPr>
          <w:ilvl w:val="0"/>
          <w:numId w:val="2"/>
        </w:numPr>
        <w:spacing w:after="80"/>
      </w:pPr>
      <w:r>
        <w:rPr>
          <w:rFonts w:ascii="Arial" w:cs="Arial" w:eastAsia="Arial" w:hAnsi="Arial"/>
          <w:b/>
          <w:bCs/>
          <w:color w:val="161616"/>
          <w:sz w:val="22"/>
          <w:szCs w:val="22"/>
        </w:rPr>
        <w:t xml:space="preserve">Real-Time Competitive Response: </w:t>
      </w:r>
      <w:r>
        <w:rPr>
          <w:rFonts w:ascii="Arial" w:cs="Arial" w:eastAsia="Arial" w:hAnsi="Arial"/>
          <w:color w:val="161616"/>
          <w:sz w:val="22"/>
          <w:szCs w:val="22"/>
        </w:rPr>
        <w:t xml:space="preserve">The trigger detection → rapid packaging → enterprise distribution pattern demonstrated in the Anthropic/Cobol example is applicable to any MCC competitive intelligence workflow.</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80"/>
      </w:pPr>
      <w:r>
        <w:rPr>
          <w:rFonts w:ascii="Arial" w:cs="Arial" w:eastAsia="Arial" w:hAnsi="Arial"/>
          <w:color w:val="161616"/>
          <w:sz w:val="22"/>
          <w:szCs w:val="22"/>
        </w:rPr>
        <w:t xml:space="preserve">Marketing Teams: Integration with campaign execution workflows and paid media amplification channels for analyst research distribution.</w:t>
      </w:r>
    </w:p>
    <w:p>
      <w:pPr>
        <w:pStyle w:val="ListParagraph"/>
        <w:numPr>
          <w:ilvl w:val="0"/>
          <w:numId w:val="2"/>
        </w:numPr>
        <w:spacing w:after="80"/>
      </w:pPr>
      <w:r>
        <w:rPr>
          <w:rFonts w:ascii="Arial" w:cs="Arial" w:eastAsia="Arial" w:hAnsi="Arial"/>
          <w:color w:val="161616"/>
          <w:sz w:val="22"/>
          <w:szCs w:val="22"/>
        </w:rPr>
        <w:t xml:space="preserve">Sales Enablement: Seismic integration for push-based analyst insight delivery at point of client engagement; requirements gathering for seller consumption experience.</w:t>
      </w:r>
    </w:p>
    <w:p>
      <w:pPr>
        <w:pStyle w:val="ListParagraph"/>
        <w:numPr>
          <w:ilvl w:val="0"/>
          <w:numId w:val="2"/>
        </w:numPr>
        <w:spacing w:after="80"/>
      </w:pPr>
      <w:r>
        <w:rPr>
          <w:rFonts w:ascii="Arial" w:cs="Arial" w:eastAsia="Arial" w:hAnsi="Arial"/>
          <w:color w:val="161616"/>
          <w:sz w:val="22"/>
          <w:szCs w:val="22"/>
        </w:rPr>
        <w:t xml:space="preserve">Rebecca Green’s Team (Jen Connect): GPI/client reference system integration; connecting analyst outcomes to peer review evidence for maximum impact.</w:t>
      </w:r>
    </w:p>
    <w:p>
      <w:pPr>
        <w:pStyle w:val="ListParagraph"/>
        <w:numPr>
          <w:ilvl w:val="0"/>
          <w:numId w:val="2"/>
        </w:numPr>
        <w:spacing w:after="80"/>
      </w:pPr>
      <w:r>
        <w:rPr>
          <w:rFonts w:ascii="Arial" w:cs="Arial" w:eastAsia="Arial" w:hAnsi="Arial"/>
          <w:color w:val="161616"/>
          <w:sz w:val="22"/>
          <w:szCs w:val="22"/>
        </w:rPr>
        <w:t xml:space="preserve">Communications Teams: Coordination on press release citations, earnings call references, and compliance approval processes for external use of analyst content.</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80"/>
      </w:pPr>
      <w:r>
        <w:rPr>
          <w:rFonts w:ascii="Arial" w:cs="Arial" w:eastAsia="Arial" w:hAnsi="Arial"/>
          <w:b/>
          <w:bCs/>
          <w:color w:val="161616"/>
          <w:sz w:val="22"/>
          <w:szCs w:val="22"/>
        </w:rPr>
        <w:t xml:space="preserve">Analyst Publication Monitoring: </w:t>
      </w:r>
      <w:r>
        <w:rPr>
          <w:rFonts w:ascii="Arial" w:cs="Arial" w:eastAsia="Arial" w:hAnsi="Arial"/>
          <w:color w:val="161616"/>
          <w:sz w:val="22"/>
          <w:szCs w:val="22"/>
        </w:rPr>
        <w:t xml:space="preserve">Trigger-based monitoring for new reports, analyst social media activity, and competitive events across Gartner, IDC, Forrester, and Tier 2/3 firms.</w:t>
      </w:r>
    </w:p>
    <w:p>
      <w:pPr>
        <w:pStyle w:val="ListParagraph"/>
        <w:numPr>
          <w:ilvl w:val="0"/>
          <w:numId w:val="2"/>
        </w:numPr>
        <w:spacing w:after="80"/>
      </w:pPr>
      <w:r>
        <w:rPr>
          <w:rFonts w:ascii="Arial" w:cs="Arial" w:eastAsia="Arial" w:hAnsi="Arial"/>
          <w:b/>
          <w:bCs/>
          <w:color w:val="161616"/>
          <w:sz w:val="22"/>
          <w:szCs w:val="22"/>
        </w:rPr>
        <w:t xml:space="preserve">Smart Tagging Engine: </w:t>
      </w:r>
      <w:r>
        <w:rPr>
          <w:rFonts w:ascii="Arial" w:cs="Arial" w:eastAsia="Arial" w:hAnsi="Arial"/>
          <w:color w:val="161616"/>
          <w:sz w:val="22"/>
          <w:szCs w:val="22"/>
        </w:rPr>
        <w:t xml:space="preserve">Automated extraction and tagging of insights by portfolio, industry vertical, persona, competitive context, and compliance status (external-approved vs. internal-only vs. NDA-restricted).</w:t>
      </w:r>
    </w:p>
    <w:p>
      <w:pPr>
        <w:pStyle w:val="ListParagraph"/>
        <w:numPr>
          <w:ilvl w:val="0"/>
          <w:numId w:val="2"/>
        </w:numPr>
        <w:spacing w:after="80"/>
      </w:pPr>
      <w:r>
        <w:rPr>
          <w:rFonts w:ascii="Arial" w:cs="Arial" w:eastAsia="Arial" w:hAnsi="Arial"/>
          <w:b/>
          <w:bCs/>
          <w:color w:val="161616"/>
          <w:sz w:val="22"/>
          <w:szCs w:val="22"/>
        </w:rPr>
        <w:t xml:space="preserve">Stakeholder Matching &amp; Push Distribution: </w:t>
      </w:r>
      <w:r>
        <w:rPr>
          <w:rFonts w:ascii="Arial" w:cs="Arial" w:eastAsia="Arial" w:hAnsi="Arial"/>
          <w:color w:val="161616"/>
          <w:sz w:val="22"/>
          <w:szCs w:val="22"/>
        </w:rPr>
        <w:t xml:space="preserve">Algorithm matching insights to relevant stakeholders (sellers by account/industry, marketers by portfolio) with push delivery through their natural tools (Seismic, email, collaboration platforms).</w:t>
      </w:r>
    </w:p>
    <w:p>
      <w:pPr>
        <w:pStyle w:val="ListParagraph"/>
        <w:numPr>
          <w:ilvl w:val="0"/>
          <w:numId w:val="2"/>
        </w:numPr>
        <w:spacing w:after="80"/>
      </w:pPr>
      <w:r>
        <w:rPr>
          <w:rFonts w:ascii="Arial" w:cs="Arial" w:eastAsia="Arial" w:hAnsi="Arial"/>
          <w:b/>
          <w:bCs/>
          <w:color w:val="161616"/>
          <w:sz w:val="22"/>
          <w:szCs w:val="22"/>
        </w:rPr>
        <w:t xml:space="preserve">Research Tracking Dashboard (EPM Replacement): </w:t>
      </w:r>
      <w:r>
        <w:rPr>
          <w:rFonts w:ascii="Arial" w:cs="Arial" w:eastAsia="Arial" w:hAnsi="Arial"/>
          <w:color w:val="161616"/>
          <w:sz w:val="22"/>
          <w:szCs w:val="22"/>
        </w:rPr>
        <w:t xml:space="preserve">Continuous intelligence on dot placement, ranking movement, capability scores, year-over-year trends, and attribution to pipeline. Replaces deprecated EPM/Tableau system.</w:t>
      </w:r>
    </w:p>
    <w:p>
      <w:pPr>
        <w:pStyle w:val="ListParagraph"/>
        <w:numPr>
          <w:ilvl w:val="0"/>
          <w:numId w:val="2"/>
        </w:numPr>
        <w:spacing w:after="80"/>
      </w:pPr>
      <w:r>
        <w:rPr>
          <w:rFonts w:ascii="Arial" w:cs="Arial" w:eastAsia="Arial" w:hAnsi="Arial"/>
          <w:b/>
          <w:bCs/>
          <w:color w:val="161616"/>
          <w:sz w:val="22"/>
          <w:szCs w:val="22"/>
        </w:rPr>
        <w:t xml:space="preserve">Amplification Performance Analytics: </w:t>
      </w:r>
      <w:r>
        <w:rPr>
          <w:rFonts w:ascii="Arial" w:cs="Arial" w:eastAsia="Arial" w:hAnsi="Arial"/>
          <w:color w:val="161616"/>
          <w:sz w:val="22"/>
          <w:szCs w:val="22"/>
        </w:rPr>
        <w:t xml:space="preserve">Channel/format/timing optimization; attribution from insight distribution to engagement, pipeline, and revenue impact.</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80"/>
      </w:pPr>
      <w:r>
        <w:rPr>
          <w:rFonts w:ascii="Arial" w:cs="Arial" w:eastAsia="Arial" w:hAnsi="Arial"/>
          <w:b/>
          <w:bCs/>
          <w:color w:val="DA1E28"/>
          <w:sz w:val="22"/>
          <w:szCs w:val="22"/>
        </w:rPr>
        <w:t xml:space="preserve">[GAP] Complete inventory of current amplification channels and their measured effectiveness. What channels drive the highest pipeline attribution?</w:t>
      </w:r>
    </w:p>
    <w:p>
      <w:pPr>
        <w:pStyle w:val="ListParagraph"/>
        <w:numPr>
          <w:ilvl w:val="0"/>
          <w:numId w:val="2"/>
        </w:numPr>
        <w:spacing w:after="80"/>
      </w:pPr>
      <w:r>
        <w:rPr>
          <w:rFonts w:ascii="Arial" w:cs="Arial" w:eastAsia="Arial" w:hAnsi="Arial"/>
          <w:b/>
          <w:bCs/>
          <w:color w:val="DA1E28"/>
          <w:sz w:val="22"/>
          <w:szCs w:val="22"/>
        </w:rPr>
        <w:t xml:space="preserve">[GAP] Sales team requirements for analyst insight consumption at point of client engagement. What does the ideal seller experience look like?</w:t>
      </w:r>
    </w:p>
    <w:p>
      <w:pPr>
        <w:pStyle w:val="ListParagraph"/>
        <w:numPr>
          <w:ilvl w:val="0"/>
          <w:numId w:val="2"/>
        </w:numPr>
        <w:spacing w:after="80"/>
      </w:pPr>
      <w:r>
        <w:rPr>
          <w:rFonts w:ascii="Arial" w:cs="Arial" w:eastAsia="Arial" w:hAnsi="Arial"/>
          <w:b/>
          <w:bCs/>
          <w:color w:val="DA1E28"/>
          <w:sz w:val="22"/>
          <w:szCs w:val="22"/>
        </w:rPr>
        <w:t xml:space="preserve">[GAP] Seismic push notification capabilities. Can it support real-time content alerts to users based on role/account/industry context?</w:t>
      </w:r>
    </w:p>
    <w:p>
      <w:pPr>
        <w:pStyle w:val="ListParagraph"/>
        <w:numPr>
          <w:ilvl w:val="0"/>
          <w:numId w:val="2"/>
        </w:numPr>
        <w:spacing w:after="80"/>
      </w:pPr>
      <w:r>
        <w:rPr>
          <w:rFonts w:ascii="Arial" w:cs="Arial" w:eastAsia="Arial" w:hAnsi="Arial"/>
          <w:b/>
          <w:bCs/>
          <w:color w:val="DA1E28"/>
          <w:sz w:val="22"/>
          <w:szCs w:val="22"/>
        </w:rPr>
        <w:t xml:space="preserve">[GAP] Compliance review process for external use of analyst quotes and citations. What is the current turnaround time? What are the bottlenecks?</w:t>
      </w:r>
    </w:p>
    <w:p>
      <w:pPr>
        <w:pStyle w:val="ListParagraph"/>
        <w:numPr>
          <w:ilvl w:val="0"/>
          <w:numId w:val="2"/>
        </w:numPr>
        <w:spacing w:after="80"/>
      </w:pPr>
      <w:r>
        <w:rPr>
          <w:rFonts w:ascii="Arial" w:cs="Arial" w:eastAsia="Arial" w:hAnsi="Arial"/>
          <w:b/>
          <w:bCs/>
          <w:color w:val="DA1E28"/>
          <w:sz w:val="22"/>
          <w:szCs w:val="22"/>
        </w:rPr>
        <w:t xml:space="preserve">[GAP] How are analyst firms (especially Gartner) providing guidance on new amplification methods in the AI era? What constraints do they impose?</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80"/>
      </w:pPr>
      <w:r>
        <w:rPr>
          <w:rFonts w:ascii="Arial" w:cs="Arial" w:eastAsia="Arial" w:hAnsi="Arial"/>
          <w:b/>
          <w:bCs/>
          <w:color w:val="161616"/>
          <w:sz w:val="22"/>
          <w:szCs w:val="22"/>
        </w:rPr>
        <w:t xml:space="preserve">Depends on Workflow 1 Knowledge Repository: </w:t>
      </w:r>
      <w:r>
        <w:rPr>
          <w:rFonts w:ascii="Arial" w:cs="Arial" w:eastAsia="Arial" w:hAnsi="Arial"/>
          <w:color w:val="161616"/>
          <w:sz w:val="22"/>
          <w:szCs w:val="22"/>
        </w:rPr>
        <w:t xml:space="preserve">The content foundation built for RFI response (governed, tagged, versioned content) is the source from which amplification assets are generated. David Gerken explicitly linked these: “I would actually include the third one [outcome tracking] as part of [the RFI workflow] because ultimately you want to correlate those responses to the outcomes.”</w:t>
      </w:r>
    </w:p>
    <w:p>
      <w:pPr>
        <w:pStyle w:val="ListParagraph"/>
        <w:numPr>
          <w:ilvl w:val="0"/>
          <w:numId w:val="2"/>
        </w:numPr>
        <w:spacing w:after="80"/>
      </w:pPr>
      <w:r>
        <w:rPr>
          <w:rFonts w:ascii="Arial" w:cs="Arial" w:eastAsia="Arial" w:hAnsi="Arial"/>
          <w:b/>
          <w:bCs/>
          <w:color w:val="161616"/>
          <w:sz w:val="22"/>
          <w:szCs w:val="22"/>
        </w:rPr>
        <w:t xml:space="preserve">Analyst Firm Contractual Obligations: </w:t>
      </w:r>
      <w:r>
        <w:rPr>
          <w:rFonts w:ascii="Arial" w:cs="Arial" w:eastAsia="Arial" w:hAnsi="Arial"/>
          <w:color w:val="161616"/>
          <w:sz w:val="22"/>
          <w:szCs w:val="22"/>
        </w:rPr>
        <w:t xml:space="preserve">John Spooner: “We have contractual obligations with Gartner too. They don’t want their RFIs out there either.” Citation usage, quote attribution, and external distribution all have contractual boundaries that must be mapped and enforced.</w:t>
      </w:r>
    </w:p>
    <w:p>
      <w:pPr>
        <w:pStyle w:val="ListParagraph"/>
        <w:numPr>
          <w:ilvl w:val="0"/>
          <w:numId w:val="2"/>
        </w:numPr>
        <w:spacing w:after="80"/>
      </w:pPr>
      <w:r>
        <w:rPr>
          <w:rFonts w:ascii="Arial" w:cs="Arial" w:eastAsia="Arial" w:hAnsi="Arial"/>
          <w:b/>
          <w:bCs/>
          <w:color w:val="161616"/>
          <w:sz w:val="22"/>
          <w:szCs w:val="22"/>
        </w:rPr>
        <w:t xml:space="preserve">Seismic Integration &amp; Configuration: </w:t>
      </w:r>
      <w:r>
        <w:rPr>
          <w:rFonts w:ascii="Arial" w:cs="Arial" w:eastAsia="Arial" w:hAnsi="Arial"/>
          <w:color w:val="161616"/>
          <w:sz w:val="22"/>
          <w:szCs w:val="22"/>
        </w:rPr>
        <w:t xml:space="preserve">Primary distribution channel for sales teams. Push notification and smart content delivery capabilities need validation.</w:t>
      </w:r>
    </w:p>
    <w:p>
      <w:pPr>
        <w:pStyle w:val="ListParagraph"/>
        <w:numPr>
          <w:ilvl w:val="0"/>
          <w:numId w:val="2"/>
        </w:numPr>
        <w:spacing w:after="80"/>
      </w:pPr>
      <w:r>
        <w:rPr>
          <w:rFonts w:ascii="Arial" w:cs="Arial" w:eastAsia="Arial" w:hAnsi="Arial"/>
          <w:b/>
          <w:bCs/>
          <w:color w:val="161616"/>
          <w:sz w:val="22"/>
          <w:szCs w:val="22"/>
        </w:rPr>
        <w:t xml:space="preserve">Cross-BU Coordination: </w:t>
      </w:r>
      <w:r>
        <w:rPr>
          <w:rFonts w:ascii="Arial" w:cs="Arial" w:eastAsia="Arial" w:hAnsi="Arial"/>
          <w:color w:val="161616"/>
          <w:sz w:val="22"/>
          <w:szCs w:val="22"/>
        </w:rPr>
        <w:t xml:space="preserve">Amplification strategy must be consistent across Software, Consulting, and Infrastructure. Different BUs may have different priorities for which reports to amplify and how.</w:t>
      </w:r>
    </w:p>
    <w:p>
      <w:pPr>
        <w:pStyle w:val="ListParagraph"/>
        <w:numPr>
          <w:ilvl w:val="0"/>
          <w:numId w:val="2"/>
        </w:numPr>
        <w:spacing w:after="80"/>
      </w:pPr>
      <w:r>
        <w:rPr>
          <w:rFonts w:ascii="Arial" w:cs="Arial" w:eastAsia="Arial" w:hAnsi="Arial"/>
          <w:b/>
          <w:bCs/>
          <w:color w:val="161616"/>
          <w:sz w:val="22"/>
          <w:szCs w:val="22"/>
        </w:rPr>
        <w:t xml:space="preserve">Evolving End-User Behavior: </w:t>
      </w:r>
      <w:r>
        <w:rPr>
          <w:rFonts w:ascii="Arial" w:cs="Arial" w:eastAsia="Arial" w:hAnsi="Arial"/>
          <w:color w:val="161616"/>
          <w:sz w:val="22"/>
          <w:szCs w:val="22"/>
        </w:rPr>
        <w:t xml:space="preserve">Elizabeth: “End user behavior is changing... people are looking for information in different ways.” The amplification playbook must be adaptable as AI search tools change how buyers discover and consume analyst research.</w:t>
      </w:r>
    </w:p>
    <w:p>
      <w:pPr>
        <w:pStyle w:val="ListParagraph"/>
        <w:numPr>
          <w:ilvl w:val="0"/>
          <w:numId w:val="2"/>
        </w:numPr>
        <w:spacing w:after="80"/>
      </w:pPr>
      <w:r>
        <w:rPr>
          <w:rFonts w:ascii="Arial" w:cs="Arial" w:eastAsia="Arial" w:hAnsi="Arial"/>
          <w:b/>
          <w:bCs/>
          <w:color w:val="161616"/>
          <w:sz w:val="22"/>
          <w:szCs w:val="22"/>
        </w:rPr>
        <w:t xml:space="preserve">Rebecca Green’s GPI System: </w:t>
      </w:r>
      <w:r>
        <w:rPr>
          <w:rFonts w:ascii="Arial" w:cs="Arial" w:eastAsia="Arial" w:hAnsi="Arial"/>
          <w:color w:val="161616"/>
          <w:sz w:val="22"/>
          <w:szCs w:val="22"/>
        </w:rPr>
        <w:t xml:space="preserve">Client reference and peer review evidence is critical to how analysts score IBM beyond the RFI. Amplification effectiveness depends on strong client evidence. Elizabeth flagged this as an external dependency: “Any process there that accelerates or elevates more of those client stories has a key piece of how we show up in these reports.”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80"/>
      </w:pPr>
      <w:r>
        <w:rPr>
          <w:rFonts w:ascii="Arial" w:cs="Arial" w:eastAsia="Arial" w:hAnsi="Arial"/>
          <w:color w:val="161616"/>
          <w:sz w:val="22"/>
          <w:szCs w:val="22"/>
        </w:rPr>
        <w:t xml:space="preserve">Elizabeth: “I’m wondering if the ultimate bigger goal is that all these systems feed into that front interface, which is Ask MCC.” — Amplification tooling’s relationship to the broader MCC AI portal is undefined.</w:t>
      </w:r>
    </w:p>
    <w:p>
      <w:pPr>
        <w:pStyle w:val="ListParagraph"/>
        <w:numPr>
          <w:ilvl w:val="0"/>
          <w:numId w:val="2"/>
        </w:numPr>
        <w:spacing w:after="80"/>
      </w:pPr>
      <w:r>
        <w:rPr>
          <w:rFonts w:ascii="Arial" w:cs="Arial" w:eastAsia="Arial" w:hAnsi="Arial"/>
          <w:color w:val="161616"/>
          <w:sz w:val="22"/>
          <w:szCs w:val="22"/>
        </w:rPr>
        <w:t xml:space="preserve">Elizabeth raised the question of how analyst insights can be pushed into sellers’ natural workflows: “I would love for sales to be able to type in… a Gartner stat or an IDC quote that helps me ensure that I can communicate right here in the meeting.”</w:t>
      </w:r>
    </w:p>
    <w:p>
      <w:pPr>
        <w:pStyle w:val="ListParagraph"/>
        <w:numPr>
          <w:ilvl w:val="0"/>
          <w:numId w:val="2"/>
        </w:numPr>
        <w:spacing w:after="80"/>
      </w:pPr>
      <w:r>
        <w:rPr>
          <w:rFonts w:ascii="Arial" w:cs="Arial" w:eastAsia="Arial" w:hAnsi="Arial"/>
          <w:color w:val="161616"/>
          <w:sz w:val="22"/>
          <w:szCs w:val="22"/>
        </w:rPr>
        <w:t xml:space="preserve">John Spooner: “The report outcome tracking and narrative adjustment I think is important as well” — connecting outcomes to future strategy is a core requirement.</w:t>
      </w:r>
    </w:p>
    <w:p>
      <w:pPr>
        <w:pStyle w:val="ListParagraph"/>
        <w:numPr>
          <w:ilvl w:val="0"/>
          <w:numId w:val="2"/>
        </w:numPr>
        <w:spacing w:after="80"/>
      </w:pPr>
      <w:r>
        <w:rPr>
          <w:rFonts w:ascii="Arial" w:cs="Arial" w:eastAsia="Arial" w:hAnsi="Arial"/>
          <w:color w:val="161616"/>
          <w:sz w:val="22"/>
          <w:szCs w:val="22"/>
        </w:rPr>
        <w:t xml:space="preserve">Elizabeth described analyst firms providing new guidance on amplification methods: “We’re trying to even understand from some of the firms, right, are AI tools summarizing things in ways that are not approved by you?”</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80"/>
      </w:pPr>
      <w:r>
        <w:rPr>
          <w:rFonts w:ascii="Arial" w:cs="Arial" w:eastAsia="Arial" w:hAnsi="Arial"/>
          <w:b/>
          <w:bCs/>
          <w:color w:val="DA1E28"/>
          <w:sz w:val="22"/>
          <w:szCs w:val="22"/>
        </w:rPr>
        <w:t xml:space="preserve">[GAP] What is the current Seismic configuration for analyst content, and can it support role-contextualized push notifications?</w:t>
      </w:r>
    </w:p>
    <w:p>
      <w:pPr>
        <w:pStyle w:val="ListParagraph"/>
        <w:numPr>
          <w:ilvl w:val="0"/>
          <w:numId w:val="2"/>
        </w:numPr>
        <w:spacing w:after="80"/>
      </w:pPr>
      <w:r>
        <w:rPr>
          <w:rFonts w:ascii="Arial" w:cs="Arial" w:eastAsia="Arial" w:hAnsi="Arial"/>
          <w:b/>
          <w:bCs/>
          <w:color w:val="DA1E28"/>
          <w:sz w:val="22"/>
          <w:szCs w:val="22"/>
        </w:rPr>
        <w:t xml:space="preserve">[GAP] How are analyst quotes currently approved for external use (press releases, earnings calls)? What is the approval cycle time?</w:t>
      </w:r>
    </w:p>
    <w:p>
      <w:pPr>
        <w:pStyle w:val="ListParagraph"/>
        <w:numPr>
          <w:ilvl w:val="0"/>
          <w:numId w:val="2"/>
        </w:numPr>
        <w:spacing w:after="80"/>
      </w:pPr>
      <w:r>
        <w:rPr>
          <w:rFonts w:ascii="Arial" w:cs="Arial" w:eastAsia="Arial" w:hAnsi="Arial"/>
          <w:b/>
          <w:bCs/>
          <w:color w:val="DA1E28"/>
          <w:sz w:val="22"/>
          <w:szCs w:val="22"/>
        </w:rPr>
        <w:t xml:space="preserve">[GAP] What trigger latency is acceptable for real-time activation? Must the system respond within hours (social media events) or is next-business-day sufficient?</w:t>
      </w:r>
    </w:p>
    <w:p>
      <w:pPr>
        <w:pStyle w:val="ListParagraph"/>
        <w:numPr>
          <w:ilvl w:val="0"/>
          <w:numId w:val="2"/>
        </w:numPr>
        <w:spacing w:after="80"/>
      </w:pPr>
      <w:r>
        <w:rPr>
          <w:rFonts w:ascii="Arial" w:cs="Arial" w:eastAsia="Arial" w:hAnsi="Arial"/>
          <w:b/>
          <w:bCs/>
          <w:color w:val="DA1E28"/>
          <w:sz w:val="22"/>
          <w:szCs w:val="22"/>
        </w:rPr>
        <w:t xml:space="preserve">[GAP] How will the system handle analyst insights that conflict with current IBM messaging or reveal competitive weaknesses?</w:t>
      </w:r>
    </w:p>
    <w:p>
      <w:pPr>
        <w:pStyle w:val="ListParagraph"/>
        <w:numPr>
          <w:ilvl w:val="0"/>
          <w:numId w:val="2"/>
        </w:numPr>
        <w:spacing w:after="80"/>
      </w:pPr>
      <w:r>
        <w:rPr>
          <w:rFonts w:ascii="Arial" w:cs="Arial" w:eastAsia="Arial" w:hAnsi="Arial"/>
          <w:b/>
          <w:bCs/>
          <w:color w:val="DA1E28"/>
          <w:sz w:val="22"/>
          <w:szCs w:val="22"/>
        </w:rPr>
        <w:t xml:space="preserve">[GAP] What is the desired integration point with Ask MCC or other central AI portals for analyst intelligence consumption?</w:t>
      </w:r>
    </w:p>
    <w:p>
      <w:pPr>
        <w:pStyle w:val="ListParagraph"/>
        <w:numPr>
          <w:ilvl w:val="0"/>
          <w:numId w:val="2"/>
        </w:numPr>
        <w:spacing w:after="80"/>
      </w:pPr>
      <w:r>
        <w:rPr>
          <w:rFonts w:ascii="Arial" w:cs="Arial" w:eastAsia="Arial" w:hAnsi="Arial"/>
          <w:b/>
          <w:bCs/>
          <w:color w:val="DA1E28"/>
          <w:sz w:val="22"/>
          <w:szCs w:val="22"/>
        </w:rPr>
        <w:t xml:space="preserve">[GAP] How are Tier 2/3 analyst firm outputs (increasingly cited by AI search tools) currently monitored and amplified? Is there any coverage today?</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Workflow 1: RFI Response Intelligence Agent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Exact AR team FTE count and capacity model not discussed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org chart and FTE allocation between RFI response, analyst engagement, and amplification activities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SharePoint access/licensing preventing Copilot querying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Engage IT/CIO to diagnose whether this is a license tier issue or configuration issue; resolve as part of Workflow + UI Integration planning</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EPM/Tableau research tracking dashboard deprecated; no replacement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Assess whether corporate replacement exists or AR team must build custom; include in Workflow 1 outcome tracking component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GPI/client reference system integration undefined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Schedule working session with Rebecca Green’s team to map peer review evidence flow into RFI preparation process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CIO Office commitment level and budget allocation unknown</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formal CIO Office engagement through MCC transformation program; establish timeline for sponsorship decision</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Security/Legal/Compliance timeline for AI-generated analyst content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Identify existing precedents from other IBM teams; initiate compliance review request through established channels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Multi-BU content conflict governance model undefined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Design governance framework: who approves “for analyst use” content, on what cadence, with what escalation path for messaging divergence</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Gartner contractual constraints on AI processing of RFI content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Engage IBM Legal to review existing Gartner contracts for AI/automation usage clauses; clarify boundaries before repository design</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Angela Jamerson’s RFI Ninja technical architecture not documented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Schedule technical review session with Angela to assess Milvus architecture reuse potential</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10</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Detailed content inventory across Seismic, SharePoint, ibm.com not available</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Conduct content audit: what exists, in what format, with what metadata, how current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11</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Copilot/Consulting Advantage specific limitations not documented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from John Spooner a detailed log of attempted use cases and failure modes</w:t>
            </w:r>
          </w:p>
        </w:tc>
      </w:tr>
    </w:tbl>
    <w:p/>
    <w:p>
      <w:pPr>
        <w:spacing w:after="160" w:before="360"/>
      </w:pPr>
      <w:r>
        <w:rPr>
          <w:rFonts w:ascii="Arial" w:cs="Arial" w:eastAsia="Arial" w:hAnsi="Arial"/>
          <w:b/>
          <w:bCs/>
          <w:color w:val="161616"/>
          <w:sz w:val="56"/>
          <w:szCs w:val="56"/>
        </w:rPr>
        <w:t xml:space="preserve">Workflow 2: Analyst Insight Amplification &amp; Enterprise Activation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Marketing team partnership structure for analyst amplification undefined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Identify primary marketing partner and document current handoff process for research amplification campaigns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EPM/Tableau replacement for research tracking undefined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Determine if corporate initiative exists; if not, include replacement dashboard in Workflow 2 scope</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Seismic push notification capabilities unverified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Engage Seismic admin to assess real-time content alert capabilities for role/account/industry-contextualized push</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Compliance review process and turnaround time for external analyst citations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Map current approval workflow; identify bottlenecks; assess automation potential for routine approvals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Analyst firm guidance on AI-era amplification methods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Compile guidance received from Gartner and other firms on acceptable amplification practices in AI search context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Sales team analyst insight consumption requirements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Conduct discovery with sales enablement team to define ideal seller experience for analyst proof points at point of client engagement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Tier 2/3 firm monitoring and amplification coverage</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Inventory current Tier 2/3 coverage; assess which firms’ outputs are most cited by AI search tools (Perplexity, ChatGPT)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Ask MCC integration for analyst intelligence undefined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Clarify architectural relationship between AR tooling and Ask MCC / central AI portal initiative</w:t>
            </w:r>
          </w:p>
        </w:tc>
      </w:tr>
    </w:tbl>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2"/>
        </w:numPr>
        <w:spacing w:after="80"/>
      </w:pPr>
      <w:r>
        <w:rPr>
          <w:rFonts w:ascii="Arial" w:cs="Arial" w:eastAsia="Arial" w:hAnsi="Arial"/>
          <w:color w:val="161616"/>
          <w:sz w:val="22"/>
          <w:szCs w:val="22"/>
        </w:rPr>
        <w:t xml:space="preserve">Elizabeth Bamonte committed to providing any additional information needed to support the case: “We’ll give you whatever else you need. Truly, we’re ready.”</w:t>
      </w:r>
    </w:p>
    <w:p>
      <w:pPr>
        <w:pStyle w:val="ListParagraph"/>
        <w:numPr>
          <w:ilvl w:val="0"/>
          <w:numId w:val="2"/>
        </w:numPr>
        <w:spacing w:after="80"/>
      </w:pPr>
      <w:r>
        <w:rPr>
          <w:rFonts w:ascii="Arial" w:cs="Arial" w:eastAsia="Arial" w:hAnsi="Arial"/>
          <w:color w:val="161616"/>
          <w:sz w:val="22"/>
          <w:szCs w:val="22"/>
        </w:rPr>
        <w:t xml:space="preserve">David Gerken committed to circling back on the phased approach: starting with Software + Gartner as the initial scope, then expanding to other BUs and firms.</w:t>
      </w:r>
    </w:p>
    <w:p>
      <w:pPr>
        <w:pStyle w:val="ListParagraph"/>
        <w:numPr>
          <w:ilvl w:val="0"/>
          <w:numId w:val="2"/>
        </w:numPr>
        <w:spacing w:after="80"/>
      </w:pPr>
      <w:r>
        <w:rPr>
          <w:rFonts w:ascii="Arial" w:cs="Arial" w:eastAsia="Arial" w:hAnsi="Arial"/>
          <w:color w:val="161616"/>
          <w:sz w:val="22"/>
          <w:szCs w:val="22"/>
        </w:rPr>
        <w:t xml:space="preserve">Elizabeth offered the team’s help to consolidate or rewrite workflow descriptions: “If you guys need our help to consolidate or write it up in a different way to help show any of this, we’re happy to do that.”</w:t>
      </w:r>
    </w:p>
    <w:p>
      <w:pPr>
        <w:pStyle w:val="ListParagraph"/>
        <w:numPr>
          <w:ilvl w:val="0"/>
          <w:numId w:val="2"/>
        </w:numPr>
        <w:spacing w:after="80"/>
      </w:pPr>
      <w:r>
        <w:rPr>
          <w:rFonts w:ascii="Arial" w:cs="Arial" w:eastAsia="Arial" w:hAnsi="Arial"/>
          <w:color w:val="161616"/>
          <w:sz w:val="22"/>
          <w:szCs w:val="22"/>
        </w:rPr>
        <w:t xml:space="preserve">David Gerken noted the ballpark SME time quantification (250–300 hours per RFI cycle) needs further validation, particularly to build the business case for scaling from 100 to 1,000 RFIs.</w:t>
      </w:r>
    </w:p>
    <w:p>
      <w:pPr>
        <w:pStyle w:val="ListParagraph"/>
        <w:numPr>
          <w:ilvl w:val="0"/>
          <w:numId w:val="2"/>
        </w:numPr>
        <w:spacing w:after="80"/>
      </w:pPr>
      <w:r>
        <w:rPr>
          <w:rFonts w:ascii="Arial" w:cs="Arial" w:eastAsia="Arial" w:hAnsi="Arial"/>
          <w:color w:val="161616"/>
          <w:sz w:val="22"/>
          <w:szCs w:val="22"/>
        </w:rPr>
        <w:t xml:space="preserve">Tucker Rizzi committed to compiling the interview into a workflow blueprint for cross-domain comparison and following up on any gaps.</w:t>
      </w:r>
    </w:p>
    <w:p>
      <w:pPr>
        <w:pStyle w:val="ListParagraph"/>
        <w:numPr>
          <w:ilvl w:val="0"/>
          <w:numId w:val="2"/>
        </w:numPr>
        <w:spacing w:after="80"/>
      </w:pPr>
      <w:r>
        <w:rPr>
          <w:rFonts w:ascii="Arial" w:cs="Arial" w:eastAsia="Arial" w:hAnsi="Arial"/>
          <w:color w:val="161616"/>
          <w:sz w:val="22"/>
          <w:szCs w:val="22"/>
        </w:rPr>
        <w:t xml:space="preserve">Elizabeth flagged that the AR team has “AI for AR office hours” and a prompt list distributed to the team, demonstrating cultural readiness for AI adoption.</w:t>
      </w:r>
    </w:p>
    <w:p>
      <w:pPr>
        <w:pStyle w:val="ListParagraph"/>
        <w:numPr>
          <w:ilvl w:val="0"/>
          <w:numId w:val="2"/>
        </w:numPr>
        <w:spacing w:after="80"/>
      </w:pPr>
      <w:r>
        <w:rPr>
          <w:rFonts w:ascii="Arial" w:cs="Arial" w:eastAsia="Arial" w:hAnsi="Arial"/>
          <w:color w:val="161616"/>
          <w:sz w:val="22"/>
          <w:szCs w:val="22"/>
        </w:rPr>
        <w:t xml:space="preserve">Rosanna Palmisano noted the original RFI Ninja MVP by Angela Jamerson is still available and could serve as a baseline for next iteration; Angela is a willing resource.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6"/>
        <w:szCs w:val="16"/>
      </w:rPr>
      <w:t xml:space="preserve">IBM MCC AI Transformation | Analyst Relations | Page </w:t>
    </w:r>
    <w:r>
      <w:rPr>
        <w:rFonts w:ascii="Arial" w:cs="Arial" w:eastAsia="Arial" w:hAnsi="Arial"/>
        <w:color w:val="5252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Analyst Relations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2026-03-11T19:31:50.775Z</dcterms:created>
  <dcterms:modified xsi:type="dcterms:W3CDTF">2026-03-11T19:31:50.776Z</dcterms:modified>
</cp:coreProperties>
</file>

<file path=docProps/custom.xml><?xml version="1.0" encoding="utf-8"?>
<Properties xmlns="http://schemas.openxmlformats.org/officeDocument/2006/custom-properties" xmlns:vt="http://schemas.openxmlformats.org/officeDocument/2006/docPropsVTypes"/>
</file>