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sz w:val="21"/>
        </w:rPr>
        <w:t>Handwritten Digit Recognition Using PCA and with an Interactive Drawing Canvas</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rPr>
          <w:sz w:val="21"/>
        </w:rPr>
        <w:t>G. Boomika Sre                 Roll No. 2520030010</w:t>
      </w:r>
    </w:p>
    <w:p w14:paraId="4C7EBCFD">
      <w:pPr>
        <w:widowControl w:val="0"/>
        <w:spacing w:before="279" w:line="240" w:lineRule="auto"/>
        <w:jc w:val="center"/>
        <w:rPr>
          <w:rFonts w:ascii="Times New Roman" w:hAnsi="Times New Roman" w:eastAsia="Times New Roman" w:cs="Times New Roman"/>
          <w:b/>
          <w:sz w:val="24"/>
          <w:szCs w:val="24"/>
        </w:rPr>
      </w:pPr>
      <w:r>
        <w:rPr>
          <w:sz w:val="21"/>
        </w:rPr>
        <w:t>P. Nehasree                    Roll No. 2520030174</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CD9238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Mr. Raghavendra</w:t>
      </w:r>
    </w:p>
    <w:p w14:paraId="7D8A12CA">
      <w:pPr>
        <w:widowControl w:val="0"/>
        <w:spacing w:before="123"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bookmarkStart w:id="0" w:name="_GoBack"/>
      <w:bookmarkEnd w:id="0"/>
    </w:p>
    <w:p w14:paraId="4B2C6DB1">
      <w:pPr>
        <w:widowControl w:val="0"/>
        <w:spacing w:before="311" w:line="240" w:lineRule="auto"/>
        <w:jc w:val="center"/>
        <w:rPr>
          <w:rFonts w:ascii="Times New Roman" w:hAnsi="Times New Roman" w:eastAsia="Times New Roman" w:cs="Times New Roman"/>
          <w:b/>
          <w:sz w:val="24"/>
          <w:szCs w:val="24"/>
        </w:rPr>
      </w:pPr>
      <w:r>
        <w:rPr>
          <w:sz w:val="21"/>
        </w:rP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rPr>
          <w:sz w:val="21"/>
        </w:rP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8"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rPr>
          <w:sz w:val="21"/>
        </w:rP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8"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sz w:val="21"/>
        </w:rPr>
        <w:t>Abstract</w:t>
      </w:r>
    </w:p>
    <w:p w14:paraId="73BE9572">
      <w:pPr>
        <w:tabs>
          <w:tab w:val="right" w:leader="dot" w:pos="8660"/>
        </w:tabs>
        <w:spacing w:before="90" w:after="70"/>
        <w:ind w:right="500"/>
      </w:pPr>
      <w:r>
        <w:rPr>
          <w:b/>
          <w:bCs/>
          <w:sz w:val="21"/>
        </w:rPr>
        <w:t>Introduction</w:t>
      </w:r>
      <w:r>
        <w:rPr>
          <w:sz w:val="21"/>
        </w:rPr>
        <w:tab/>
      </w:r>
    </w:p>
    <w:p w14:paraId="71781E43">
      <w:pPr>
        <w:tabs>
          <w:tab w:val="right" w:leader="dot" w:pos="8660"/>
        </w:tabs>
        <w:spacing w:after="20"/>
        <w:ind w:left="400" w:right="500"/>
      </w:pPr>
      <w:r>
        <w:rPr>
          <w:sz w:val="20"/>
          <w:szCs w:val="20"/>
        </w:rPr>
        <w:t>Background</w:t>
      </w:r>
      <w:r>
        <w:rPr>
          <w:sz w:val="20"/>
          <w:szCs w:val="20"/>
        </w:rPr>
        <w:tab/>
      </w:r>
    </w:p>
    <w:p w14:paraId="282DE741">
      <w:pPr>
        <w:tabs>
          <w:tab w:val="right" w:leader="dot" w:pos="8660"/>
        </w:tabs>
        <w:spacing w:after="20"/>
        <w:ind w:left="400" w:right="500"/>
      </w:pPr>
      <w:r>
        <w:rPr>
          <w:sz w:val="20"/>
          <w:szCs w:val="20"/>
        </w:rPr>
        <w:t>Motivation for the Project</w:t>
      </w:r>
      <w:r>
        <w:rPr>
          <w:sz w:val="20"/>
          <w:szCs w:val="20"/>
        </w:rPr>
        <w:tab/>
      </w:r>
    </w:p>
    <w:p w14:paraId="040D6649">
      <w:pPr>
        <w:tabs>
          <w:tab w:val="right" w:leader="dot" w:pos="8660"/>
        </w:tabs>
        <w:spacing w:after="20"/>
        <w:ind w:left="400" w:right="500"/>
      </w:pPr>
      <w:r>
        <w:rPr>
          <w:sz w:val="20"/>
          <w:szCs w:val="20"/>
        </w:rPr>
        <w:t>Overview of the Work Carried Out</w:t>
      </w:r>
      <w:r>
        <w:rPr>
          <w:sz w:val="20"/>
          <w:szCs w:val="20"/>
        </w:rPr>
        <w:tab/>
      </w:r>
    </w:p>
    <w:p w14:paraId="11199E71">
      <w:pPr>
        <w:tabs>
          <w:tab w:val="right" w:leader="dot" w:pos="8660"/>
        </w:tabs>
        <w:spacing w:after="20"/>
        <w:ind w:left="400" w:right="500"/>
      </w:pPr>
      <w:r>
        <w:rPr>
          <w:sz w:val="20"/>
          <w:szCs w:val="20"/>
        </w:rPr>
        <w:t>Scope and Responsible-Use Statement</w:t>
      </w:r>
      <w:r>
        <w:rPr>
          <w:sz w:val="20"/>
          <w:szCs w:val="20"/>
        </w:rPr>
        <w:tab/>
      </w:r>
    </w:p>
    <w:p w14:paraId="15E19BA1">
      <w:pPr>
        <w:tabs>
          <w:tab w:val="right" w:leader="dot" w:pos="8660"/>
        </w:tabs>
        <w:spacing w:before="90" w:after="70"/>
        <w:ind w:right="500"/>
      </w:pPr>
      <w:r>
        <w:rPr>
          <w:b/>
          <w:bCs/>
          <w:sz w:val="21"/>
        </w:rPr>
        <w:t>Problem Statement</w:t>
      </w:r>
      <w:r>
        <w:rPr>
          <w:sz w:val="21"/>
        </w:rPr>
        <w:tab/>
      </w:r>
    </w:p>
    <w:p w14:paraId="0B1C28AA">
      <w:pPr>
        <w:tabs>
          <w:tab w:val="right" w:leader="dot" w:pos="8660"/>
        </w:tabs>
        <w:spacing w:after="20"/>
        <w:ind w:left="400" w:right="500"/>
      </w:pPr>
      <w:r>
        <w:rPr>
          <w:sz w:val="20"/>
          <w:szCs w:val="20"/>
        </w:rPr>
        <w:t xml:space="preserve"> Case-Study Scenario</w:t>
      </w:r>
      <w:r>
        <w:rPr>
          <w:sz w:val="20"/>
          <w:szCs w:val="20"/>
        </w:rPr>
        <w:tab/>
      </w:r>
    </w:p>
    <w:p w14:paraId="5250A593">
      <w:pPr>
        <w:tabs>
          <w:tab w:val="right" w:leader="dot" w:pos="8660"/>
        </w:tabs>
        <w:spacing w:after="20"/>
        <w:ind w:left="400" w:right="500"/>
      </w:pPr>
      <w:r>
        <w:rPr>
          <w:sz w:val="20"/>
          <w:szCs w:val="20"/>
        </w:rPr>
        <w:t>Central Case-Study Question</w:t>
      </w:r>
      <w:r>
        <w:rPr>
          <w:sz w:val="20"/>
          <w:szCs w:val="20"/>
        </w:rPr>
        <w:tab/>
      </w:r>
    </w:p>
    <w:p w14:paraId="7AECCB7F">
      <w:pPr>
        <w:tabs>
          <w:tab w:val="right" w:leader="dot" w:pos="8660"/>
        </w:tabs>
        <w:spacing w:after="20"/>
        <w:ind w:left="400" w:right="500"/>
      </w:pPr>
      <w:r>
        <w:rPr>
          <w:sz w:val="20"/>
          <w:szCs w:val="20"/>
        </w:rPr>
        <w:t>Formal Problem Definition</w:t>
      </w:r>
      <w:r>
        <w:rPr>
          <w:sz w:val="20"/>
          <w:szCs w:val="20"/>
        </w:rPr>
        <w:tab/>
      </w:r>
    </w:p>
    <w:p w14:paraId="6947B1D5">
      <w:pPr>
        <w:tabs>
          <w:tab w:val="right" w:leader="dot" w:pos="8660"/>
        </w:tabs>
        <w:spacing w:after="20"/>
        <w:ind w:left="400" w:right="500"/>
      </w:pPr>
      <w:r>
        <w:rPr>
          <w:sz w:val="20"/>
          <w:szCs w:val="20"/>
        </w:rPr>
        <w:t>Objectives that Guide the Study</w:t>
      </w:r>
      <w:r>
        <w:rPr>
          <w:sz w:val="20"/>
          <w:szCs w:val="20"/>
        </w:rPr>
        <w:tab/>
      </w:r>
    </w:p>
    <w:p w14:paraId="7E7E2B64">
      <w:pPr>
        <w:tabs>
          <w:tab w:val="right" w:leader="dot" w:pos="8660"/>
        </w:tabs>
        <w:spacing w:after="20"/>
        <w:ind w:left="400" w:right="500"/>
      </w:pPr>
      <w:r>
        <w:rPr>
          <w:sz w:val="20"/>
          <w:szCs w:val="20"/>
        </w:rPr>
        <w:t>Assumptions and Limitations</w:t>
      </w:r>
      <w:r>
        <w:rPr>
          <w:sz w:val="20"/>
          <w:szCs w:val="20"/>
        </w:rPr>
        <w:tab/>
      </w:r>
    </w:p>
    <w:p w14:paraId="498CE133">
      <w:pPr>
        <w:tabs>
          <w:tab w:val="right" w:leader="dot" w:pos="8660"/>
        </w:tabs>
        <w:spacing w:before="90" w:after="70"/>
        <w:ind w:right="500"/>
      </w:pPr>
      <w:r>
        <w:rPr>
          <w:b/>
          <w:bCs/>
          <w:sz w:val="21"/>
        </w:rPr>
        <w:t>Dataset and Exploratory Data Analysis</w:t>
      </w:r>
    </w:p>
    <w:p w14:paraId="26772E42">
      <w:pPr>
        <w:tabs>
          <w:tab w:val="right" w:leader="dot" w:pos="8660"/>
        </w:tabs>
        <w:spacing w:before="90" w:after="70"/>
        <w:ind w:right="500"/>
      </w:pPr>
      <w:r>
        <w:rPr>
          <w:sz w:val="20"/>
          <w:szCs w:val="20"/>
        </w:rPr>
        <w:t xml:space="preserve">         About the Dataset</w:t>
      </w:r>
      <w:r>
        <w:rPr>
          <w:sz w:val="20"/>
          <w:szCs w:val="20"/>
        </w:rPr>
        <w:tab/>
      </w:r>
    </w:p>
    <w:p w14:paraId="67028976">
      <w:pPr>
        <w:tabs>
          <w:tab w:val="right" w:leader="dot" w:pos="8660"/>
        </w:tabs>
        <w:spacing w:after="20"/>
        <w:ind w:right="500"/>
        <w:rPr>
          <w:sz w:val="20"/>
          <w:szCs w:val="20"/>
        </w:rPr>
      </w:pPr>
      <w:r>
        <w:rPr>
          <w:sz w:val="20"/>
          <w:szCs w:val="20"/>
        </w:rPr>
        <w:t xml:space="preserve">         Purpose of EDA</w:t>
      </w:r>
      <w:r>
        <w:rPr>
          <w:sz w:val="20"/>
          <w:szCs w:val="20"/>
        </w:rPr>
        <w:tab/>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p>
    <w:p w14:paraId="6A03ABC9">
      <w:pPr>
        <w:tabs>
          <w:tab w:val="right" w:leader="dot" w:pos="8660"/>
        </w:tabs>
        <w:spacing w:after="20"/>
        <w:ind w:left="400" w:right="500"/>
      </w:pPr>
      <w:r>
        <w:rPr>
          <w:sz w:val="20"/>
          <w:szCs w:val="20"/>
        </w:rPr>
        <w:t xml:space="preserve"> EDA Exploration - Implementation</w:t>
      </w:r>
      <w:r>
        <w:rPr>
          <w:sz w:val="20"/>
          <w:szCs w:val="20"/>
        </w:rPr>
        <w:tab/>
      </w:r>
    </w:p>
    <w:p w14:paraId="29E21B88">
      <w:pPr>
        <w:tabs>
          <w:tab w:val="right" w:leader="dot" w:pos="8660"/>
        </w:tabs>
        <w:spacing w:after="20"/>
        <w:ind w:left="400" w:right="500"/>
      </w:pPr>
      <w:r>
        <w:rPr>
          <w:sz w:val="20"/>
          <w:szCs w:val="20"/>
        </w:rPr>
        <w:t>Summary of EDA Findings</w:t>
      </w:r>
      <w:r>
        <w:rPr>
          <w:sz w:val="20"/>
          <w:szCs w:val="20"/>
        </w:rPr>
        <w:tab/>
      </w:r>
    </w:p>
    <w:p w14:paraId="7E4626CB">
      <w:pPr>
        <w:tabs>
          <w:tab w:val="right" w:leader="dot" w:pos="8660"/>
        </w:tabs>
        <w:spacing w:before="90" w:after="70"/>
        <w:ind w:right="500"/>
      </w:pPr>
      <w:r>
        <w:rPr>
          <w:b/>
          <w:bCs/>
          <w:sz w:val="21"/>
        </w:rPr>
        <w:t xml:space="preserve"> Algorithm Selection and Implementation</w:t>
      </w:r>
      <w:r>
        <w:rPr>
          <w:sz w:val="21"/>
        </w:rPr>
        <w:tab/>
      </w:r>
    </w:p>
    <w:p w14:paraId="314B48A6">
      <w:pPr>
        <w:tabs>
          <w:tab w:val="right" w:leader="dot" w:pos="8660"/>
        </w:tabs>
        <w:spacing w:before="90" w:after="70"/>
        <w:ind w:right="500"/>
        <w:rPr>
          <w:b/>
          <w:bCs/>
        </w:rPr>
      </w:pPr>
    </w:p>
    <w:p w14:paraId="518330FE">
      <w:pPr>
        <w:pageBreakBefore/>
      </w:pPr>
    </w:p>
    <w:p w14:paraId="1E5BD9F8">
      <w:pPr>
        <w:pStyle w:val="2"/>
      </w:pPr>
      <w:r>
        <w:rPr>
          <w:b/>
          <w:color w:val="1F4E79"/>
        </w:rPr>
        <w:t>Abstract</w:t>
      </w:r>
    </w:p>
    <w:p w14:paraId="1F6D0289">
      <w:r>
        <w:rPr>
          <w:b w:val="0"/>
          <w:sz w:val="21"/>
        </w:rPr>
        <w:t>Handwritten digit recognition is a supervised machine-learning task in which a model maps an image of a digit to one of ten classes (0–9). This project combines Principal Component Analysis (PCA) for dimensionality reduction with a Support Vector Machine (SVM) classifier. A Streamlit interface lets a user draw a digit and receive a prediction. A Logistic Regression model is also trained as a comparison baseline. The implementation includes image preprocessing, reusable prediction code, saved model artefacts, and model-evaluation outputs. The report describes the workflow from dataset preparation and training to interactive inference. Numerical performance claims should be taken from the generated evaluation file rather than assumed in advance.</w:t>
      </w:r>
    </w:p>
    <w:p w14:paraId="5DCF5C87">
      <w:pPr>
        <w:pStyle w:val="2"/>
      </w:pPr>
      <w:r>
        <w:rPr>
          <w:b/>
          <w:color w:val="1F4E79"/>
        </w:rPr>
        <w:t>1. Introduction</w:t>
      </w:r>
    </w:p>
    <w:p w14:paraId="3490BC05">
      <w:pPr>
        <w:pStyle w:val="3"/>
      </w:pPr>
      <w:r>
        <w:rPr>
          <w:b/>
          <w:color w:val="1F4E79"/>
        </w:rPr>
        <w:t>1.1 Background</w:t>
      </w:r>
    </w:p>
    <w:p w14:paraId="40DA659D">
      <w:r>
        <w:rPr>
          <w:b w:val="0"/>
          <w:sz w:val="21"/>
        </w:rPr>
        <w:t>Handwritten digit recognition is a computer-vision classification problem. Images vary in stroke thickness, position, scale, and writing style, so a model must learn patterns that generalise beyond a single example. MNIST provides labelled grayscale images of handwritten digits and is widely used to study classification methods.</w:t>
      </w:r>
    </w:p>
    <w:p w14:paraId="2B627FBB">
      <w:pPr>
        <w:pStyle w:val="3"/>
      </w:pPr>
      <w:r>
        <w:rPr>
          <w:b/>
          <w:color w:val="1F4E79"/>
        </w:rPr>
        <w:t>1.2 Motivation for the Project</w:t>
      </w:r>
    </w:p>
    <w:p w14:paraId="505B427A">
      <w:r>
        <w:rPr>
          <w:b w:val="0"/>
          <w:sz w:val="21"/>
        </w:rPr>
        <w:t>A model that predicts only on prepared test images can be difficult for a new user to try. This project adds an interactive drawing canvas: a user draws one digit, the application preprocesses it, and the trained classifier returns a predicted class. The project demonstrates preprocessing, dimensionality reduction, supervised classification, model comparison, and evaluation.</w:t>
      </w:r>
    </w:p>
    <w:p w14:paraId="032B0E2B">
      <w:pPr>
        <w:pStyle w:val="3"/>
      </w:pPr>
      <w:r>
        <w:rPr>
          <w:b/>
          <w:color w:val="1F4E79"/>
        </w:rPr>
        <w:t>1.3 Overview of the Work Carried Out</w:t>
      </w:r>
    </w:p>
    <w:p w14:paraId="020C1B27">
      <w:r>
        <w:rPr>
          <w:b w:val="0"/>
          <w:sz w:val="21"/>
        </w:rPr>
        <w:t>• Loaded the MNIST handwritten-digit dataset through scikit-learn's dataset utilities in the training script.</w:t>
      </w:r>
    </w:p>
    <w:p w14:paraId="74ABAE81">
      <w:r>
        <w:rPr>
          <w:b w:val="0"/>
          <w:sz w:val="21"/>
        </w:rPr>
        <w:t>• Implemented preprocessing for a user-drawn image, including cropping/resizing and conversion to the model's expected 28 × 28 input representation.</w:t>
      </w:r>
    </w:p>
    <w:p w14:paraId="7226E1C5">
      <w:r>
        <w:rPr>
          <w:b w:val="0"/>
          <w:sz w:val="21"/>
        </w:rPr>
        <w:t>• Implemented a PCA + SVM (RBF kernel) classification pipeline and a Logistic Regression comparison model.</w:t>
      </w:r>
    </w:p>
    <w:p w14:paraId="2E15DA83">
      <w:r>
        <w:rPr>
          <w:b w:val="0"/>
          <w:sz w:val="21"/>
        </w:rPr>
        <w:t>• Saved trained model artefacts and evaluation metrics under the models directory.</w:t>
      </w:r>
    </w:p>
    <w:p w14:paraId="2D2C7C3C">
      <w:r>
        <w:rPr>
          <w:b w:val="0"/>
          <w:sz w:val="21"/>
        </w:rPr>
        <w:t>• Built a Streamlit application with a drawing canvas, prediction display, processed-image preview, and model-evaluation view.</w:t>
      </w:r>
    </w:p>
    <w:p w14:paraId="7D879AD5">
      <w:r>
        <w:rPr>
          <w:b w:val="0"/>
          <w:sz w:val="21"/>
        </w:rPr>
        <w:t>• Organised the repository into basic-code and web-app folders to separate the standalone program from the interactive application.</w:t>
      </w:r>
    </w:p>
    <w:p w14:paraId="6DE729EB">
      <w:pPr>
        <w:pStyle w:val="3"/>
      </w:pPr>
      <w:r>
        <w:rPr>
          <w:b/>
          <w:color w:val="1F4E79"/>
        </w:rPr>
        <w:t>1.4 Scope and Responsible-Use Statement</w:t>
      </w:r>
    </w:p>
    <w:p w14:paraId="65CF3857">
      <w:r>
        <w:rPr>
          <w:b w:val="0"/>
          <w:sz w:val="21"/>
        </w:rPr>
        <w:t>The current scope is single-digit recognition for digits 0–9. The system is a learning prototype, not a certified document-processing or high-stakes decision system. Predictions may be wrong for ambiguous handwriting, unusual input images, or drawings that differ substantially from training data. Users should not rely on the output for consequential decisions without independent verification.</w:t>
      </w:r>
    </w:p>
    <w:p w14:paraId="4BAF2D8C">
      <w:pPr>
        <w:pStyle w:val="2"/>
      </w:pPr>
      <w:r>
        <w:rPr>
          <w:b/>
          <w:color w:val="1F4E79"/>
        </w:rPr>
        <w:t>2. Problem Statement</w:t>
      </w:r>
    </w:p>
    <w:p w14:paraId="6D8183AF">
      <w:pPr>
        <w:pStyle w:val="3"/>
      </w:pPr>
      <w:r>
        <w:rPr>
          <w:b/>
          <w:color w:val="1F4E79"/>
        </w:rPr>
        <w:t>2.1 Case-Study Scenario</w:t>
      </w:r>
    </w:p>
    <w:p w14:paraId="22224DEF">
      <w:r>
        <w:rPr>
          <w:b w:val="0"/>
          <w:sz w:val="21"/>
        </w:rPr>
        <w:t>A student or developer wants to understand how a trained machine-learning model classifies handwritten digits. Dataset examples are useful for testing, but they do not let the user directly draw a digit and observe the end-to-end prediction path. The project provides a local interactive application to make this process demonstrable.</w:t>
      </w:r>
    </w:p>
    <w:p w14:paraId="24E3BC6E">
      <w:pPr>
        <w:pStyle w:val="3"/>
      </w:pPr>
      <w:r>
        <w:rPr>
          <w:b/>
          <w:color w:val="1F4E79"/>
        </w:rPr>
        <w:t>2.2 Central Case-Study Question</w:t>
      </w:r>
    </w:p>
    <w:p w14:paraId="2CE78F9F">
      <w:r>
        <w:rPr>
          <w:b w:val="0"/>
          <w:sz w:val="21"/>
        </w:rPr>
        <w:t>How can a classical machine-learning pipeline use dimensionality reduction and supervised classification to recognise a user-drawn digit, while providing a simple interface for testing and evaluation?</w:t>
      </w:r>
    </w:p>
    <w:p w14:paraId="26EC755C">
      <w:pPr>
        <w:pStyle w:val="3"/>
      </w:pPr>
      <w:r>
        <w:rPr>
          <w:b/>
          <w:color w:val="1F4E79"/>
        </w:rPr>
        <w:t>2.3 Formal Problem Definition</w:t>
      </w:r>
    </w:p>
    <w:p w14:paraId="2F4B0391">
      <w:r>
        <w:rPr>
          <w:b w:val="0"/>
          <w:sz w:val="21"/>
        </w:rPr>
        <w:t>Given an input image x representing one handwritten digit, construct a function f(x) that outputs a class y ∈ {0, 1, 2, …, 9}. The image must first be transformed into a consistent representation compatible with the training pipeline. The classifier is trained on labelled examples, and its generalisation is assessed using held-out evaluation data.</w:t>
      </w:r>
    </w:p>
    <w:p w14:paraId="3EA8E82B">
      <w:pPr>
        <w:pStyle w:val="3"/>
      </w:pPr>
      <w:r>
        <w:rPr>
          <w:b/>
          <w:color w:val="1F4E79"/>
        </w:rPr>
        <w:t>2.4 Objectives that Guide the Study</w:t>
      </w:r>
    </w:p>
    <w:p w14:paraId="28BC9885">
      <w:r>
        <w:rPr>
          <w:b w:val="0"/>
          <w:sz w:val="21"/>
        </w:rPr>
        <w:t>Prepare and use labelled MNIST digit images for supervised learning.</w:t>
      </w:r>
    </w:p>
    <w:p w14:paraId="17F96167">
      <w:r>
        <w:rPr>
          <w:b w:val="0"/>
          <w:sz w:val="21"/>
        </w:rPr>
        <w:t>Build a PCA + SVM pipeline that predicts one of ten digit classes.</w:t>
      </w:r>
    </w:p>
    <w:p w14:paraId="39A06C9C">
      <w:r>
        <w:rPr>
          <w:b w:val="0"/>
          <w:sz w:val="21"/>
        </w:rPr>
        <w:t>Train a Logistic Regression baseline and compare model-evaluation metrics.</w:t>
      </w:r>
    </w:p>
    <w:p w14:paraId="3C6398EA">
      <w:r>
        <w:rPr>
          <w:b w:val="0"/>
          <w:sz w:val="21"/>
        </w:rPr>
        <w:t>Implement an interactive drawing interface that preprocesses user input and displays a prediction.</w:t>
      </w:r>
    </w:p>
    <w:p w14:paraId="640DF6A6">
      <w:r>
        <w:rPr>
          <w:b w:val="0"/>
          <w:sz w:val="21"/>
        </w:rPr>
        <w:t>Document the workflow, implementation structure, limitations, and possible future improvements.</w:t>
      </w:r>
    </w:p>
    <w:p w14:paraId="1F237975">
      <w:pPr>
        <w:pStyle w:val="3"/>
      </w:pPr>
      <w:r>
        <w:rPr>
          <w:b/>
          <w:color w:val="1F4E79"/>
        </w:rPr>
        <w:t>2.5 Assumptions and Limitations</w:t>
      </w:r>
    </w:p>
    <w:p w14:paraId="5FCAB008">
      <w:r>
        <w:rPr>
          <w:b w:val="0"/>
          <w:sz w:val="21"/>
        </w:rPr>
        <w:t>• The input is intended to contain one digit, not a multi-digit number or a word.</w:t>
      </w:r>
    </w:p>
    <w:p w14:paraId="3FABEC80">
      <w:r>
        <w:rPr>
          <w:b w:val="0"/>
          <w:sz w:val="21"/>
        </w:rPr>
        <w:t>• Training and inference preprocessing must be compatible; differences in centring, inversion, scale, or normalisation can reduce accuracy.</w:t>
      </w:r>
    </w:p>
    <w:p w14:paraId="23A2C58B">
      <w:r>
        <w:rPr>
          <w:b w:val="0"/>
          <w:sz w:val="21"/>
        </w:rPr>
        <w:t>• A prediction score or decision value is not automatically a calibrated probability.</w:t>
      </w:r>
    </w:p>
    <w:p w14:paraId="3482DFB5">
      <w:r>
        <w:rPr>
          <w:b w:val="0"/>
          <w:sz w:val="21"/>
        </w:rPr>
        <w:t>• The app is currently a local Streamlit application; production REST serving, drift monitoring, and automated retraining are not claimed as implemented.</w:t>
      </w:r>
    </w:p>
    <w:p w14:paraId="51E1D4F2">
      <w:r>
        <w:rPr>
          <w:b w:val="0"/>
          <w:sz w:val="21"/>
        </w:rPr>
        <w:t>• Actual accuracy, precision, recall, and F1 values should be reported from generated metrics, not inferred from published MNIST results.</w:t>
      </w:r>
    </w:p>
    <w:p w14:paraId="4A34DE6F">
      <w:pPr>
        <w:pStyle w:val="2"/>
      </w:pPr>
      <w:r>
        <w:rPr>
          <w:b/>
          <w:color w:val="1F4E79"/>
        </w:rPr>
        <w:t>3. Dataset and Exploratory Data Analysis</w:t>
      </w:r>
    </w:p>
    <w:p w14:paraId="490B1388">
      <w:pPr>
        <w:pStyle w:val="3"/>
      </w:pPr>
      <w:r>
        <w:rPr>
          <w:b/>
          <w:color w:val="1F4E79"/>
        </w:rPr>
        <w:t>3.1 About the Dataset</w:t>
      </w:r>
    </w:p>
    <w:p w14:paraId="6A6497E8">
      <w:r>
        <w:rPr>
          <w:b w:val="0"/>
          <w:sz w:val="21"/>
        </w:rPr>
        <w:t>The training script uses the MNIST handwritten-digit dataset through scikit-learn's fetch_openml interface. MNIST is commonly described as containing 70,000 grayscale digit images, with 60,000 training examples and 10,000 test examples in its standard split. Each image is represented as 28 × 28 pixels and has a label from 0 to 9. The training script should be treated as the source of truth for the exact loading and split procedure used in this implementation.</w:t>
      </w:r>
    </w:p>
    <w:p w14:paraId="0E2D600F">
      <w:pPr>
        <w:pStyle w:val="3"/>
      </w:pPr>
      <w:r>
        <w:rPr>
          <w:b/>
          <w:color w:val="1F4E79"/>
        </w:rPr>
        <w:t>3.2 Purpose of EDA</w:t>
      </w:r>
    </w:p>
    <w:p w14:paraId="5C31247D">
      <w:r>
        <w:rPr>
          <w:b w:val="0"/>
          <w:sz w:val="21"/>
        </w:rPr>
        <w:t>Exploratory data analysis helps verify image shape, label distribution, pixel-value range, and representative examples from each class before training. For an image-classification task, visual inspection can reveal blank, inverted, off-centre, or inconsistent inputs.</w:t>
      </w:r>
    </w:p>
    <w:p w14:paraId="6AF67D97">
      <w:pPr>
        <w:pStyle w:val="3"/>
      </w:pPr>
      <w:r>
        <w:rPr>
          <w:b/>
          <w:color w:val="1F4E79"/>
        </w:rPr>
        <w:t>3.3 Preparation Steps Actually Performed</w:t>
      </w:r>
    </w:p>
    <w:p w14:paraId="39694FBF">
      <w:r>
        <w:rPr>
          <w:b w:val="0"/>
          <w:sz w:val="21"/>
        </w:rPr>
        <w:t>• The training script obtains labelled MNIST images and prepares features and target labels for model fitting.</w:t>
      </w:r>
    </w:p>
    <w:p w14:paraId="67DCDD97">
      <w:r>
        <w:rPr>
          <w:b w:val="0"/>
          <w:sz w:val="21"/>
        </w:rPr>
        <w:t>• The modelling pipeline applies PCA to reduce the dimensionality of flattened image features before SVM classification.</w:t>
      </w:r>
    </w:p>
    <w:p w14:paraId="3A277B3D">
      <w:r>
        <w:rPr>
          <w:b w:val="0"/>
          <w:sz w:val="21"/>
        </w:rPr>
        <w:t>• The drawing-input preprocessing path crops the drawn content, resizes it while preserving aspect ratio, places it on a 28 × 28 canvas, and centres the digit using image mass.</w:t>
      </w:r>
    </w:p>
    <w:p w14:paraId="4DE36F89">
      <w:r>
        <w:rPr>
          <w:b w:val="0"/>
          <w:sz w:val="21"/>
        </w:rPr>
        <w:t>• The trained model and evaluation results are saved to disk so the app can load them without retraining on every prediction.</w:t>
      </w:r>
    </w:p>
    <w:p w14:paraId="657610AA">
      <w:pPr>
        <w:pStyle w:val="3"/>
      </w:pPr>
      <w:r>
        <w:rPr>
          <w:b/>
          <w:color w:val="1F4E79"/>
        </w:rPr>
        <w:t>3.4 EDA Exploration — Implementation</w:t>
      </w:r>
    </w:p>
    <w:p w14:paraId="37F59462">
      <w:r>
        <w:rPr>
          <w:b w:val="0"/>
          <w:sz w:val="21"/>
        </w:rPr>
        <w:t>For a reproducible EDA extension, inspect sample images from all ten labels, print dataset dimensions, count examples per label, and display pixel-intensity summaries. The supplied project contains sample drawing images and a model-preprocessing preview. These are visual artefacts, but they should not be described as a complete statistical EDA unless the corresponding counts and plots have actually been generated.</w:t>
      </w:r>
    </w:p>
    <w:p w14:paraId="14F4D4BE">
      <w:pPr>
        <w:pStyle w:val="3"/>
      </w:pPr>
      <w:r>
        <w:rPr>
          <w:b/>
          <w:color w:val="1F4E79"/>
        </w:rPr>
        <w:t>3.5 Summary of EDA Findings</w:t>
      </w:r>
    </w:p>
    <w:p w14:paraId="2E403A27">
      <w:r>
        <w:rPr>
          <w:b w:val="0"/>
          <w:sz w:val="21"/>
        </w:rPr>
        <w:t>The input format is image-based and the target is a categorical label with ten classes. Preprocessing consistency is central to prediction quality: user drawings must be transformed into the same shape and approximate visual convention expected by the model. The project includes a preview of the processed input to help inspect this step.</w:t>
      </w:r>
    </w:p>
    <w:p w14:paraId="33DF9D57">
      <w:pPr>
        <w:jc w:val="center"/>
      </w:pPr>
      <w:r>
        <w:rPr>
          <w:b/>
          <w:sz w:val="21"/>
        </w:rPr>
        <w:t>Sample input image: digit 2</w:t>
      </w:r>
    </w:p>
    <w:p w14:paraId="7812821A">
      <w:pPr>
        <w:jc w:val="center"/>
      </w:pPr>
      <w:r>
        <w:rPr>
          <w:sz w:val="21"/>
        </w:rPr>
        <w:drawing>
          <wp:inline distT="0" distB="0" distL="114300" distR="114300">
            <wp:extent cx="1828800" cy="1028700"/>
            <wp:effectExtent l="0" t="0" r="0" b="7620"/>
            <wp:docPr id="1706160795" name="Picture 170616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5" name="Picture 1706160795"/>
                    <pic:cNvPicPr>
                      <a:picLocks noChangeAspect="1"/>
                    </pic:cNvPicPr>
                  </pic:nvPicPr>
                  <pic:blipFill>
                    <a:blip r:embed="rId9"/>
                    <a:stretch>
                      <a:fillRect/>
                    </a:stretch>
                  </pic:blipFill>
                  <pic:spPr>
                    <a:xfrm>
                      <a:off x="0" y="0"/>
                      <a:ext cx="1828800" cy="1028700"/>
                    </a:xfrm>
                    <a:prstGeom prst="rect">
                      <a:avLst/>
                    </a:prstGeom>
                  </pic:spPr>
                </pic:pic>
              </a:graphicData>
            </a:graphic>
          </wp:inline>
        </w:drawing>
      </w:r>
    </w:p>
    <w:p w14:paraId="111B8D6F">
      <w:pPr>
        <w:jc w:val="center"/>
      </w:pPr>
      <w:r>
        <w:rPr>
          <w:b/>
          <w:sz w:val="21"/>
        </w:rPr>
        <w:t>Sample input image: digit 3</w:t>
      </w:r>
    </w:p>
    <w:p w14:paraId="2BD508E6">
      <w:pPr>
        <w:jc w:val="center"/>
      </w:pPr>
      <w:r>
        <w:rPr>
          <w:sz w:val="21"/>
        </w:rPr>
        <w:drawing>
          <wp:inline distT="0" distB="0" distL="114300" distR="114300">
            <wp:extent cx="1828800" cy="1028700"/>
            <wp:effectExtent l="0" t="0" r="0" b="7620"/>
            <wp:docPr id="1706160796" name="Picture 170616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6" name="Picture 1706160796"/>
                    <pic:cNvPicPr>
                      <a:picLocks noChangeAspect="1"/>
                    </pic:cNvPicPr>
                  </pic:nvPicPr>
                  <pic:blipFill>
                    <a:blip r:embed="rId10"/>
                    <a:stretch>
                      <a:fillRect/>
                    </a:stretch>
                  </pic:blipFill>
                  <pic:spPr>
                    <a:xfrm>
                      <a:off x="0" y="0"/>
                      <a:ext cx="1828800" cy="1028700"/>
                    </a:xfrm>
                    <a:prstGeom prst="rect">
                      <a:avLst/>
                    </a:prstGeom>
                  </pic:spPr>
                </pic:pic>
              </a:graphicData>
            </a:graphic>
          </wp:inline>
        </w:drawing>
      </w:r>
    </w:p>
    <w:p w14:paraId="43C2C23C">
      <w:pPr>
        <w:jc w:val="center"/>
      </w:pPr>
      <w:r>
        <w:rPr>
          <w:b/>
          <w:sz w:val="21"/>
        </w:rPr>
        <w:t>Model preprocessing preview</w:t>
      </w:r>
    </w:p>
    <w:p w14:paraId="3F22A930">
      <w:pPr>
        <w:jc w:val="center"/>
      </w:pPr>
      <w:r>
        <w:rPr>
          <w:sz w:val="21"/>
        </w:rPr>
        <w:drawing>
          <wp:inline distT="0" distB="0" distL="114300" distR="114300">
            <wp:extent cx="1828800" cy="1828800"/>
            <wp:effectExtent l="0" t="0" r="0" b="0"/>
            <wp:docPr id="1706160797" name="Picture 170616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7" name="Picture 1706160797"/>
                    <pic:cNvPicPr>
                      <a:picLocks noChangeAspect="1"/>
                    </pic:cNvPicPr>
                  </pic:nvPicPr>
                  <pic:blipFill>
                    <a:blip r:embed="rId11"/>
                    <a:stretch>
                      <a:fillRect/>
                    </a:stretch>
                  </pic:blipFill>
                  <pic:spPr>
                    <a:xfrm>
                      <a:off x="0" y="0"/>
                      <a:ext cx="1828800" cy="1828800"/>
                    </a:xfrm>
                    <a:prstGeom prst="rect">
                      <a:avLst/>
                    </a:prstGeom>
                  </pic:spPr>
                </pic:pic>
              </a:graphicData>
            </a:graphic>
          </wp:inline>
        </w:drawing>
      </w:r>
    </w:p>
    <w:p w14:paraId="3B9435C6">
      <w:pPr>
        <w:pStyle w:val="2"/>
      </w:pPr>
      <w:r>
        <w:rPr>
          <w:b/>
          <w:color w:val="1F4E79"/>
        </w:rPr>
        <w:t>4. Algorithm Selection and Implementation</w:t>
      </w:r>
    </w:p>
    <w:p w14:paraId="6067E61A">
      <w:pPr>
        <w:pStyle w:val="3"/>
      </w:pPr>
      <w:r>
        <w:rPr>
          <w:b/>
          <w:color w:val="1F4E79"/>
        </w:rPr>
        <w:t>4.1 Principal Component Analysis (PCA)</w:t>
      </w:r>
    </w:p>
    <w:p w14:paraId="5B58DE80">
      <w:r>
        <w:rPr>
          <w:b w:val="0"/>
          <w:sz w:val="21"/>
        </w:rPr>
        <w:t>A flattened 28 × 28 grayscale image contains 784 pixel features. PCA projects correlated features into a smaller set of components that capture directions of high variance. In this project, PCA is used as a dimensionality-reduction step before the classifier. PCA is an unsupervised transformation, although it is used here within a supervised classification pipeline. The number of retained components should be taken from the actual training code.</w:t>
      </w:r>
    </w:p>
    <w:p w14:paraId="0ADF2515">
      <w:pPr>
        <w:pStyle w:val="3"/>
      </w:pPr>
      <w:r>
        <w:rPr>
          <w:b/>
          <w:color w:val="1F4E79"/>
        </w:rPr>
        <w:t>4.2 Support Vector Machine (SVM)</w:t>
      </w:r>
    </w:p>
    <w:p w14:paraId="4088B62B">
      <w:r>
        <w:rPr>
          <w:b w:val="0"/>
          <w:sz w:val="21"/>
        </w:rPr>
        <w:t>The main classifier is an SVM with an RBF kernel. SVM learns a decision function that separates classes in a transformed feature space; the RBF kernel allows non-linear boundaries. The model is trained on labelled digit examples and predicts one of ten digit classes for a processed input image.</w:t>
      </w:r>
    </w:p>
    <w:p w14:paraId="720E41AD">
      <w:pPr>
        <w:pStyle w:val="3"/>
      </w:pPr>
      <w:r>
        <w:rPr>
          <w:b/>
          <w:color w:val="1F4E79"/>
        </w:rPr>
        <w:t>4.3 Logistic Regression Baseline</w:t>
      </w:r>
    </w:p>
    <w:p w14:paraId="3C5BEB65">
      <w:r>
        <w:rPr>
          <w:b w:val="0"/>
          <w:sz w:val="21"/>
        </w:rPr>
        <w:t>The training script also fits Logistic Regression for comparison. For ten classes, Logistic Regression can model class scores and convert them into class probabilities using the configured scikit-learn formulation. Comparing it with SVM provides a baseline for discussing model choice rather than assuming one algorithm is always better.</w:t>
      </w:r>
    </w:p>
    <w:p w14:paraId="31583820">
      <w:pPr>
        <w:pStyle w:val="3"/>
      </w:pPr>
      <w:r>
        <w:rPr>
          <w:b/>
          <w:color w:val="1F4E79"/>
        </w:rPr>
        <w:t>4.4 End-to-End Prediction Flow</w:t>
      </w:r>
    </w:p>
    <w:p w14:paraId="04F1D71C">
      <w:r>
        <w:rPr>
          <w:b w:val="0"/>
          <w:sz w:val="21"/>
        </w:rPr>
        <w:t>The user draws a single digit on the Streamlit canvas.</w:t>
      </w:r>
    </w:p>
    <w:p w14:paraId="489D066B">
      <w:r>
        <w:rPr>
          <w:b w:val="0"/>
          <w:sz w:val="21"/>
        </w:rPr>
        <w:t>The app obtains the canvas image and the preprocessing code isolates the drawn content.</w:t>
      </w:r>
    </w:p>
    <w:p w14:paraId="326BA9B3">
      <w:r>
        <w:rPr>
          <w:b w:val="0"/>
          <w:sz w:val="21"/>
        </w:rPr>
        <w:t>The image is resized and centred, then converted to the feature representation expected by the trained pipeline.</w:t>
      </w:r>
    </w:p>
    <w:p w14:paraId="2B3B4FDE">
      <w:r>
        <w:rPr>
          <w:b w:val="0"/>
          <w:sz w:val="21"/>
        </w:rPr>
        <w:t>The saved model performs inference and returns a predicted digit.</w:t>
      </w:r>
    </w:p>
    <w:p w14:paraId="1F17A475">
      <w:r>
        <w:rPr>
          <w:b w:val="0"/>
          <w:sz w:val="21"/>
        </w:rPr>
        <w:t>The interface displays the predicted class and relevant visual/evaluation information.</w:t>
      </w:r>
    </w:p>
    <w:p w14:paraId="5E54BEF2">
      <w:pPr>
        <w:pStyle w:val="3"/>
      </w:pPr>
      <w:r>
        <w:rPr>
          <w:b/>
          <w:color w:val="1F4E79"/>
        </w:rPr>
        <w:t>4.5 Training–Serving Boundary</w:t>
      </w:r>
    </w:p>
    <w:p w14:paraId="746971AA">
      <w:r>
        <w:rPr>
          <w:b w:val="0"/>
          <w:sz w:val="21"/>
        </w:rPr>
        <w:t>Training is performed by train_model.py and model artefacts are saved under models/. During normal app use, app.py loads the saved artefact and calls the reusable prediction code. This separation avoids retraining for every prediction. A key risk is training-serving skew: if preprocessing used for a drawing differs from preprocessing used during training, predictions can degrade. The preprocessing preview helps inspect the served input, but it is not a full production monitoring system.</w:t>
      </w:r>
    </w:p>
    <w:p w14:paraId="4F4835E6">
      <w:pPr>
        <w:pStyle w:val="3"/>
      </w:pPr>
      <w:r>
        <w:rPr>
          <w:b/>
          <w:color w:val="1F4E79"/>
        </w:rPr>
        <w:t>4.6 Model Evaluation</w:t>
      </w:r>
    </w:p>
    <w:p w14:paraId="05B04317">
      <w:r>
        <w:rPr>
          <w:b w:val="0"/>
          <w:sz w:val="21"/>
        </w:rPr>
        <w:t>The project saves evaluation metrics in models/metrics.json and includes a model-evaluation view in the Streamlit app. The final report should quote actual values generated by the training script. Useful classification measures include accuracy, precision, recall, F1-score, and a confusion matrix; only metrics present in the implementation should be reported as measured results. Future improvements include stratified cross-validation, systematic hyperparameter search, and probability calibration.</w:t>
      </w:r>
    </w:p>
    <w:p w14:paraId="32020988">
      <w:pPr>
        <w:pStyle w:val="3"/>
      </w:pPr>
      <w:r>
        <w:rPr>
          <w:b/>
          <w:color w:val="1F4E79"/>
        </w:rPr>
        <w:t>4.7 Software and Project Structure</w:t>
      </w:r>
    </w:p>
    <w:p w14:paraId="75637ED4">
      <w:r>
        <w:rPr>
          <w:b w:val="0"/>
          <w:sz w:val="21"/>
        </w:rPr>
        <w:t>• basic-code/: standalone digit-recognition script, saved model, and sample images.</w:t>
      </w:r>
    </w:p>
    <w:p w14:paraId="4BE79716">
      <w:r>
        <w:rPr>
          <w:b w:val="0"/>
          <w:sz w:val="21"/>
        </w:rPr>
        <w:t>• web-app/: Streamlit interface, reusable recogniser, training script, requirements file, and model artefacts.</w:t>
      </w:r>
    </w:p>
    <w:p w14:paraId="2E522B49">
      <w:r>
        <w:rPr>
          <w:b w:val="0"/>
          <w:sz w:val="21"/>
        </w:rPr>
        <w:t>• README.md: project overview and run instructions.</w:t>
      </w:r>
    </w:p>
    <w:p w14:paraId="119E926F">
      <w:r>
        <w:rPr>
          <w:b w:val="0"/>
          <w:sz w:val="21"/>
        </w:rPr>
        <w:t>• ML-Abstract.pdf: project abstract document.</w:t>
      </w:r>
    </w:p>
    <w:p w14:paraId="5B96723B">
      <w:r>
        <w:rPr>
          <w:b w:val="0"/>
          <w:sz w:val="21"/>
        </w:rPr>
        <w:t>The web app is started from the web-app directory with: python -m streamlit run app.py. Dependencies are installed from that directory's requirements.txt. The standalone script should be run according to its supported command-line options and dependency requirements.</w:t>
      </w:r>
    </w:p>
    <w:p w14:paraId="49F8FFDA">
      <w:pPr>
        <w:pStyle w:val="2"/>
      </w:pPr>
      <w:r>
        <w:rPr>
          <w:b/>
          <w:color w:val="1F4E79"/>
        </w:rPr>
        <w:t>5. Conclusion</w:t>
      </w:r>
    </w:p>
    <w:p w14:paraId="22DCBD4F">
      <w:r>
        <w:rPr>
          <w:b w:val="0"/>
          <w:sz w:val="21"/>
        </w:rPr>
        <w:t>This case study demonstrates a classical supervised-learning solution for single handwritten digit recognition. The project combines PCA-based dimensionality reduction, an RBF-kernel SVM classifier, a Logistic Regression comparison, image preprocessing, saved model artefacts, and an interactive Streamlit canvas. It illustrates how a model moves from dataset preparation and training into a user-facing prediction workflow. The most important implementation consideration is keeping preprocessing consistent between training and inference. Future work could add a verified benchmark table, richer EDA plots, cross-validation and hyperparameter tuning, a FastAPI endpoint, and monitoring for latency or input drift. These future extensions are not claimed as completed features.</w:t>
      </w:r>
    </w:p>
    <w:p w14:paraId="1E6C5F57">
      <w:pPr>
        <w:pStyle w:val="2"/>
      </w:pPr>
      <w:r>
        <w:rPr>
          <w:b/>
          <w:color w:val="1F4E79"/>
        </w:rPr>
        <w:t>References</w:t>
      </w:r>
    </w:p>
    <w:p w14:paraId="614FCE45">
      <w:r>
        <w:rPr>
          <w:b w:val="0"/>
          <w:sz w:val="21"/>
        </w:rPr>
        <w:t>[1] Y. LeCun, C. Cortes, and C. J. Burges, “The MNIST handwritten digit database,” 1998.</w:t>
      </w:r>
    </w:p>
    <w:p w14:paraId="3F91C10C">
      <w:r>
        <w:rPr>
          <w:b w:val="0"/>
          <w:sz w:val="21"/>
        </w:rPr>
        <w:t>[2] F. Pedregosa et al., “Scikit-learn: Machine learning in Python,” Journal of Machine Learning Research, vol. 12, pp. 2825–2830, 2011.</w:t>
      </w:r>
    </w:p>
    <w:p w14:paraId="3C7EA233">
      <w:r>
        <w:rPr>
          <w:b w:val="0"/>
          <w:sz w:val="21"/>
        </w:rPr>
        <w:t>[3] C. Cortes and V. Vapnik, “Support-vector networks,” Machine Learning, vol. 20, no. 3, pp. 273–297, 1995.</w:t>
      </w:r>
    </w:p>
    <w:p w14:paraId="676D4CE7">
      <w:r>
        <w:rPr>
          <w:b w:val="0"/>
          <w:sz w:val="21"/>
        </w:rPr>
        <w:t>[4] I. T. Jolliffe, Principal Component Analysis, 2nd ed. Springer, 2002.</w:t>
      </w:r>
    </w:p>
    <w:p w14:paraId="27FE3F08">
      <w:r>
        <w:rPr>
          <w:b w:val="0"/>
          <w:sz w:val="21"/>
        </w:rPr>
        <w:t>Note: Verify bibliographic details and add any additional papers actually consulted before final submission.</w:t>
      </w:r>
    </w:p>
    <w:p w14:paraId="337A1249">
      <w:pPr>
        <w:tabs>
          <w:tab w:val="right" w:leader="dot" w:pos="8660"/>
        </w:tabs>
        <w:spacing w:before="90" w:after="70"/>
        <w:ind w:right="500"/>
        <w:rPr>
          <w:b/>
          <w:bCs/>
        </w:rPr>
      </w:pPr>
      <w:r>
        <w:rPr>
          <w:b/>
          <w:bCs/>
          <w:sz w:val="21"/>
        </w:rPr>
        <w:t xml:space="preserve">Conclusion </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sz w:val="21"/>
          <w:lang w:val="en-US"/>
        </w:rPr>
        <w:t xml:space="preserve">Signature of the Team members                    </w:t>
      </w:r>
      <w:r>
        <w:rPr>
          <w:rFonts w:ascii="Times New Roman" w:hAnsi="Times New Roman" w:cs="Times New Roman"/>
          <w:b/>
          <w:bCs/>
          <w:sz w:val="21"/>
          <w:lang w:val="en-US"/>
        </w:rPr>
        <w:tab/>
      </w:r>
      <w:r>
        <w:rPr>
          <w:rFonts w:ascii="Times New Roman" w:hAnsi="Times New Roman" w:cs="Times New Roman"/>
          <w:b/>
          <w:bCs/>
          <w:sz w:val="21"/>
          <w:lang w:val="en-US"/>
        </w:rPr>
        <w:tab/>
      </w:r>
      <w:r>
        <w:rPr>
          <w:rFonts w:ascii="Times New Roman" w:hAnsi="Times New Roman" w:cs="Times New Roman"/>
          <w:b/>
          <w:bCs/>
          <w:sz w:val="21"/>
          <w:lang w:val="en-US"/>
        </w:rPr>
        <w:tab/>
      </w:r>
      <w:r>
        <w:rPr>
          <w:rFonts w:ascii="Times New Roman" w:hAnsi="Times New Roman" w:cs="Times New Roman"/>
          <w:b/>
          <w:bCs/>
          <w:sz w:val="21"/>
          <w:lang w:val="en-US"/>
        </w:rPr>
        <w:tab/>
      </w:r>
      <w:r>
        <w:rPr>
          <w:rFonts w:ascii="Times New Roman" w:hAnsi="Times New Roman" w:cs="Times New Roman"/>
          <w:b/>
          <w:bCs/>
          <w:sz w:val="21"/>
          <w:lang w:val="en-US"/>
        </w:rPr>
        <w:tab/>
      </w:r>
      <w:r>
        <w:rPr>
          <w:rFonts w:ascii="Times New Roman" w:hAnsi="Times New Roman" w:cs="Times New Roman"/>
          <w:b/>
          <w:bCs/>
          <w:sz w:val="21"/>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3E59F0E8">
      <w:pPr>
        <w:jc w:val="right"/>
        <w:rPr>
          <w:b/>
          <w:bCs/>
        </w:rPr>
      </w:pPr>
      <w:r>
        <w:rPr>
          <w:rFonts w:ascii="Times New Roman" w:hAnsi="Times New Roman" w:cs="Times New Roman"/>
          <w:b/>
          <w:bCs/>
          <w:sz w:val="21"/>
          <w:lang w:val="en-US"/>
        </w:rPr>
        <w:tab/>
      </w:r>
      <w:r>
        <w:rPr>
          <w:rFonts w:ascii="Times New Roman" w:hAnsi="Times New Roman" w:cs="Times New Roman"/>
          <w:b/>
          <w:bCs/>
          <w:sz w:val="21"/>
          <w:lang w:val="en-US"/>
        </w:rPr>
        <w:t xml:space="preserve">     </w:t>
      </w:r>
    </w:p>
    <w:sectPr>
      <w:footerReference r:id="rId5" w:type="default"/>
      <w:pgSz w:w="12240" w:h="15840"/>
      <w:pgMar w:top="1008" w:right="1440" w:bottom="1008"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5975D">
    <w:pPr>
      <w:jc w:val="center"/>
    </w:pPr>
    <w:r>
      <w:rPr>
        <w:color w:val="646464"/>
        <w:sz w:val="16"/>
      </w:rPr>
      <w:t>Handwritten Digit Recogniser | Machine Learning Case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5EFC41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qFormat/>
    <w:uiPriority w:val="9"/>
    <w:rPr>
      <w:rFonts w:eastAsiaTheme="majorEastAsia" w:cstheme="majorBidi"/>
      <w:i/>
      <w:iCs/>
      <w:color w:val="104862" w:themeColor="accent1" w:themeShade="BF"/>
      <w:lang w:val="en-GB"/>
    </w:rPr>
  </w:style>
  <w:style w:type="character" w:customStyle="1" w:styleId="20">
    <w:name w:val="Heading 5 Char"/>
    <w:basedOn w:val="11"/>
    <w:link w:val="6"/>
    <w:semiHidden/>
    <w:qFormat/>
    <w:uiPriority w:val="9"/>
    <w:rPr>
      <w:rFonts w:eastAsiaTheme="majorEastAsia" w:cstheme="majorBidi"/>
      <w:color w:val="104862" w:themeColor="accent1" w:themeShade="BF"/>
      <w:lang w:val="en-GB"/>
    </w:rPr>
  </w:style>
  <w:style w:type="character" w:customStyle="1" w:styleId="21">
    <w:name w:val="Heading 6 Char"/>
    <w:basedOn w:val="11"/>
    <w:link w:val="7"/>
    <w:semiHidden/>
    <w:qFormat/>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8</Pages>
  <Words>1801</Words>
  <Characters>10854</Characters>
  <Lines>7</Lines>
  <Paragraphs>2</Paragraphs>
  <TotalTime>6</TotalTime>
  <ScaleCrop>false</ScaleCrop>
  <LinksUpToDate>false</LinksUpToDate>
  <CharactersWithSpaces>12651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Boomika Sre Gudivada</cp:lastModifiedBy>
  <dcterms:modified xsi:type="dcterms:W3CDTF">2026-10-12T17:01:28Z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eyJoZGlkIjoiMjhmNTA5ZDg3ZjZkZGFhNzhhNGUwMjQzNGEyNWQ4NTkiLCJ1c2VySWQiOiIxNjY2NzQxMDk0ODE0In0=</vt:lpwstr>
  </property>
  <property fmtid="{D5CDD505-2E9C-101B-9397-08002B2CF9AE}" pid="3" name="KSOProductBuildVer">
    <vt:lpwstr>1033-12.1.0.28485</vt:lpwstr>
  </property>
  <property fmtid="{D5CDD505-2E9C-101B-9397-08002B2CF9AE}" pid="4" name="ICV">
    <vt:lpwstr>5D1F709DCBDB478898DECF2F2B1C6388_12</vt:lpwstr>
  </property>
</Properties>
</file>