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62</w:t>
      </w:r>
    </w:p>
    <w:p>
      <w:pPr>
        <w:pStyle w:val="Author"/>
      </w:pPr>
      <w:r>
        <w:t xml:space="preserve">Феоктистов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r>
          <m:t>x</m:t>
        </m:r>
        <m:r>
          <m:rPr>
            <m:sty m:val="p"/>
          </m:rPr>
          <m:t>=</m:t>
        </m:r>
        <m:r>
          <m:t>8</m:t>
        </m:r>
        <m:r>
          <m:rPr>
            <m:nor/>
            <m:sty m:val="p"/>
          </m:rPr>
          <m:t>sin</m:t>
        </m:r>
        <m:r>
          <m:t>7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80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1.2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w2 = 4.3</w:t>
      </w:r>
      <w:r>
        <w:br/>
      </w:r>
      <w:r>
        <w:rPr>
          <w:rStyle w:val="VerbatimChar"/>
        </w:rPr>
        <w:t xml:space="preserve">tmax = 80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[0.8, -1.2]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5</w:t>
      </w:r>
      <w:r>
        <w:br/>
      </w:r>
      <w:r>
        <w:rPr>
          <w:rStyle w:val="VerbatimChar"/>
        </w:rPr>
        <w:t xml:space="preserve">g = 6</w:t>
      </w:r>
      <w:r>
        <w:br/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9 </w:t>
      </w:r>
      <w:r>
        <w:br/>
      </w:r>
      <w:r>
        <w:rPr>
          <w:rStyle w:val="VerbatimChar"/>
        </w:rPr>
        <w:t xml:space="preserve">g = 10</w:t>
      </w:r>
      <w:r>
        <w:br/>
      </w:r>
      <w:r>
        <w:br/>
      </w:r>
      <w:r>
        <w:rPr>
          <w:rStyle w:val="VerbatimChar"/>
        </w:rPr>
        <w:t xml:space="preserve">def f(t): </w:t>
      </w:r>
      <w:r>
        <w:br/>
      </w:r>
      <w:r>
        <w:rPr>
          <w:rStyle w:val="VerbatimChar"/>
        </w:rPr>
        <w:t xml:space="preserve">    f = math.sin(7*t)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+ f(t)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fig.savefig('05.png',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fig2.savefig('06.png', dpi = 600)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Феоктистов Данила Алексеевич НФИбд-01-18</dc:creator>
  <dc:language>ru-RU</dc:language>
  <cp:keywords/>
  <dcterms:created xsi:type="dcterms:W3CDTF">2021-03-01T13:42:16Z</dcterms:created>
  <dcterms:modified xsi:type="dcterms:W3CDTF">2021-03-01T13:42:16Z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62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