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гармонических колебаний.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</w:t>
      </w:r>
      <w:r>
        <w:t xml:space="preserve"> </w:t>
      </w:r>
      <w:r>
        <w:t xml:space="preserve">действует внешняя сила, построить его решение. Построить фазовый портрет</w:t>
      </w:r>
      <w:r>
        <w:t xml:space="preserve"> </w:t>
      </w:r>
      <w:r>
        <w:t xml:space="preserve">колебаний с действием внешней силы.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</w:t>
      </w:r>
      <w:r>
        <w:t xml:space="preserve"> </w:t>
      </w:r>
      <w:r>
        <w:t xml:space="preserve">времени многих систем в физике, химии, биологии и других науках при определенных предположениях</w:t>
      </w:r>
      <w:r>
        <w:t xml:space="preserve"> </w:t>
      </w:r>
      <w:r>
        <w:t xml:space="preserve">можно описать одним и тем же дифференциальным уравнением, которое в теории колебаний</w:t>
      </w:r>
      <w:r>
        <w:t xml:space="preserve"> </w:t>
      </w:r>
      <w:r>
        <w:t xml:space="preserve">выступает в качестве основной модели. Эта модель называется линейным гармоническим</w:t>
      </w:r>
      <w:r>
        <w:t xml:space="preserve"> </w:t>
      </w:r>
      <w:r>
        <w:t xml:space="preserve">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</w:t>
      </w:r>
      <w:r>
        <w:t xml:space="preserve"> </w:t>
      </w:r>
      <w:r>
        <w:t xml:space="preserve">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 Это уравнение есть линейное</w:t>
      </w:r>
      <w:r>
        <w:t xml:space="preserve"> </w:t>
      </w:r>
      <w:r>
        <w:t xml:space="preserve">однородное дифференциальное уравнение второго порядка и оно является примером линейной</w:t>
      </w:r>
      <w:r>
        <w:t xml:space="preserve"> </w:t>
      </w:r>
      <w:r>
        <w:t xml:space="preserve">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</w:t>
      </w:r>
      <w:r>
        <w:t xml:space="preserve"> </w:t>
      </w:r>
      <w:r>
        <w:t xml:space="preserve">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</w:t>
      </w:r>
      <w:r>
        <w:t xml:space="preserve"> </w:t>
      </w:r>
      <w:r>
        <w:t xml:space="preserve">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  <m:r>
                      <m:t> 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</w:t>
      </w:r>
      <w:r>
        <w:t xml:space="preserve"> </w:t>
      </w:r>
      <w:r>
        <w:t xml:space="preserve">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</w:t>
      </w:r>
      <w:r>
        <w:t xml:space="preserve"> </w:t>
      </w:r>
      <w:r>
        <w:t xml:space="preserve">системы. Решению уравнения движения как функции времени отвечает гладкая кривая в фазовой</w:t>
      </w:r>
      <w:r>
        <w:t xml:space="preserve"> </w:t>
      </w:r>
      <w:r>
        <w:t xml:space="preserve">плоскости. Она называется фазовой траекторией. Если множество различных решений</w:t>
      </w:r>
      <w:r>
        <w:t xml:space="preserve"> </w:t>
      </w:r>
      <w:r>
        <w:t xml:space="preserve">(соответствующих различным начальным условиям) изобразить на одной фазовой плоскости, возникает</w:t>
      </w:r>
      <w:r>
        <w:t xml:space="preserve"> </w:t>
      </w:r>
      <w:r>
        <w:t xml:space="preserve">общая картина поведения системы. Такую картину, образованную набором фазовых траекторий,</w:t>
      </w:r>
      <w:r>
        <w:t xml:space="preserve"> </w:t>
      </w:r>
      <w:r>
        <w:t xml:space="preserve">называют фазовым портретом.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Условие задачи (рис. 1)</w:t>
      </w:r>
    </w:p>
    <w:p>
      <w:pPr>
        <w:pStyle w:val="CaptionedFigure"/>
      </w:pPr>
      <w:bookmarkStart w:id="24" w:name="fig:001"/>
      <w:r>
        <w:drawing>
          <wp:inline>
            <wp:extent cx="5334000" cy="2244077"/>
            <wp:effectExtent b="0" l="0" r="0" t="0"/>
            <wp:docPr descr="Figure 1: Условие" title="" id="1" name="Picture"/>
            <a:graphic>
              <a:graphicData uri="http://schemas.openxmlformats.org/drawingml/2006/picture">
                <pic:pic>
                  <pic:nvPicPr>
                    <pic:cNvPr descr="image/ус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Условие</w:t>
      </w:r>
    </w:p>
    <w:p>
      <w:pPr>
        <w:pStyle w:val="BodyText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br/>
      </w:r>
      <w:r>
        <w:rPr>
          <w:rStyle w:val="VerbatimChar"/>
        </w:rPr>
        <w:t xml:space="preserve">w = 4.3</w:t>
      </w:r>
      <w:r>
        <w:br/>
      </w:r>
      <w:r>
        <w:rPr>
          <w:rStyle w:val="VerbatimChar"/>
        </w:rPr>
        <w:t xml:space="preserve">tmax = 61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[-0.3, 1.3]</w:t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return[y2, -w*y1]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 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w = 20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def W(y,t):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return[y2, -w*w*y1 -g*y2]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w = 8.8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def f(t):</w:t>
      </w:r>
      <w:r>
        <w:br/>
      </w:r>
      <w:r>
        <w:rPr>
          <w:rStyle w:val="VerbatimChar"/>
        </w:rPr>
        <w:t xml:space="preserve">    f =0.7*math.sin(3*t)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rPr>
          <w:rStyle w:val="VerbatimChar"/>
        </w:rPr>
        <w:t xml:space="preserve">def W(y,t):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 [y2, -w*w*y1-g*y2+f(t)]</w:t>
      </w:r>
      <w:r>
        <w:br/>
      </w:r>
      <w:r>
        <w:rPr>
          <w:rStyle w:val="VerbatimChar"/>
        </w:rPr>
        <w:t xml:space="preserve">t = np.arange(0,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plt.figure()</w:t>
      </w:r>
      <w:r>
        <w:br/>
      </w:r>
      <w:r>
        <w:rPr>
          <w:rStyle w:val="VerbatimChar"/>
        </w:rPr>
        <w:t xml:space="preserve">plt.plot(t,y11)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plt.plot(y11,y21)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                          </w:t>
      </w:r>
    </w:p>
    <w:p>
      <w:pPr>
        <w:pStyle w:val="CaptionedFigure"/>
      </w:pPr>
      <w:bookmarkStart w:id="26" w:name="fig:002"/>
      <w:r>
        <w:drawing>
          <wp:inline>
            <wp:extent cx="5092700" cy="3302000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3"/>
      <w:r>
        <w:drawing>
          <wp:inline>
            <wp:extent cx="5080000" cy="3251200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ф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CaptionedFigure"/>
      </w:pPr>
      <w:bookmarkStart w:id="30" w:name="fig:004"/>
      <w:r>
        <w:drawing>
          <wp:inline>
            <wp:extent cx="5130800" cy="3263900"/>
            <wp:effectExtent b="0" l="0" r="0" t="0"/>
            <wp:docPr descr="Figure 4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2</w:t>
      </w:r>
    </w:p>
    <w:p>
      <w:pPr>
        <w:pStyle w:val="CaptionedFigure"/>
      </w:pPr>
      <w:bookmarkStart w:id="32" w:name="fig:005"/>
      <w:r>
        <w:drawing>
          <wp:inline>
            <wp:extent cx="4826000" cy="3390900"/>
            <wp:effectExtent b="0" l="0" r="0" t="0"/>
            <wp:docPr descr="Figure 5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ф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2</w:t>
      </w:r>
    </w:p>
    <w:p>
      <w:pPr>
        <w:pStyle w:val="CaptionedFigure"/>
      </w:pPr>
      <w:bookmarkStart w:id="34" w:name="fig:006"/>
      <w:r>
        <w:drawing>
          <wp:inline>
            <wp:extent cx="5156200" cy="3378200"/>
            <wp:effectExtent b="0" l="0" r="0" t="0"/>
            <wp:docPr descr="Figure 6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3</w:t>
      </w:r>
    </w:p>
    <w:p>
      <w:pPr>
        <w:pStyle w:val="CaptionedFigure"/>
      </w:pPr>
      <w:bookmarkStart w:id="36" w:name="fig:007"/>
      <w:r>
        <w:drawing>
          <wp:inline>
            <wp:extent cx="4927600" cy="3263900"/>
            <wp:effectExtent b="0" l="0" r="0" t="0"/>
            <wp:docPr descr="Figure 7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ф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3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гармонических колебаний.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Шувалов Николай Константинович</dc:creator>
  <dc:language>ru-RU</dc:language>
  <cp:keywords/>
  <dcterms:created xsi:type="dcterms:W3CDTF">2021-03-06T16:50:51Z</dcterms:created>
  <dcterms:modified xsi:type="dcterms:W3CDTF">2021-03-06T16:50:51Z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