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DBF9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企业差旅政策（版本二）</w:t>
      </w:r>
    </w:p>
    <w:p w14:paraId="387D263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一、 核心理念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差旅是业务拓展的重要环节。本政策旨在为员工提供清晰、高效、人性化的差旅支持，在控制成本的同时，最大限度保障员工出行的舒适与灵活，激发业务活力。</w:t>
      </w:r>
    </w:p>
    <w:p w14:paraId="53ECDFA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二、 申请与备案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为提高效率，除重大或超预算出差需提前审批外，常规出差可采用“事前报备、事后确认”机制。员工通过移动办公端填写出差报备信息，部门负责人1小时内确认。紧急出差可事后补单，但须在报销前完成。</w:t>
      </w:r>
    </w:p>
    <w:p w14:paraId="04315C2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三、 出行安排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鼓励员工根据时间与成本最优原则自主选择交通工具。</w:t>
      </w:r>
    </w:p>
    <w:p w14:paraId="27B5ABC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飞机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：国内航班标准为经济舱。如早7点前或晚9点后航班，为保障员工休息，可报销机场至市区合理交通费用。</w:t>
      </w:r>
    </w:p>
    <w:p w14:paraId="022F6C4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高铁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：3小时以内车程默认二等座；超过3小时，可报销一等座。</w:t>
      </w:r>
    </w:p>
    <w:p w14:paraId="492E510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：允许使用网约车平台企业版，系统直接结算，免去个人垫付。因公机场接送，可使用专车服务。</w:t>
      </w:r>
    </w:p>
    <w:p w14:paraId="119E13D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  <w:bookmarkStart w:id="0" w:name="_GoBack"/>
      <w:bookmarkEnd w:id="0"/>
    </w:p>
    <w:p w14:paraId="5E8AAD6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四、 住宿安排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住宿标准实行“总额控制、超值自付”原则。员工可在公司合作的差旅平台预订酒店，享受协议价。公司不设死板的住宿限额，但鼓励选择性价比高的酒店。单人单晚住宿费用原则上不超过所在城市协议酒店均价的20%。连续出差超过7天，可选择公寓式酒店或短租，提升性价比。</w:t>
      </w:r>
    </w:p>
    <w:p w14:paraId="3930C0C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五、 补贴与福利</w:t>
      </w:r>
    </w:p>
    <w:p w14:paraId="6A690A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34B0E3F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300" w:leftChars="0" w:right="0" w:hanging="360" w:firstLineChars="0"/>
        <w:jc w:val="lef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差旅补贴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：每日发放误餐补贴100元，不再报销餐费。</w:t>
      </w:r>
    </w:p>
    <w:p w14:paraId="46B2E46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300" w:leftChars="0" w:right="0" w:hanging="36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弹性福利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：若员工选择非高峰时段出行（如周末返回），可额外获得半日调休；若为公司节省显著费用（如提前购票优惠），可将节省部分的10%作为奖励发放给员工。</w:t>
      </w:r>
    </w:p>
    <w:p w14:paraId="7194E7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2DC0F0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六、 报销与信用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出差结束后10个工作日内提交报销。员工享有报销信用额度，信用良好者可享受“免审核、优先付款”通道。财务部按比例抽查，确保合规。</w:t>
      </w:r>
    </w:p>
    <w:p w14:paraId="10883E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C2F58"/>
    <w:multiLevelType w:val="multilevel"/>
    <w:tmpl w:val="A01C2F58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1">
    <w:nsid w:val="B45C4AAA"/>
    <w:multiLevelType w:val="singleLevel"/>
    <w:tmpl w:val="B45C4A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4C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2026-04-01T13:15:01Z</dcterms:created>
  <dc:creator>boonya</dc:creator>
  <cp:lastModifiedBy>北风楚云</cp:lastModifiedBy>
  <dcterms:modified xsi:type="dcterms:W3CDTF">2026-04-01T13:16:52Z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eyJoZGlkIjoiMTljNGUyODFkYTAyNzg0ZDhiMjdlM2ZlOTI3MzA1N2EiLCJ1c2VySWQiOiIyNDYwNDczMjYifQ==</vt:lpwstr>
  </property>
  <property fmtid="{D5CDD505-2E9C-101B-9397-08002B2CF9AE}" pid="4" name="ICV">
    <vt:lpwstr>F35B90FD590041B7A615DF8801AB7165_12</vt:lpwstr>
  </property>
</Properties>
</file>