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color w:val="000000"/>
          <w:sz w:val="28"/>
          <w:szCs w:val="28"/>
        </w:rPr>
        <w:t xml:space="preserve">РОЗДІЛ 1. АНАЛІЗ ПРЕДМЕТНОЇ ОБЛАСТІ ТА ПОСТАНОВКА ЗАДАЧІ ДОСЛІДЖЕННЯ</w:t>
      </w:r>
    </w:p>
    <w:p>
      <w:pPr>
        <w:pStyle w:val="Heading2"/>
        <w:spacing w:after="120" w:before="240"/>
        <w:ind w:firstLine="709"/>
      </w:pPr>
      <w:r>
        <w:rPr>
          <w:rFonts w:ascii="Times New Roman" w:cs="Times New Roman" w:eastAsia="Times New Roman" w:hAnsi="Times New Roman"/>
          <w:b/>
          <w:bCs/>
          <w:color w:val="000000"/>
          <w:sz w:val="28"/>
          <w:szCs w:val="28"/>
        </w:rPr>
        <w:t xml:space="preserve">1.1. Актуальність вибраної теми дослідження</w:t>
      </w:r>
    </w:p>
    <w:p>
      <w:pPr>
        <w:spacing w:after="0" w:line="360"/>
        <w:ind w:firstLine="709"/>
        <w:jc w:val="both"/>
      </w:pPr>
      <w:r>
        <w:rPr>
          <w:rFonts w:ascii="Times New Roman" w:cs="Times New Roman" w:eastAsia="Times New Roman" w:hAnsi="Times New Roman"/>
          <w:sz w:val="28"/>
          <w:szCs w:val="28"/>
        </w:rPr>
        <w:t xml:space="preserve">У сервісах обліку читання каталог видань наповнюється вручну або скануванням штрихкоду ISBN, що потребує окремої дії для кожного примірника. Автоматизація цього процесу засобами комп’ютерного зору пов’язана з ресурсомісткими операціями: обробка одного зображення книжкової полиці потребує секунд процесорного часу та сотень мегабайтів оперативної пам’яті. Виконання таких операцій у межах синхронного HTTP-запиту збільшує затримку відповіді (latency) для всіх користувачів і обмежує горизонтальне масштабування. Ідентифікація видань залежить від зовнішнього бібліографічного API з квотами та змінною доступністю, тому без механізмів відмовостійкості (fault tolerance) відмова джерела спричиняє відмову функції розпізнавання.</w:t>
      </w:r>
    </w:p>
    <w:p>
      <w:pPr>
        <w:spacing w:after="0" w:line="360"/>
        <w:ind w:firstLine="709"/>
        <w:jc w:val="both"/>
      </w:pPr>
      <w:r>
        <w:rPr>
          <w:rFonts w:ascii="Times New Roman" w:cs="Times New Roman" w:eastAsia="Times New Roman" w:hAnsi="Times New Roman"/>
          <w:sz w:val="28"/>
          <w:szCs w:val="28"/>
        </w:rPr>
        <w:t xml:space="preserve">Показники гейміфікації (очки досвіду, серії днів читання, досягнення) є похідними від історії дій користувача: за асинхронної обробки виникає ризик втрати або повторного врахування подій, а зміна правил нарахування потребує перерахунку стану. Обробка фотографій та облікових даних висуває вимоги безпеки: обмеження частоти ресурсомістких запитів, видалення геолокаційних метаданих, захищене зберігання паролів і токенів. Отже, актуальним є розроблення архітектури, що поєднує асинхронну обробку зображень, гарантовану доставку подій, відмовостійкість інтеграцій і контроль безпеки на всіх етапах життєвого циклу програмного забезпечення.</w:t>
      </w:r>
    </w:p>
    <w:p>
      <w:pPr>
        <w:spacing w:after="0" w:line="360"/>
        <w:ind w:firstLine="709"/>
        <w:jc w:val="both"/>
      </w:pPr>
      <w:r>
        <w:rPr>
          <w:rFonts w:ascii="Times New Roman" w:cs="Times New Roman" w:eastAsia="Times New Roman" w:hAnsi="Times New Roman"/>
          <w:sz w:val="28"/>
          <w:szCs w:val="28"/>
        </w:rPr>
        <w:t xml:space="preserve">Об’єктом дослідження є процес автоматизованої ідентифікації друкованих видань за зображеннями книжкових полиць та асинхронної обробки подій читацької активності. Предметом дослідження є методи оптичного розпізнавання тексту та нечіткого зіставлення рядків, патерни подієво-орієнтованої архітектури (Transactional Outbox, Idempotent Consumer, CQRS) і механізми відмовостійкості (Circuit Breaker, Retry, Cache-Aside). Огляд цих методів і патернів наведено в підрозділі 1.2.</w:t>
      </w:r>
    </w:p>
    <w:p>
      <w:r>
        <w:br w:type="page"/>
      </w:r>
    </w:p>
    <w:p>
      <w:pPr>
        <w:pStyle w:val="Heading2"/>
        <w:spacing w:after="120" w:before="240"/>
        <w:ind w:firstLine="709"/>
      </w:pPr>
      <w:r>
        <w:rPr>
          <w:rFonts w:ascii="Times New Roman" w:cs="Times New Roman" w:eastAsia="Times New Roman" w:hAnsi="Times New Roman"/>
          <w:b/>
          <w:bCs/>
          <w:color w:val="000000"/>
          <w:sz w:val="28"/>
          <w:szCs w:val="28"/>
        </w:rPr>
        <w:t xml:space="preserve">1.2. Огляд сучасних підходів до вирішення відповідних завдань в межах обраного дослідження</w:t>
      </w:r>
    </w:p>
    <w:p>
      <w:pPr>
        <w:spacing w:after="0" w:line="360"/>
        <w:ind w:firstLine="709"/>
        <w:jc w:val="both"/>
      </w:pPr>
      <w:r>
        <w:rPr>
          <w:rFonts w:ascii="Times New Roman" w:cs="Times New Roman" w:eastAsia="Times New Roman" w:hAnsi="Times New Roman"/>
          <w:sz w:val="28"/>
          <w:szCs w:val="28"/>
        </w:rPr>
        <w:t xml:space="preserve">Задачі, що розв’язуються в межах роботи, належать до чотирьох груп: ідентифікація друкованих видань, нечітке зіставлення результатів розпізнавання з бібліографічними записами, обробка ресурсомістких операцій і підтримка похідного стану гейміфікації. Для кожної групи розглянуто наявні підходи та їхні обмеження.</w:t>
      </w:r>
    </w:p>
    <w:p>
      <w:pPr>
        <w:pStyle w:val="Heading3"/>
        <w:spacing w:after="120" w:before="240"/>
        <w:ind w:firstLine="709"/>
      </w:pPr>
      <w:r>
        <w:rPr>
          <w:rFonts w:ascii="Times New Roman" w:cs="Times New Roman" w:eastAsia="Times New Roman" w:hAnsi="Times New Roman"/>
          <w:b/>
          <w:bCs/>
          <w:color w:val="000000"/>
          <w:sz w:val="28"/>
          <w:szCs w:val="28"/>
        </w:rPr>
        <w:t xml:space="preserve">1.2.1. Ідентифікація друкованих видань</w:t>
      </w:r>
    </w:p>
    <w:p>
      <w:pPr>
        <w:spacing w:after="0" w:line="360"/>
        <w:ind w:firstLine="709"/>
        <w:jc w:val="both"/>
      </w:pPr>
      <w:r>
        <w:rPr>
          <w:rFonts w:ascii="Times New Roman" w:cs="Times New Roman" w:eastAsia="Times New Roman" w:hAnsi="Times New Roman"/>
          <w:sz w:val="28"/>
          <w:szCs w:val="28"/>
        </w:rPr>
        <w:t xml:space="preserve">Застосовуються три підходи. Ручне введення та пошук за назвою не потребують спеціальних засобів, однак трудомісткість зростає лінійно з кількістю примірників. Сканування штрихкоду EAN-13, що кодує ISBN (ISO 2108), забезпечує однозначну ідентифікацію, але також виконується для кожного примірника окремо й непридатне для видань, випущених до запровадження ISBN або без штрихкоду на обкладинці. Розпізнавання тексту на корінцях книг за одним зображенням полиці ідентифікує десятки видань за одну операцію.</w:t>
      </w:r>
    </w:p>
    <w:p>
      <w:pPr>
        <w:spacing w:after="0" w:line="360"/>
        <w:ind w:firstLine="709"/>
        <w:jc w:val="both"/>
      </w:pPr>
      <w:r>
        <w:rPr>
          <w:rFonts w:ascii="Times New Roman" w:cs="Times New Roman" w:eastAsia="Times New Roman" w:hAnsi="Times New Roman"/>
          <w:sz w:val="28"/>
          <w:szCs w:val="28"/>
        </w:rPr>
        <w:t xml:space="preserve">Розпізнавання тексту в природних сценах (scene text recognition) реалізується двоетапними конвеєрами: детектор локалізує текстові області довільної орієнтації, розпізнавач перетворює кожну область на рядок символів. Бібліотека Tesseract орієнтована на зображення документів із горизонтальним текстом і втрачає точність на повернутих і перспективно спотворених написах. EasyOCR поєднує детектор CRAFT і розпізнавач CRNN. PaddleOCR (конвеєр PP-OCR) поєднує детектор на основі Differentiable Binarization, класифікатор орієнтації та розпізнавач, має готові моделі для кириличних мов і виконується на CPU без спеціалізованого обладнання. Мультимодальні мовні моделі розпізнають корінці без окремого детектора, однак потребують передачі зображення стороннім сервісам або GPU-ресурсів і мають затримку відповіді в межах секунд на запит. Для роботи обрано PaddleOCR із готовими моделями без донавчання.</w:t>
      </w:r>
    </w:p>
    <w:p>
      <w:pPr>
        <w:pStyle w:val="Heading3"/>
        <w:spacing w:after="120" w:before="240"/>
        <w:ind w:firstLine="709"/>
      </w:pPr>
      <w:r>
        <w:rPr>
          <w:rFonts w:ascii="Times New Roman" w:cs="Times New Roman" w:eastAsia="Times New Roman" w:hAnsi="Times New Roman"/>
          <w:b/>
          <w:bCs/>
          <w:color w:val="000000"/>
          <w:sz w:val="28"/>
          <w:szCs w:val="28"/>
        </w:rPr>
        <w:t xml:space="preserve">1.2.2. Нечітке зіставлення з бібліографічними записами</w:t>
      </w:r>
    </w:p>
    <w:p>
      <w:pPr>
        <w:spacing w:after="0" w:line="360"/>
        <w:ind w:firstLine="709"/>
        <w:jc w:val="both"/>
      </w:pPr>
      <w:r>
        <w:rPr>
          <w:rFonts w:ascii="Times New Roman" w:cs="Times New Roman" w:eastAsia="Times New Roman" w:hAnsi="Times New Roman"/>
          <w:sz w:val="28"/>
          <w:szCs w:val="28"/>
        </w:rPr>
        <w:t xml:space="preserve">Результат розпізнавання містить помилки окремих символів, фрагменти назв і прізвищ авторів у довільному порядку. Для зіставлення з бібліографічними записами застосовуються метрики редакційної відстані (відстань Левенштейна та її нормалізовані варіанти) і токенні метрики (token sort ratio, token set ratio), стійкі до перестановки слів. Бібліотека RapidFuzz реалізує ці метрики з лінійною або близькою до лінійної складністю. Хибні збіги відсіюються порогом схожості, значення якого визначається експериментально на тестовому наборі зображень.</w:t>
      </w:r>
    </w:p>
    <w:p>
      <w:pPr>
        <w:pStyle w:val="Heading3"/>
        <w:spacing w:after="120" w:before="240"/>
        <w:ind w:firstLine="709"/>
      </w:pPr>
      <w:r>
        <w:rPr>
          <w:rFonts w:ascii="Times New Roman" w:cs="Times New Roman" w:eastAsia="Times New Roman" w:hAnsi="Times New Roman"/>
          <w:b/>
          <w:bCs/>
          <w:color w:val="000000"/>
          <w:sz w:val="28"/>
          <w:szCs w:val="28"/>
        </w:rPr>
        <w:t xml:space="preserve">1.2.3. Обробка ресурсомістких операцій</w:t>
      </w:r>
    </w:p>
    <w:p>
      <w:pPr>
        <w:spacing w:after="0" w:line="360"/>
        <w:ind w:firstLine="709"/>
        <w:jc w:val="both"/>
      </w:pPr>
      <w:r>
        <w:rPr>
          <w:rFonts w:ascii="Times New Roman" w:cs="Times New Roman" w:eastAsia="Times New Roman" w:hAnsi="Times New Roman"/>
          <w:sz w:val="28"/>
          <w:szCs w:val="28"/>
        </w:rPr>
        <w:t xml:space="preserve">Синхронна обробка в межах HTTP-запиту обмежує пропускну здатність сервера часом найповільнішої операції. Поширеним підходом є черги задач (Celery для Python, Sidekiq для Ruby, BullMQ для Node.js): сервер приймає запит, ставить задачу в чергу й повертає ідентифікатор, а обробник (worker) виконує задачу в окремому процесі або контейнері. Цей підхід ізолює навантаження та дає змогу масштабувати обробники незалежно від API.</w:t>
      </w:r>
    </w:p>
    <w:p>
      <w:pPr>
        <w:pStyle w:val="Heading3"/>
        <w:spacing w:after="120" w:before="240"/>
        <w:ind w:firstLine="709"/>
      </w:pPr>
      <w:r>
        <w:rPr>
          <w:rFonts w:ascii="Times New Roman" w:cs="Times New Roman" w:eastAsia="Times New Roman" w:hAnsi="Times New Roman"/>
          <w:b/>
          <w:bCs/>
          <w:color w:val="000000"/>
          <w:sz w:val="28"/>
          <w:szCs w:val="28"/>
        </w:rPr>
        <w:t xml:space="preserve">1.2.4. Підтримка похідного стану гейміфікації</w:t>
      </w:r>
    </w:p>
    <w:p>
      <w:pPr>
        <w:spacing w:after="0" w:line="360"/>
        <w:ind w:firstLine="709"/>
        <w:jc w:val="both"/>
      </w:pPr>
      <w:r>
        <w:rPr>
          <w:rFonts w:ascii="Times New Roman" w:cs="Times New Roman" w:eastAsia="Times New Roman" w:hAnsi="Times New Roman"/>
          <w:sz w:val="28"/>
          <w:szCs w:val="28"/>
        </w:rPr>
        <w:t xml:space="preserve">Наявні рішення підтримують похідний стан трьома способами. Синхронний перерахунок у транзакції запиту збільшує затримку відповіді. Тригери СУБД або зворотні виклики (callbacks) ORM пов’язують правила нарахування зі схемою даних і не зберігають історію змін. Подієво-орієнтований підхід відокремлює фіксацію дії від обчислення похідних показників. Пряма публікація події в брокер після коміту транзакції (dual write) допускає втрату події в разі збою між двома операціями. Патерн Transactional Outbox усуває цю проблему: подія записується в таблицю outbox у тій самій транзакції, що й дані, після чого ретранслятор передає її в брокер. Альтернативою є Change Data Capture (Debezium), що потребує додаткової інфраструктури. Споживачі з ідемпотентною обробкою (Idempotent Consumer) виключають повторне врахування подій за гарантії доставки at-least-once. Розділення моделей запису й читання (CQRS) дає змогу перебудовувати проєкції повторним відтворенням журналу подій без повного Event Sourcing.</w:t>
      </w:r>
    </w:p>
    <w:p>
      <w:r>
        <w:br w:type="page"/>
      </w:r>
    </w:p>
    <w:p>
      <w:pPr>
        <w:pStyle w:val="Heading2"/>
        <w:spacing w:after="120" w:before="240"/>
        <w:ind w:firstLine="709"/>
      </w:pPr>
      <w:r>
        <w:rPr>
          <w:rFonts w:ascii="Times New Roman" w:cs="Times New Roman" w:eastAsia="Times New Roman" w:hAnsi="Times New Roman"/>
          <w:b/>
          <w:bCs/>
          <w:color w:val="000000"/>
          <w:sz w:val="28"/>
          <w:szCs w:val="28"/>
        </w:rPr>
        <w:t xml:space="preserve">1.3. Аналіз та порівняння існуючих рішень на ринку готових програмних продуктів</w:t>
      </w:r>
    </w:p>
    <w:p>
      <w:pPr>
        <w:spacing w:after="0" w:line="360"/>
        <w:ind w:firstLine="709"/>
        <w:jc w:val="both"/>
      </w:pPr>
      <w:r>
        <w:rPr>
          <w:rFonts w:ascii="Times New Roman" w:cs="Times New Roman" w:eastAsia="Times New Roman" w:hAnsi="Times New Roman"/>
          <w:sz w:val="28"/>
          <w:szCs w:val="28"/>
        </w:rPr>
        <w:t xml:space="preserve">Для аналізу обрано три програмні системи: Goodreads і The StoryGraph — сервіси обліку читання, що є прямими аналогами; Habitica — сервіс гейміфікації звичок, що є опосередкованим аналогом за механізмами гейміфікації. Кожну систему розглянуто як інженерну систему за чотирма аспектами: архітектурний патерн, протоколи обміну даними, стек даних і механізми консистентності, архітектурні обмеження (technical bottlenecks). Архітектуру закритих систем (Goodreads, The StoryGraph) відновлено за інженерними публікаціями, доповідями розробників і вакансіями; архітектуру Habitica — за вихідним кодом репозиторію </w:t>
      </w:r>
      <w:r>
        <w:rPr>
          <w:rFonts w:ascii="Consolas" w:cs="Consolas" w:eastAsia="Consolas" w:hAnsi="Consolas"/>
          <w:sz w:val="26"/>
          <w:szCs w:val="26"/>
        </w:rPr>
        <w:t xml:space="preserve">HabitRPG/habitica</w:t>
      </w:r>
      <w:r>
        <w:rPr>
          <w:rFonts w:ascii="Times New Roman" w:cs="Times New Roman" w:eastAsia="Times New Roman" w:hAnsi="Times New Roman"/>
          <w:sz w:val="28"/>
          <w:szCs w:val="28"/>
        </w:rPr>
        <w:t xml:space="preserve">.</w:t>
      </w:r>
    </w:p>
    <w:p>
      <w:pPr>
        <w:pStyle w:val="Heading3"/>
        <w:spacing w:after="120" w:before="240"/>
        <w:ind w:firstLine="709"/>
      </w:pPr>
      <w:r>
        <w:rPr>
          <w:rFonts w:ascii="Times New Roman" w:cs="Times New Roman" w:eastAsia="Times New Roman" w:hAnsi="Times New Roman"/>
          <w:b/>
          <w:bCs/>
          <w:color w:val="000000"/>
          <w:sz w:val="28"/>
          <w:szCs w:val="28"/>
        </w:rPr>
        <w:t xml:space="preserve">1.3.1. Goodreads</w:t>
      </w:r>
    </w:p>
    <w:p>
      <w:pPr>
        <w:spacing w:after="0" w:line="360"/>
        <w:ind w:firstLine="709"/>
        <w:jc w:val="both"/>
      </w:pPr>
      <w:r>
        <w:rPr>
          <w:rFonts w:ascii="Times New Roman" w:cs="Times New Roman" w:eastAsia="Times New Roman" w:hAnsi="Times New Roman"/>
          <w:b/>
          <w:bCs/>
          <w:sz w:val="28"/>
          <w:szCs w:val="28"/>
        </w:rPr>
        <w:t xml:space="preserve">Архітектурний патерн.</w:t>
      </w:r>
      <w:r>
        <w:rPr>
          <w:rFonts w:ascii="Times New Roman" w:cs="Times New Roman" w:eastAsia="Times New Roman" w:hAnsi="Times New Roman"/>
          <w:sz w:val="28"/>
          <w:szCs w:val="28"/>
        </w:rPr>
        <w:t xml:space="preserve"> Система створена у 2007 році як монолітний застосунок Ruby on Rails. Після поглинання компанією Amazon у 2013 році розпочато декомпозицію моноліту на мікросервіси в інфраструктурі AWS; частину сервісів реалізовано мовою Java [1, 2]. Нові сервіси масштабуються незалежно, однак співіснування успадкованого (legacy) моноліту та мікросервісів формує гібридну архітектуру з розподіленими даними та подвійною моделлю супроводу.</w:t>
      </w:r>
    </w:p>
    <w:p>
      <w:pPr>
        <w:spacing w:after="0" w:line="360"/>
        <w:ind w:firstLine="709"/>
        <w:jc w:val="both"/>
      </w:pPr>
      <w:r>
        <w:rPr>
          <w:rFonts w:ascii="Times New Roman" w:cs="Times New Roman" w:eastAsia="Times New Roman" w:hAnsi="Times New Roman"/>
          <w:b/>
          <w:bCs/>
          <w:sz w:val="28"/>
          <w:szCs w:val="28"/>
        </w:rPr>
        <w:t xml:space="preserve">Протоколи обміну даними.</w:t>
      </w:r>
      <w:r>
        <w:rPr>
          <w:rFonts w:ascii="Times New Roman" w:cs="Times New Roman" w:eastAsia="Times New Roman" w:hAnsi="Times New Roman"/>
          <w:sz w:val="28"/>
          <w:szCs w:val="28"/>
        </w:rPr>
        <w:t xml:space="preserve"> Публічний REST API (формати XML і JSON) виведено з експлуатації: видачу нових ключів припинено 08.12.2020, неактивні ключі деактивовано [3]. Сторінки видань формуються засобами Next.js із серверним рендерингом, дані сторінки вбудовуються в HTML. Окремі клієнтські запити надсилаються до GraphQL-інтерфейсу AWS AppSync; цей інтерфейс офіційно не задокументовано, відомості про нього отримано методом зворотної розробки (reverse engineering) [4].</w:t>
      </w:r>
    </w:p>
    <w:p>
      <w:pPr>
        <w:spacing w:after="0" w:line="360"/>
        <w:ind w:firstLine="709"/>
        <w:jc w:val="both"/>
      </w:pPr>
      <w:r>
        <w:rPr>
          <w:rFonts w:ascii="Times New Roman" w:cs="Times New Roman" w:eastAsia="Times New Roman" w:hAnsi="Times New Roman"/>
          <w:b/>
          <w:bCs/>
          <w:sz w:val="28"/>
          <w:szCs w:val="28"/>
        </w:rPr>
        <w:t xml:space="preserve">Стек даних і консистентність.</w:t>
      </w:r>
      <w:r>
        <w:rPr>
          <w:rFonts w:ascii="Times New Roman" w:cs="Times New Roman" w:eastAsia="Times New Roman" w:hAnsi="Times New Roman"/>
          <w:sz w:val="28"/>
          <w:szCs w:val="28"/>
        </w:rPr>
        <w:t xml:space="preserve"> Історично використовувалися MySQL із шардингом і кешування Memcached [5]. У мікросервісах основним сховищем є Amazon DynamoDB (NoSQL, модель key-value). Для аналітичних запитів дані експортуються з DynamoDB до Amazon S3, перетворюються у формат Parquet засобами AWS Glue і запитуються через Amazon Athena [2]. Між мікросервісами діє модель eventual consistency; DynamoDB за замовчуванням виконує eventually consistent читання.</w:t>
      </w:r>
    </w:p>
    <w:p>
      <w:pPr>
        <w:spacing w:after="0" w:line="360"/>
        <w:ind w:firstLine="709"/>
        <w:jc w:val="both"/>
      </w:pPr>
      <w:r>
        <w:rPr>
          <w:rFonts w:ascii="Times New Roman" w:cs="Times New Roman" w:eastAsia="Times New Roman" w:hAnsi="Times New Roman"/>
          <w:b/>
          <w:bCs/>
          <w:sz w:val="28"/>
          <w:szCs w:val="28"/>
        </w:rPr>
        <w:t xml:space="preserve">Архітектурні обмеження.</w:t>
      </w:r>
    </w:p>
    <w:p>
      <w:pPr>
        <w:pStyle w:val="ListParagraph"/>
        <w:numPr>
          <w:ilvl w:val="0"/>
          <w:numId w:val="2"/>
        </w:numPr>
        <w:spacing w:line="360"/>
        <w:jc w:val="both"/>
      </w:pPr>
      <w:r>
        <w:rPr>
          <w:rFonts w:ascii="Times New Roman" w:cs="Times New Roman" w:eastAsia="Times New Roman" w:hAnsi="Times New Roman"/>
          <w:sz w:val="28"/>
          <w:szCs w:val="28"/>
        </w:rPr>
        <w:t xml:space="preserve">Відсутність публічного API унеможливлює сторонні інтеграції та програмний експорт даних.</w:t>
      </w:r>
    </w:p>
    <w:p>
      <w:pPr>
        <w:pStyle w:val="ListParagraph"/>
        <w:numPr>
          <w:ilvl w:val="0"/>
          <w:numId w:val="2"/>
        </w:numPr>
        <w:spacing w:line="360"/>
        <w:jc w:val="both"/>
      </w:pPr>
      <w:r>
        <w:rPr>
          <w:rFonts w:ascii="Times New Roman" w:cs="Times New Roman" w:eastAsia="Times New Roman" w:hAnsi="Times New Roman"/>
          <w:sz w:val="28"/>
          <w:szCs w:val="28"/>
        </w:rPr>
        <w:t xml:space="preserve">Залежність від керованих сервісів AWS (DynamoDB, AppSync, Glue, Athena) спричиняє vendor lock-in.</w:t>
      </w:r>
    </w:p>
    <w:p>
      <w:pPr>
        <w:pStyle w:val="ListParagraph"/>
        <w:numPr>
          <w:ilvl w:val="0"/>
          <w:numId w:val="2"/>
        </w:numPr>
        <w:spacing w:line="360"/>
        <w:jc w:val="both"/>
      </w:pPr>
      <w:r>
        <w:rPr>
          <w:rFonts w:ascii="Times New Roman" w:cs="Times New Roman" w:eastAsia="Times New Roman" w:hAnsi="Times New Roman"/>
          <w:sz w:val="28"/>
          <w:szCs w:val="28"/>
        </w:rPr>
        <w:t xml:space="preserve">DynamoDB не оптимізована для ad hoc запитів, тому аналітика потребує окремого ETL-конвеєра; використаний у ньому сервіс AWS Data Pipeline переведено в режим підтримки [2].</w:t>
      </w:r>
    </w:p>
    <w:p>
      <w:pPr>
        <w:pStyle w:val="ListParagraph"/>
        <w:numPr>
          <w:ilvl w:val="0"/>
          <w:numId w:val="2"/>
        </w:numPr>
        <w:spacing w:line="360"/>
        <w:jc w:val="both"/>
      </w:pPr>
      <w:r>
        <w:rPr>
          <w:rFonts w:ascii="Times New Roman" w:cs="Times New Roman" w:eastAsia="Times New Roman" w:hAnsi="Times New Roman"/>
          <w:sz w:val="28"/>
          <w:szCs w:val="28"/>
        </w:rPr>
        <w:t xml:space="preserve">Поєднання успадкованого моноліту Ruby on Rails і мікросервісів формує технічний борг.</w:t>
      </w:r>
    </w:p>
    <w:p>
      <w:pPr>
        <w:pStyle w:val="ListParagraph"/>
        <w:numPr>
          <w:ilvl w:val="0"/>
          <w:numId w:val="2"/>
        </w:numPr>
        <w:spacing w:line="360"/>
        <w:jc w:val="both"/>
      </w:pPr>
      <w:r>
        <w:rPr>
          <w:rFonts w:ascii="Times New Roman" w:cs="Times New Roman" w:eastAsia="Times New Roman" w:hAnsi="Times New Roman"/>
          <w:sz w:val="28"/>
          <w:szCs w:val="28"/>
        </w:rPr>
        <w:t xml:space="preserve">Каталог поповнюється пошуком або скануванням штрихкоду ISBN для кожного примірника окремо; пакетне розпізнавання полиці не передбачено.</w:t>
      </w:r>
    </w:p>
    <w:p>
      <w:pPr>
        <w:pStyle w:val="Heading3"/>
        <w:spacing w:after="120" w:before="240"/>
        <w:ind w:firstLine="709"/>
      </w:pPr>
      <w:r>
        <w:rPr>
          <w:rFonts w:ascii="Times New Roman" w:cs="Times New Roman" w:eastAsia="Times New Roman" w:hAnsi="Times New Roman"/>
          <w:b/>
          <w:bCs/>
          <w:color w:val="000000"/>
          <w:sz w:val="28"/>
          <w:szCs w:val="28"/>
        </w:rPr>
        <w:t xml:space="preserve">1.3.2. The StoryGraph</w:t>
      </w:r>
    </w:p>
    <w:p>
      <w:pPr>
        <w:spacing w:after="0" w:line="360"/>
        <w:ind w:firstLine="709"/>
        <w:jc w:val="both"/>
      </w:pPr>
      <w:r>
        <w:rPr>
          <w:rFonts w:ascii="Times New Roman" w:cs="Times New Roman" w:eastAsia="Times New Roman" w:hAnsi="Times New Roman"/>
          <w:b/>
          <w:bCs/>
          <w:sz w:val="28"/>
          <w:szCs w:val="28"/>
        </w:rPr>
        <w:t xml:space="preserve">Архітектурний патерн.</w:t>
      </w:r>
      <w:r>
        <w:rPr>
          <w:rFonts w:ascii="Times New Roman" w:cs="Times New Roman" w:eastAsia="Times New Roman" w:hAnsi="Times New Roman"/>
          <w:sz w:val="28"/>
          <w:szCs w:val="28"/>
        </w:rPr>
        <w:t xml:space="preserve"> Монолітний застосунок Ruby on Rails, який супроводжує один розробник; клієнтами є вебверсія, iOS- і Android-застосунки [6]. Фонові задачі виконуються засобами Sidekiq на основі Redis. Для ML-функцій (близько десяти моделей: класифікація настрою видання, рекомендації, генерування персоналізованого опису мовною моделлю, перевірка обкладинок методами комп’ютерного зору) виділено кластер GPU-обробників (workers), які отримують задачі з черги Redis командою </w:t>
      </w:r>
      <w:r>
        <w:rPr>
          <w:rFonts w:ascii="Consolas" w:cs="Consolas" w:eastAsia="Consolas" w:hAnsi="Consolas"/>
          <w:sz w:val="26"/>
          <w:szCs w:val="26"/>
        </w:rPr>
        <w:t xml:space="preserve">BRPOP</w:t>
      </w:r>
      <w:r>
        <w:rPr>
          <w:rFonts w:ascii="Times New Roman" w:cs="Times New Roman" w:eastAsia="Times New Roman" w:hAnsi="Times New Roman"/>
          <w:sz w:val="28"/>
          <w:szCs w:val="28"/>
        </w:rPr>
        <w:t xml:space="preserve"> [7]. Масштабування здійснюється горизонтальним додаванням вебсерверів за балансувальником HAProxy і вертикальним нарощуванням ресурсів серверів.</w:t>
      </w:r>
    </w:p>
    <w:p>
      <w:pPr>
        <w:spacing w:after="0" w:line="360"/>
        <w:ind w:firstLine="709"/>
        <w:jc w:val="both"/>
      </w:pPr>
      <w:r>
        <w:rPr>
          <w:rFonts w:ascii="Times New Roman" w:cs="Times New Roman" w:eastAsia="Times New Roman" w:hAnsi="Times New Roman"/>
          <w:b/>
          <w:bCs/>
          <w:sz w:val="28"/>
          <w:szCs w:val="28"/>
        </w:rPr>
        <w:t xml:space="preserve">Протоколи обміну даними.</w:t>
      </w:r>
      <w:r>
        <w:rPr>
          <w:rFonts w:ascii="Times New Roman" w:cs="Times New Roman" w:eastAsia="Times New Roman" w:hAnsi="Times New Roman"/>
          <w:sz w:val="28"/>
          <w:szCs w:val="28"/>
        </w:rPr>
        <w:t xml:space="preserve"> Клієнти взаємодіють із Rails-застосунком за протоколом HTTP/HTTPS через балансувальник HAProxy. Взаємодія з ML-обробниками асинхронна, через черги Redis, без відкриття мережевих портів на обробниках [7]. Публічний API не надається.</w:t>
      </w:r>
    </w:p>
    <w:p>
      <w:pPr>
        <w:spacing w:after="0" w:line="360"/>
        <w:ind w:firstLine="709"/>
        <w:jc w:val="both"/>
      </w:pPr>
      <w:r>
        <w:rPr>
          <w:rFonts w:ascii="Times New Roman" w:cs="Times New Roman" w:eastAsia="Times New Roman" w:hAnsi="Times New Roman"/>
          <w:b/>
          <w:bCs/>
          <w:sz w:val="28"/>
          <w:szCs w:val="28"/>
        </w:rPr>
        <w:t xml:space="preserve">Стек даних і консистентність.</w:t>
      </w:r>
      <w:r>
        <w:rPr>
          <w:rFonts w:ascii="Times New Roman" w:cs="Times New Roman" w:eastAsia="Times New Roman" w:hAnsi="Times New Roman"/>
          <w:sz w:val="28"/>
          <w:szCs w:val="28"/>
        </w:rPr>
        <w:t xml:space="preserve"> До січня 2024 року використовувалася PostgreSQL, після чого систему переведено на YugabyteDB — розподілену СУБД, сумісну з PostgreSQL; кластер із 10 серверів розширено до 60 у січні 2025 року. Додатково застосовуються Elasticsearch для пошуку, Memcached для кешування, Redis для черг і PgBouncer для пулу з’єднань. Консистентність похідних даних підтримується денормалізованими таблицями, що оновлюються зворотними викликами (callbacks) Rails; для розвантаження читання застосовувалися репліки, проблеми синхронізації яких не усунено [7].</w:t>
      </w:r>
    </w:p>
    <w:p>
      <w:pPr>
        <w:spacing w:after="0" w:line="360"/>
        <w:ind w:firstLine="709"/>
        <w:jc w:val="both"/>
      </w:pPr>
      <w:r>
        <w:rPr>
          <w:rFonts w:ascii="Times New Roman" w:cs="Times New Roman" w:eastAsia="Times New Roman" w:hAnsi="Times New Roman"/>
          <w:b/>
          <w:bCs/>
          <w:sz w:val="28"/>
          <w:szCs w:val="28"/>
        </w:rPr>
        <w:t xml:space="preserve">Архітектурні обмеження.</w:t>
      </w:r>
      <w:r>
        <w:rPr>
          <w:rFonts w:ascii="Times New Roman" w:cs="Times New Roman" w:eastAsia="Times New Roman" w:hAnsi="Times New Roman"/>
          <w:sz w:val="28"/>
          <w:szCs w:val="28"/>
        </w:rPr>
        <w:t xml:space="preserve"> Задокументовано такі інциденти [7]:</w:t>
      </w:r>
    </w:p>
    <w:p>
      <w:pPr>
        <w:pStyle w:val="ListParagraph"/>
        <w:numPr>
          <w:ilvl w:val="0"/>
          <w:numId w:val="2"/>
        </w:numPr>
        <w:spacing w:line="360"/>
        <w:jc w:val="both"/>
      </w:pPr>
      <w:r>
        <w:rPr>
          <w:rFonts w:ascii="Times New Roman" w:cs="Times New Roman" w:eastAsia="Times New Roman" w:hAnsi="Times New Roman"/>
          <w:sz w:val="28"/>
          <w:szCs w:val="28"/>
        </w:rPr>
        <w:t xml:space="preserve">червень 2020 року — двотижнева недоступність сервісу після зростання кількості користувачів до ~20 000;</w:t>
      </w:r>
    </w:p>
    <w:p>
      <w:pPr>
        <w:pStyle w:val="ListParagraph"/>
        <w:numPr>
          <w:ilvl w:val="0"/>
          <w:numId w:val="2"/>
        </w:numPr>
        <w:spacing w:line="360"/>
        <w:jc w:val="both"/>
      </w:pPr>
      <w:r>
        <w:rPr>
          <w:rFonts w:ascii="Times New Roman" w:cs="Times New Roman" w:eastAsia="Times New Roman" w:hAnsi="Times New Roman"/>
          <w:sz w:val="28"/>
          <w:szCs w:val="28"/>
        </w:rPr>
        <w:t xml:space="preserve">січень 2024 року — перевантаження СУБД масовим імпортом із Goodreads (~100 000 імпортів, за оцінкою ~1 млрд операцій вставки), функцію імпорту тимчасово вимкнено;</w:t>
      </w:r>
    </w:p>
    <w:p>
      <w:pPr>
        <w:pStyle w:val="ListParagraph"/>
        <w:numPr>
          <w:ilvl w:val="0"/>
          <w:numId w:val="2"/>
        </w:numPr>
        <w:spacing w:line="360"/>
        <w:jc w:val="both"/>
      </w:pPr>
      <w:r>
        <w:rPr>
          <w:rFonts w:ascii="Times New Roman" w:cs="Times New Roman" w:eastAsia="Times New Roman" w:hAnsi="Times New Roman"/>
          <w:sz w:val="28"/>
          <w:szCs w:val="28"/>
        </w:rPr>
        <w:t xml:space="preserve">листопад 2024 року — зростання кількості щоденних унікальних відвідувачів зі 150 000 до 1 000 000 і насичення мережевого каналу HAProxy за низького завантаження CPU;</w:t>
      </w:r>
    </w:p>
    <w:p>
      <w:pPr>
        <w:pStyle w:val="ListParagraph"/>
        <w:numPr>
          <w:ilvl w:val="0"/>
          <w:numId w:val="2"/>
        </w:numPr>
        <w:spacing w:line="360"/>
        <w:jc w:val="both"/>
      </w:pPr>
      <w:r>
        <w:rPr>
          <w:rFonts w:ascii="Times New Roman" w:cs="Times New Roman" w:eastAsia="Times New Roman" w:hAnsi="Times New Roman"/>
          <w:sz w:val="28"/>
          <w:szCs w:val="28"/>
        </w:rPr>
        <w:t xml:space="preserve">січень 2025 року — нерівномірний розподіл сесій через cookie прив’язки до сервера (700–800 сесій на двох серверах проти ~20 на кожному з решти).</w:t>
      </w:r>
    </w:p>
    <w:p>
      <w:pPr>
        <w:spacing w:after="0" w:line="360"/>
        <w:ind w:firstLine="709"/>
        <w:jc w:val="both"/>
      </w:pPr>
      <w:r>
        <w:rPr>
          <w:rFonts w:ascii="Times New Roman" w:cs="Times New Roman" w:eastAsia="Times New Roman" w:hAnsi="Times New Roman"/>
          <w:sz w:val="28"/>
          <w:szCs w:val="28"/>
        </w:rPr>
        <w:t xml:space="preserve">Після міграції на YugabyteDB час виконання окремих запитів до оптимізації зріс зі 100 мс до 400 с. Масовий імпорт не ізольовано від основного навантаження. Вартість інфраструктури Heroku перевищувала 100 000 USD на рік, що зумовило перехід на виділені сервери Hetzner [7, 8]. Супровід системи одним розробником означає концентрацію знань в одній особі (bus factor = 1).</w:t>
      </w:r>
    </w:p>
    <w:p>
      <w:pPr>
        <w:pStyle w:val="Heading3"/>
        <w:spacing w:after="120" w:before="240"/>
        <w:ind w:firstLine="709"/>
      </w:pPr>
      <w:r>
        <w:rPr>
          <w:rFonts w:ascii="Times New Roman" w:cs="Times New Roman" w:eastAsia="Times New Roman" w:hAnsi="Times New Roman"/>
          <w:b/>
          <w:bCs/>
          <w:color w:val="000000"/>
          <w:sz w:val="28"/>
          <w:szCs w:val="28"/>
        </w:rPr>
        <w:t xml:space="preserve">1.3.3. Habitica</w:t>
      </w:r>
    </w:p>
    <w:p>
      <w:pPr>
        <w:spacing w:after="0" w:line="360"/>
        <w:ind w:firstLine="709"/>
        <w:jc w:val="both"/>
      </w:pPr>
      <w:r>
        <w:rPr>
          <w:rFonts w:ascii="Times New Roman" w:cs="Times New Roman" w:eastAsia="Times New Roman" w:hAnsi="Times New Roman"/>
          <w:b/>
          <w:bCs/>
          <w:sz w:val="28"/>
          <w:szCs w:val="28"/>
        </w:rPr>
        <w:t xml:space="preserve">Архітектурний патерн.</w:t>
      </w:r>
      <w:r>
        <w:rPr>
          <w:rFonts w:ascii="Times New Roman" w:cs="Times New Roman" w:eastAsia="Times New Roman" w:hAnsi="Times New Roman"/>
          <w:sz w:val="28"/>
          <w:szCs w:val="28"/>
        </w:rPr>
        <w:t xml:space="preserve"> Монолітний сервер на Node.js 20 і Express 4 із вебклієнтом на Vue.js (SPA); каталог </w:t>
      </w:r>
      <w:r>
        <w:rPr>
          <w:rFonts w:ascii="Consolas" w:cs="Consolas" w:eastAsia="Consolas" w:hAnsi="Consolas"/>
          <w:sz w:val="26"/>
          <w:szCs w:val="26"/>
        </w:rPr>
        <w:t xml:space="preserve">website/common</w:t>
      </w:r>
      <w:r>
        <w:rPr>
          <w:rFonts w:ascii="Times New Roman" w:cs="Times New Roman" w:eastAsia="Times New Roman" w:hAnsi="Times New Roman"/>
          <w:sz w:val="28"/>
          <w:szCs w:val="28"/>
        </w:rPr>
        <w:t xml:space="preserve"> містить спільний код сервера й клієнта. Мобільні клієнти реалізовано окремими нативними застосунками. Фонові задачі виконуються засобами BullMQ на основі Redis [9]. Сервер не зберігає стан між запитами (stateless) і масштабується горизонтально; межею масштабування є СУБД MongoDB.</w:t>
      </w:r>
    </w:p>
    <w:p>
      <w:pPr>
        <w:spacing w:after="0" w:line="360"/>
        <w:ind w:firstLine="709"/>
        <w:jc w:val="both"/>
      </w:pPr>
      <w:r>
        <w:rPr>
          <w:rFonts w:ascii="Times New Roman" w:cs="Times New Roman" w:eastAsia="Times New Roman" w:hAnsi="Times New Roman"/>
          <w:b/>
          <w:bCs/>
          <w:sz w:val="28"/>
          <w:szCs w:val="28"/>
        </w:rPr>
        <w:t xml:space="preserve">Протоколи обміну даними.</w:t>
      </w:r>
      <w:r>
        <w:rPr>
          <w:rFonts w:ascii="Times New Roman" w:cs="Times New Roman" w:eastAsia="Times New Roman" w:hAnsi="Times New Roman"/>
          <w:sz w:val="28"/>
          <w:szCs w:val="28"/>
        </w:rPr>
        <w:t xml:space="preserve"> REST API версій v3 і v4 (JSON поверх HTTPS) з автентифікацією за ідентифікатором користувача та API-ключем; вихідні webhooks (HTTP POST) для подій задач. Автентифікацію реалізовано засобами Passport, для сторонніх провайдерів — JWT і JWKS; push-сповіщення надсилаються через Firebase Admin [9, 10].</w:t>
      </w:r>
    </w:p>
    <w:p>
      <w:pPr>
        <w:spacing w:after="0" w:line="360"/>
        <w:ind w:firstLine="709"/>
        <w:jc w:val="both"/>
      </w:pPr>
      <w:r>
        <w:rPr>
          <w:rFonts w:ascii="Times New Roman" w:cs="Times New Roman" w:eastAsia="Times New Roman" w:hAnsi="Times New Roman"/>
          <w:b/>
          <w:bCs/>
          <w:sz w:val="28"/>
          <w:szCs w:val="28"/>
        </w:rPr>
        <w:t xml:space="preserve">Стек даних і консистентність.</w:t>
      </w:r>
      <w:r>
        <w:rPr>
          <w:rFonts w:ascii="Times New Roman" w:cs="Times New Roman" w:eastAsia="Times New Roman" w:hAnsi="Times New Roman"/>
          <w:sz w:val="28"/>
          <w:szCs w:val="28"/>
        </w:rPr>
        <w:t xml:space="preserve"> MongoDB з ODM Mongoose в обов’язковому режимі replica set, оскільки застосовуються change streams і багатодокументні транзакції [10]. Redis зберігає лічильники обмеження частоти запитів (бібліотека rate-limiter-flexible) і черги BullMQ. Стан гравця (досвід, рівень, предмети) зберігається денормалізовано в документі користувача.</w:t>
      </w:r>
    </w:p>
    <w:p>
      <w:pPr>
        <w:spacing w:after="0" w:line="360"/>
        <w:ind w:firstLine="709"/>
        <w:jc w:val="both"/>
      </w:pPr>
      <w:r>
        <w:rPr>
          <w:rFonts w:ascii="Times New Roman" w:cs="Times New Roman" w:eastAsia="Times New Roman" w:hAnsi="Times New Roman"/>
          <w:b/>
          <w:bCs/>
          <w:sz w:val="28"/>
          <w:szCs w:val="28"/>
        </w:rPr>
        <w:t xml:space="preserve">Архітектурні обмеження.</w:t>
      </w:r>
    </w:p>
    <w:p>
      <w:pPr>
        <w:pStyle w:val="ListParagraph"/>
        <w:numPr>
          <w:ilvl w:val="0"/>
          <w:numId w:val="2"/>
        </w:numPr>
        <w:spacing w:line="360"/>
        <w:jc w:val="both"/>
      </w:pPr>
      <w:r>
        <w:rPr>
          <w:rFonts w:ascii="Times New Roman" w:cs="Times New Roman" w:eastAsia="Times New Roman" w:hAnsi="Times New Roman"/>
          <w:sz w:val="28"/>
          <w:szCs w:val="28"/>
        </w:rPr>
        <w:t xml:space="preserve">Денний цикл гейміфікації (cron: скидання щоденних задач, нарахування шкоди за пропущені задачі) запускається під час першого входу користувача в новий день, тобто синхронно в межах запиту клієнта [11]. Наслідками є додаткова затримка першого запиту, залежність стану від активності клієнта та ускладнення інтеграцій, які зчитують стан до перерахунку [12].</w:t>
      </w:r>
    </w:p>
    <w:p>
      <w:pPr>
        <w:pStyle w:val="ListParagraph"/>
        <w:numPr>
          <w:ilvl w:val="0"/>
          <w:numId w:val="2"/>
        </w:numPr>
        <w:spacing w:line="360"/>
        <w:jc w:val="both"/>
      </w:pPr>
      <w:r>
        <w:rPr>
          <w:rFonts w:ascii="Times New Roman" w:cs="Times New Roman" w:eastAsia="Times New Roman" w:hAnsi="Times New Roman"/>
          <w:sz w:val="28"/>
          <w:szCs w:val="28"/>
        </w:rPr>
        <w:t xml:space="preserve">Агрегування стану гравця в одному документі MongoDB ускладнює конкурентні оновлення та аудит історії змін.</w:t>
      </w:r>
    </w:p>
    <w:p>
      <w:pPr>
        <w:pStyle w:val="ListParagraph"/>
        <w:numPr>
          <w:ilvl w:val="0"/>
          <w:numId w:val="2"/>
        </w:numPr>
        <w:spacing w:line="360"/>
        <w:jc w:val="both"/>
      </w:pPr>
      <w:r>
        <w:rPr>
          <w:rFonts w:ascii="Times New Roman" w:cs="Times New Roman" w:eastAsia="Times New Roman" w:hAnsi="Times New Roman"/>
          <w:sz w:val="28"/>
          <w:szCs w:val="28"/>
        </w:rPr>
        <w:t xml:space="preserve">Документна модель без журналу подій не дає змоги перерахувати стан після зміни правил нарахування.</w:t>
      </w:r>
    </w:p>
    <w:p>
      <w:pPr>
        <w:pStyle w:val="Heading3"/>
        <w:spacing w:after="120" w:before="240"/>
        <w:ind w:firstLine="709"/>
      </w:pPr>
      <w:r>
        <w:rPr>
          <w:rFonts w:ascii="Times New Roman" w:cs="Times New Roman" w:eastAsia="Times New Roman" w:hAnsi="Times New Roman"/>
          <w:b/>
          <w:bCs/>
          <w:color w:val="000000"/>
          <w:sz w:val="28"/>
          <w:szCs w:val="28"/>
        </w:rPr>
        <w:t xml:space="preserve">1.3.4. Порівняльна інженерна матриця</w:t>
      </w:r>
    </w:p>
    <w:p>
      <w:pPr>
        <w:spacing w:after="0" w:line="360"/>
        <w:ind w:firstLine="709"/>
        <w:jc w:val="both"/>
      </w:pPr>
      <w:r>
        <w:rPr>
          <w:rFonts w:ascii="Times New Roman" w:cs="Times New Roman" w:eastAsia="Times New Roman" w:hAnsi="Times New Roman"/>
          <w:sz w:val="28"/>
          <w:szCs w:val="28"/>
        </w:rPr>
        <w:t xml:space="preserve">Порівняння виконано за шістьма технічними критеріями. Критерій швидкодії (Latency, RPS) не застосовано: для закритих систем порівнянні вимірювання відсутні, а для проєктованої системи їх буде отримано на етапі навантажувального тестування засобами k6.</w:t>
      </w:r>
    </w:p>
    <w:p>
      <w:pPr>
        <w:spacing w:after="60" w:before="120"/>
      </w:pPr>
      <w:r>
        <w:rPr>
          <w:rFonts w:ascii="Times New Roman" w:cs="Times New Roman" w:eastAsia="Times New Roman" w:hAnsi="Times New Roman"/>
          <w:sz w:val="28"/>
          <w:szCs w:val="28"/>
        </w:rPr>
        <w:t xml:space="preserve">Таблиця 1.1 — Порівняльна інженерна матриця аналогів</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71"/>
        <w:gridCol w:w="1871"/>
        <w:gridCol w:w="1871"/>
        <w:gridCol w:w="1871"/>
        <w:gridCol w:w="1871"/>
      </w:tblGrid>
      <w:tr>
        <w:trPr>
          <w:tblHeader/>
        </w:trPr>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0"/>
                <w:szCs w:val="20"/>
              </w:rPr>
              <w:t xml:space="preserve">Критерій</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0"/>
                <w:szCs w:val="20"/>
              </w:rPr>
              <w:t xml:space="preserve">Goodreads</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0"/>
                <w:szCs w:val="20"/>
              </w:rPr>
              <w:t xml:space="preserve">The StoryGraph</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0"/>
                <w:szCs w:val="20"/>
              </w:rPr>
              <w:t xml:space="preserve">Habitica</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0"/>
                <w:szCs w:val="20"/>
              </w:rPr>
              <w:t xml:space="preserve">BookOff (проєктована система)</w:t>
            </w:r>
          </w:p>
        </w:tc>
      </w:tr>
      <w:tr>
        <w:trPr>
          <w:tblHeader w:val="off"/>
        </w:trPr>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Тип архітектури</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Гібрид: успадкований моноліт Ruby on Rails і мікросервіси (Java) в AWS</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Моноліт Ruby on Rails і кластер GPU-обробників для ML</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Моноліт Node.js / Express, вебклієнт Vue.js</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Подієво-орієнтований модульний моноліт; сканер — окремий обробник</w:t>
            </w:r>
          </w:p>
        </w:tc>
      </w:tr>
      <w:tr>
        <w:trPr>
          <w:tblHeader w:val="off"/>
        </w:trPr>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Протоколи обміну</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REST API виведено з експлуатації (2020); серверний рендеринг Next.js; GraphQL (AWS AppSync, недокументований)</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HTTP/HTTPS без публічного API; черги Redis до ML-обробників</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REST API v3/v4 (JSON), вихідні webhooks</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REST API (FastAPI, OpenAPI); події Apache Kafka; черга задач Celery</w:t>
            </w:r>
          </w:p>
        </w:tc>
      </w:tr>
      <w:tr>
        <w:trPr>
          <w:tblHeader w:val="off"/>
        </w:trPr>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СУБД і консистентність</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MySQL (legacy), Amazon DynamoDB; eventual consistency між сервісами</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PostgreSQL → YugabyteDB, Elasticsearch, Memcached; денормалізація зворотними викликами Rails</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MongoDB (replica set), Redis; стан гравця в документі користувача</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PostgreSQL (схема на модуль), Redis; Transactional Outbox, Idempotent Consumer, CQRS-проєкції</w:t>
            </w:r>
          </w:p>
        </w:tc>
      </w:tr>
      <w:tr>
        <w:trPr>
          <w:tblHeader w:val="off"/>
        </w:trPr>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Асинхронна обробка ресурсомістких операцій</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ETL-конвеєр DynamoDB → S3 → Athena; пакетне розпізнавання відсутнє</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Sidekiq, черга Redis для ML; масовий імпорт не ізольовано</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BullMQ; денний цикл гейміфікації виконується синхронно в запиті</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Celery-обробник сканера в окремому контейнері; гейміфікація — споживачі подій Kafka</w:t>
            </w:r>
          </w:p>
        </w:tc>
      </w:tr>
      <w:tr>
        <w:trPr>
          <w:tblHeader w:val="off"/>
        </w:trPr>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Відмовостійкість</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Керовані сервіси AWS; механізми не публікуються</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Інциденти 2020, 2024, 2025 років; проблеми синхронізації реплік</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Stateless-сервер із горизонтальним масштабуванням; обмеження частоти запитів на Redis</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Circuit Breaker, Retry, кеш, резервне джерело Open Library; гарантована доставка подій</w:t>
            </w:r>
          </w:p>
        </w:tc>
      </w:tr>
      <w:tr>
        <w:trPr>
          <w:tblHeader w:val="off"/>
        </w:trPr>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Інфраструктура розгортання</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AWS (DynamoDB, AppSync, Glue, Athena)</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Heroku → виділені сервери Hetzner</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Відкритий код, самостійне розгортання в Docker</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Docker Compose на хмарній VM, OpenTofu, Caddy; OpenTelemetry, Prometheus, Grafana</w:t>
            </w:r>
          </w:p>
        </w:tc>
      </w:tr>
    </w:tbl>
    <w:p/>
    <w:p>
      <w:pPr>
        <w:pStyle w:val="Heading3"/>
        <w:spacing w:after="120" w:before="240"/>
        <w:ind w:firstLine="709"/>
      </w:pPr>
      <w:r>
        <w:rPr>
          <w:rFonts w:ascii="Times New Roman" w:cs="Times New Roman" w:eastAsia="Times New Roman" w:hAnsi="Times New Roman"/>
          <w:b/>
          <w:bCs/>
          <w:color w:val="000000"/>
          <w:sz w:val="28"/>
          <w:szCs w:val="28"/>
        </w:rPr>
        <w:t xml:space="preserve">1.3.5. Аналітичний висновок</w:t>
      </w:r>
    </w:p>
    <w:p>
      <w:pPr>
        <w:spacing w:after="0" w:line="360"/>
        <w:ind w:firstLine="709"/>
        <w:jc w:val="both"/>
      </w:pPr>
      <w:r>
        <w:rPr>
          <w:rFonts w:ascii="Times New Roman" w:cs="Times New Roman" w:eastAsia="Times New Roman" w:hAnsi="Times New Roman"/>
          <w:sz w:val="28"/>
          <w:szCs w:val="28"/>
        </w:rPr>
        <w:t xml:space="preserve">Порівняльний аналіз виявив дві групи архітектурних рішень, що обмежують аналоги. Перша група — виконання ресурсомістких і масових операцій в основному контурі обробки запитів. У The StoryGraph масовий імпорт даних не ізольовано від основного навантаження, що у січні 2024 року призвело до перевантаження СУБД і вимушеного вимкнення функції імпорту. У Habitica денний цикл гейміфікації виконується синхронно під час першого запиту клієнта, що збільшує затримку відповіді та робить стан залежним від активності клієнта. Друга група — зберігання похідного стану без журналу подій: денормалізація зворотними викликами Rails у The StoryGraph і агрегований документ користувача в Habitica не забезпечують однократного врахування дій і не дають змоги перерахувати стан після зміни правил нарахування. Goodreads реалізує протилежний підхід: декомпозиція на мікросервіси з керованими сервісами AWS забезпечила незалежне масштабування ціною vendor lock-in, eventual consistency між сервісами та окремого ETL-конвеєра для аналітики.</w:t>
      </w:r>
    </w:p>
    <w:p>
      <w:pPr>
        <w:spacing w:after="0" w:line="360"/>
        <w:ind w:firstLine="709"/>
        <w:jc w:val="both"/>
      </w:pPr>
      <w:r>
        <w:rPr>
          <w:rFonts w:ascii="Times New Roman" w:cs="Times New Roman" w:eastAsia="Times New Roman" w:hAnsi="Times New Roman"/>
          <w:sz w:val="28"/>
          <w:szCs w:val="28"/>
        </w:rPr>
        <w:t xml:space="preserve">Обраний технологічний стек усуває виявлені обмеження. Розпізнавання книжкових полиць винесено в окремий контейнер-обробник Celery, тому навантаження PaddleOCR ізольовано від API FastAPI і масштабується незалежно. Дія користувача та подія про неї фіксуються в одній транзакції PostgreSQL (Transactional Outbox) і передаються в Apache Kafka; ідемпотентні споживачі нараховують показники гейміфікації асинхронно, без збільшення затримки запиту, а CQRS-проєкції перераховуються повторним відтворенням подій. Залежність від зовнішнього бібліографічного API обмежено адаптером із Circuit Breaker, Retry, кешем і резервним джерелом Open Library; виведення з експлуатації API Goodreads підтверджує доцільність такого рішення. Розгортання засобами Docker Compose та OpenTofu не прив’язане до керованих сервісів конкретного хмарного провайдера.</w:t>
      </w:r>
    </w:p>
    <w:p>
      <w:pPr>
        <w:spacing w:after="0" w:line="360"/>
        <w:ind w:firstLine="709"/>
        <w:jc w:val="both"/>
      </w:pPr>
      <w:r>
        <w:rPr>
          <w:rFonts w:ascii="Times New Roman" w:cs="Times New Roman" w:eastAsia="Times New Roman" w:hAnsi="Times New Roman"/>
          <w:sz w:val="28"/>
          <w:szCs w:val="28"/>
        </w:rPr>
        <w:t xml:space="preserve">Архітектурний компроміс полягає в такому. Запозичено асинхронну обробку ML-задач у виділених обробниках через чергу (The StoryGraph), обмеження частоти запитів на основі Redis (Habitica) та ізоляцію даних у межах зони відповідальності (Goodreads) — у формі окремої схеми PostgreSQL на модуль без розподілу на мікросервіси. Мікросервісну декомпозицію відхилено: для системи, яку супроводжує один розробник, вона збільшує операційні витрати без пропорційного виграшу. Ціною обраного рішення є експлуатаційна складність Apache Kafka і ретранслятора outbox, а також eventual consistency проєкцій гейміфікації, яку компенсує ідемпотентна обробка подій. Визначені рішення формалізовано в Розділі 2: декомпозиція системи на модулі за bounded contexts, моделі C4 і UML та специфікація схем подій.</w:t>
      </w:r>
    </w:p>
    <w:p>
      <w:r>
        <w:br w:type="page"/>
      </w:r>
    </w:p>
    <w:p>
      <w:pPr>
        <w:pStyle w:val="Heading2"/>
        <w:spacing w:after="120" w:before="240"/>
        <w:ind w:firstLine="709"/>
      </w:pPr>
      <w:r>
        <w:rPr>
          <w:rFonts w:ascii="Times New Roman" w:cs="Times New Roman" w:eastAsia="Times New Roman" w:hAnsi="Times New Roman"/>
          <w:b/>
          <w:bCs/>
          <w:color w:val="000000"/>
          <w:sz w:val="28"/>
          <w:szCs w:val="28"/>
        </w:rPr>
        <w:t xml:space="preserve">1.4. Аналіз обраної предметної області в межах дослідження (модель As-Is)</w:t>
      </w:r>
    </w:p>
    <w:p>
      <w:pPr>
        <w:pStyle w:val="Heading3"/>
        <w:spacing w:after="120" w:before="240"/>
        <w:ind w:firstLine="709"/>
      </w:pPr>
      <w:r>
        <w:rPr>
          <w:rFonts w:ascii="Times New Roman" w:cs="Times New Roman" w:eastAsia="Times New Roman" w:hAnsi="Times New Roman"/>
          <w:b/>
          <w:bCs/>
          <w:color w:val="000000"/>
          <w:sz w:val="28"/>
          <w:szCs w:val="28"/>
        </w:rPr>
        <w:t xml:space="preserve">1.4.1. Загальна характеристика домену</w:t>
      </w:r>
    </w:p>
    <w:p>
      <w:pPr>
        <w:spacing w:after="0" w:line="360"/>
        <w:ind w:firstLine="709"/>
        <w:jc w:val="both"/>
      </w:pPr>
      <w:r>
        <w:rPr>
          <w:rFonts w:ascii="Times New Roman" w:cs="Times New Roman" w:eastAsia="Times New Roman" w:hAnsi="Times New Roman"/>
          <w:sz w:val="28"/>
          <w:szCs w:val="28"/>
        </w:rPr>
        <w:t xml:space="preserve">Предметною областю є персональний облік читання — сегмент програмного забезпечення для ведення каталогу особистої бібліотеки, фіксації читацької активності, аналізу статистики та формування рекомендацій. Типова система цього класу складається з клієнтських застосунків (веб і мобільні), сервера прикладної логіки, сховища каталогу видань і користувацьких даних та інтеграцій із бібліографічними джерелами.</w:t>
      </w:r>
    </w:p>
    <w:p>
      <w:pPr>
        <w:spacing w:after="0" w:line="360"/>
        <w:ind w:firstLine="709"/>
        <w:jc w:val="both"/>
      </w:pPr>
      <w:r>
        <w:rPr>
          <w:rFonts w:ascii="Times New Roman" w:cs="Times New Roman" w:eastAsia="Times New Roman" w:hAnsi="Times New Roman"/>
          <w:sz w:val="28"/>
          <w:szCs w:val="28"/>
        </w:rPr>
        <w:t xml:space="preserve">Станом на 2026 рік у домені простежуються такі тенденції:</w:t>
      </w:r>
    </w:p>
    <w:p>
      <w:pPr>
        <w:pStyle w:val="ListParagraph"/>
        <w:numPr>
          <w:ilvl w:val="0"/>
          <w:numId w:val="2"/>
        </w:numPr>
        <w:spacing w:line="360"/>
        <w:jc w:val="both"/>
      </w:pPr>
      <w:r>
        <w:rPr>
          <w:rFonts w:ascii="Times New Roman" w:cs="Times New Roman" w:eastAsia="Times New Roman" w:hAnsi="Times New Roman"/>
          <w:sz w:val="28"/>
          <w:szCs w:val="28"/>
        </w:rPr>
        <w:t xml:space="preserve">інтеграція ML-моделей у прикладну логіку: рекомендації, класифікація видань, генерування описів мовними моделями, перевірка зображень методами комп’ютерного зору (The StoryGraph, підрозділ 1.3.2);</w:t>
      </w:r>
    </w:p>
    <w:p>
      <w:pPr>
        <w:pStyle w:val="ListParagraph"/>
        <w:numPr>
          <w:ilvl w:val="0"/>
          <w:numId w:val="2"/>
        </w:numPr>
        <w:spacing w:line="360"/>
        <w:jc w:val="both"/>
      </w:pPr>
      <w:r>
        <w:rPr>
          <w:rFonts w:ascii="Times New Roman" w:cs="Times New Roman" w:eastAsia="Times New Roman" w:hAnsi="Times New Roman"/>
          <w:sz w:val="28"/>
          <w:szCs w:val="28"/>
        </w:rPr>
        <w:t xml:space="preserve">використання камери мобільного пристрою як основного засобу введення даних замість ручного набору;</w:t>
      </w:r>
    </w:p>
    <w:p>
      <w:pPr>
        <w:pStyle w:val="ListParagraph"/>
        <w:numPr>
          <w:ilvl w:val="0"/>
          <w:numId w:val="2"/>
        </w:numPr>
        <w:spacing w:line="360"/>
        <w:jc w:val="both"/>
      </w:pPr>
      <w:r>
        <w:rPr>
          <w:rFonts w:ascii="Times New Roman" w:cs="Times New Roman" w:eastAsia="Times New Roman" w:hAnsi="Times New Roman"/>
          <w:sz w:val="28"/>
          <w:szCs w:val="28"/>
        </w:rPr>
        <w:t xml:space="preserve">скорочення доступу до даних великих платформ (виведення з експлуатації API Goodreads у 2020 році) і зростання ролі відкритих бібліографічних джерел (Open Library) та агрегаторів (Google Books API);</w:t>
      </w:r>
    </w:p>
    <w:p>
      <w:pPr>
        <w:pStyle w:val="ListParagraph"/>
        <w:numPr>
          <w:ilvl w:val="0"/>
          <w:numId w:val="2"/>
        </w:numPr>
        <w:spacing w:line="360"/>
        <w:jc w:val="both"/>
      </w:pPr>
      <w:r>
        <w:rPr>
          <w:rFonts w:ascii="Times New Roman" w:cs="Times New Roman" w:eastAsia="Times New Roman" w:hAnsi="Times New Roman"/>
          <w:sz w:val="28"/>
          <w:szCs w:val="28"/>
        </w:rPr>
        <w:t xml:space="preserve">перехід від синхронного обчислення похідних показників до подієвої обробки з асинхронними споживачами;</w:t>
      </w:r>
    </w:p>
    <w:p>
      <w:pPr>
        <w:pStyle w:val="ListParagraph"/>
        <w:numPr>
          <w:ilvl w:val="0"/>
          <w:numId w:val="2"/>
        </w:numPr>
        <w:spacing w:line="360"/>
        <w:jc w:val="both"/>
      </w:pPr>
      <w:r>
        <w:rPr>
          <w:rFonts w:ascii="Times New Roman" w:cs="Times New Roman" w:eastAsia="Times New Roman" w:hAnsi="Times New Roman"/>
          <w:sz w:val="28"/>
          <w:szCs w:val="28"/>
        </w:rPr>
        <w:t xml:space="preserve">посилення вимог до обробки персональних даних, зокрема метаданих фотографій.</w:t>
      </w:r>
    </w:p>
    <w:p>
      <w:pPr>
        <w:pStyle w:val="Heading3"/>
        <w:spacing w:after="120" w:before="240"/>
        <w:ind w:firstLine="709"/>
      </w:pPr>
      <w:r>
        <w:rPr>
          <w:rFonts w:ascii="Times New Roman" w:cs="Times New Roman" w:eastAsia="Times New Roman" w:hAnsi="Times New Roman"/>
          <w:b/>
          <w:bCs/>
          <w:color w:val="000000"/>
          <w:sz w:val="28"/>
          <w:szCs w:val="28"/>
        </w:rPr>
        <w:t xml:space="preserve">1.4.2. Ключові актори та сутності</w:t>
      </w:r>
    </w:p>
    <w:p>
      <w:pPr>
        <w:spacing w:after="0" w:line="360"/>
        <w:ind w:firstLine="709"/>
        <w:jc w:val="both"/>
      </w:pPr>
      <w:r>
        <w:rPr>
          <w:rFonts w:ascii="Times New Roman" w:cs="Times New Roman" w:eastAsia="Times New Roman" w:hAnsi="Times New Roman"/>
          <w:sz w:val="28"/>
          <w:szCs w:val="28"/>
        </w:rPr>
        <w:t xml:space="preserve">Встановлено такі актори:</w:t>
      </w:r>
    </w:p>
    <w:p>
      <w:pPr>
        <w:pStyle w:val="ListParagraph"/>
        <w:numPr>
          <w:ilvl w:val="0"/>
          <w:numId w:val="2"/>
        </w:numPr>
        <w:spacing w:line="360"/>
        <w:jc w:val="both"/>
      </w:pPr>
      <w:r>
        <w:rPr>
          <w:rFonts w:ascii="Times New Roman" w:cs="Times New Roman" w:eastAsia="Times New Roman" w:hAnsi="Times New Roman"/>
          <w:b/>
          <w:bCs/>
          <w:sz w:val="28"/>
          <w:szCs w:val="28"/>
        </w:rPr>
        <w:t xml:space="preserve">Читач</w:t>
      </w:r>
      <w:r>
        <w:rPr>
          <w:rFonts w:ascii="Times New Roman" w:cs="Times New Roman" w:eastAsia="Times New Roman" w:hAnsi="Times New Roman"/>
          <w:sz w:val="28"/>
          <w:szCs w:val="28"/>
        </w:rPr>
        <w:t xml:space="preserve"> — основний користувач: веде особисту бібліотеку, фіксує сесії читання, створює нотатки, отримує показники гейміфікації;</w:t>
      </w:r>
    </w:p>
    <w:p>
      <w:pPr>
        <w:pStyle w:val="ListParagraph"/>
        <w:numPr>
          <w:ilvl w:val="0"/>
          <w:numId w:val="2"/>
        </w:numPr>
        <w:spacing w:line="360"/>
        <w:jc w:val="both"/>
      </w:pPr>
      <w:r>
        <w:rPr>
          <w:rFonts w:ascii="Times New Roman" w:cs="Times New Roman" w:eastAsia="Times New Roman" w:hAnsi="Times New Roman"/>
          <w:b/>
          <w:bCs/>
          <w:sz w:val="28"/>
          <w:szCs w:val="28"/>
        </w:rPr>
        <w:t xml:space="preserve">Адміністратор</w:t>
      </w:r>
      <w:r>
        <w:rPr>
          <w:rFonts w:ascii="Times New Roman" w:cs="Times New Roman" w:eastAsia="Times New Roman" w:hAnsi="Times New Roman"/>
          <w:sz w:val="28"/>
          <w:szCs w:val="28"/>
        </w:rPr>
        <w:t xml:space="preserve"> — налаштовує правила нарахування показників гейміфікації та контролює стан системи;</w:t>
      </w:r>
    </w:p>
    <w:p>
      <w:pPr>
        <w:pStyle w:val="ListParagraph"/>
        <w:numPr>
          <w:ilvl w:val="0"/>
          <w:numId w:val="2"/>
        </w:numPr>
        <w:spacing w:line="360"/>
        <w:jc w:val="both"/>
      </w:pPr>
      <w:r>
        <w:rPr>
          <w:rFonts w:ascii="Times New Roman" w:cs="Times New Roman" w:eastAsia="Times New Roman" w:hAnsi="Times New Roman"/>
          <w:b/>
          <w:bCs/>
          <w:sz w:val="28"/>
          <w:szCs w:val="28"/>
        </w:rPr>
        <w:t xml:space="preserve">Бібліографічні джерела</w:t>
      </w:r>
      <w:r>
        <w:rPr>
          <w:rFonts w:ascii="Times New Roman" w:cs="Times New Roman" w:eastAsia="Times New Roman" w:hAnsi="Times New Roman"/>
          <w:sz w:val="28"/>
          <w:szCs w:val="28"/>
        </w:rPr>
        <w:t xml:space="preserve"> (Google Books API, Open Library API) — зовнішні системи, що надають метадані видань за пошуковим запитом або ISBN;</w:t>
      </w:r>
    </w:p>
    <w:p>
      <w:pPr>
        <w:pStyle w:val="ListParagraph"/>
        <w:numPr>
          <w:ilvl w:val="0"/>
          <w:numId w:val="2"/>
        </w:numPr>
        <w:spacing w:line="360"/>
        <w:jc w:val="both"/>
      </w:pPr>
      <w:r>
        <w:rPr>
          <w:rFonts w:ascii="Times New Roman" w:cs="Times New Roman" w:eastAsia="Times New Roman" w:hAnsi="Times New Roman"/>
          <w:b/>
          <w:bCs/>
          <w:sz w:val="28"/>
          <w:szCs w:val="28"/>
        </w:rPr>
        <w:t xml:space="preserve">Клієнтський пристрій</w:t>
      </w:r>
      <w:r>
        <w:rPr>
          <w:rFonts w:ascii="Times New Roman" w:cs="Times New Roman" w:eastAsia="Times New Roman" w:hAnsi="Times New Roman"/>
          <w:sz w:val="28"/>
          <w:szCs w:val="28"/>
        </w:rPr>
        <w:t xml:space="preserve"> — джерело зображень полиць і штрихкодів (камера мобільного пристрою або файл).</w:t>
      </w:r>
    </w:p>
    <w:p>
      <w:pPr>
        <w:spacing w:after="0" w:line="360"/>
        <w:ind w:firstLine="709"/>
        <w:jc w:val="both"/>
      </w:pPr>
      <w:r>
        <w:rPr>
          <w:rFonts w:ascii="Times New Roman" w:cs="Times New Roman" w:eastAsia="Times New Roman" w:hAnsi="Times New Roman"/>
          <w:sz w:val="28"/>
          <w:szCs w:val="28"/>
        </w:rPr>
        <w:t xml:space="preserve">Базові інформаційні сутності:</w:t>
      </w:r>
    </w:p>
    <w:p>
      <w:pPr>
        <w:pStyle w:val="ListParagraph"/>
        <w:numPr>
          <w:ilvl w:val="0"/>
          <w:numId w:val="2"/>
        </w:numPr>
        <w:spacing w:line="360"/>
        <w:jc w:val="both"/>
      </w:pPr>
      <w:r>
        <w:rPr>
          <w:rFonts w:ascii="Times New Roman" w:cs="Times New Roman" w:eastAsia="Times New Roman" w:hAnsi="Times New Roman"/>
          <w:b/>
          <w:bCs/>
          <w:sz w:val="28"/>
          <w:szCs w:val="28"/>
        </w:rPr>
        <w:t xml:space="preserve">Користувач</w:t>
      </w:r>
      <w:r>
        <w:rPr>
          <w:rFonts w:ascii="Times New Roman" w:cs="Times New Roman" w:eastAsia="Times New Roman" w:hAnsi="Times New Roman"/>
          <w:sz w:val="28"/>
          <w:szCs w:val="28"/>
        </w:rPr>
        <w:t xml:space="preserve"> — обліковий запис, облікові дані, налаштування тону повідомлень;</w:t>
      </w:r>
    </w:p>
    <w:p>
      <w:pPr>
        <w:pStyle w:val="ListParagraph"/>
        <w:numPr>
          <w:ilvl w:val="0"/>
          <w:numId w:val="2"/>
        </w:numPr>
        <w:spacing w:line="360"/>
        <w:jc w:val="both"/>
      </w:pPr>
      <w:r>
        <w:rPr>
          <w:rFonts w:ascii="Times New Roman" w:cs="Times New Roman" w:eastAsia="Times New Roman" w:hAnsi="Times New Roman"/>
          <w:b/>
          <w:bCs/>
          <w:sz w:val="28"/>
          <w:szCs w:val="28"/>
        </w:rPr>
        <w:t xml:space="preserve">Видання</w:t>
      </w:r>
      <w:r>
        <w:rPr>
          <w:rFonts w:ascii="Times New Roman" w:cs="Times New Roman" w:eastAsia="Times New Roman" w:hAnsi="Times New Roman"/>
          <w:sz w:val="28"/>
          <w:szCs w:val="28"/>
        </w:rPr>
        <w:t xml:space="preserve"> — бібліографічний запис: ISBN, назва, автори, мова, жанри, ідентифікатор у зовнішньому джерелі;</w:t>
      </w:r>
    </w:p>
    <w:p>
      <w:pPr>
        <w:pStyle w:val="ListParagraph"/>
        <w:numPr>
          <w:ilvl w:val="0"/>
          <w:numId w:val="2"/>
        </w:numPr>
        <w:spacing w:line="360"/>
        <w:jc w:val="both"/>
      </w:pPr>
      <w:r>
        <w:rPr>
          <w:rFonts w:ascii="Times New Roman" w:cs="Times New Roman" w:eastAsia="Times New Roman" w:hAnsi="Times New Roman"/>
          <w:b/>
          <w:bCs/>
          <w:sz w:val="28"/>
          <w:szCs w:val="28"/>
        </w:rPr>
        <w:t xml:space="preserve">Запис особистої бібліотеки</w:t>
      </w:r>
      <w:r>
        <w:rPr>
          <w:rFonts w:ascii="Times New Roman" w:cs="Times New Roman" w:eastAsia="Times New Roman" w:hAnsi="Times New Roman"/>
          <w:sz w:val="28"/>
          <w:szCs w:val="28"/>
        </w:rPr>
        <w:t xml:space="preserve"> — зв’язок користувача з виданням і статусом («заплановано», «читається», «прочитано», «покинуто»);</w:t>
      </w:r>
    </w:p>
    <w:p>
      <w:pPr>
        <w:pStyle w:val="ListParagraph"/>
        <w:numPr>
          <w:ilvl w:val="0"/>
          <w:numId w:val="2"/>
        </w:numPr>
        <w:spacing w:line="360"/>
        <w:jc w:val="both"/>
      </w:pPr>
      <w:r>
        <w:rPr>
          <w:rFonts w:ascii="Times New Roman" w:cs="Times New Roman" w:eastAsia="Times New Roman" w:hAnsi="Times New Roman"/>
          <w:b/>
          <w:bCs/>
          <w:sz w:val="28"/>
          <w:szCs w:val="28"/>
        </w:rPr>
        <w:t xml:space="preserve">Сесія читання</w:t>
      </w:r>
      <w:r>
        <w:rPr>
          <w:rFonts w:ascii="Times New Roman" w:cs="Times New Roman" w:eastAsia="Times New Roman" w:hAnsi="Times New Roman"/>
          <w:sz w:val="28"/>
          <w:szCs w:val="28"/>
        </w:rPr>
        <w:t xml:space="preserve"> — дата, тривалість, діапазон сторінок;</w:t>
      </w:r>
    </w:p>
    <w:p>
      <w:pPr>
        <w:pStyle w:val="ListParagraph"/>
        <w:numPr>
          <w:ilvl w:val="0"/>
          <w:numId w:val="2"/>
        </w:numPr>
        <w:spacing w:line="360"/>
        <w:jc w:val="both"/>
      </w:pPr>
      <w:r>
        <w:rPr>
          <w:rFonts w:ascii="Times New Roman" w:cs="Times New Roman" w:eastAsia="Times New Roman" w:hAnsi="Times New Roman"/>
          <w:b/>
          <w:bCs/>
          <w:sz w:val="28"/>
          <w:szCs w:val="28"/>
        </w:rPr>
        <w:t xml:space="preserve">Нотатка</w:t>
      </w:r>
      <w:r>
        <w:rPr>
          <w:rFonts w:ascii="Times New Roman" w:cs="Times New Roman" w:eastAsia="Times New Roman" w:hAnsi="Times New Roman"/>
          <w:sz w:val="28"/>
          <w:szCs w:val="28"/>
        </w:rPr>
        <w:t xml:space="preserve"> — текст, цитата, теги, номер сторінки; різновиди — баг-репорт сюжету (severity, кроки відтворення) і практична дія для нонфікшн-видань;</w:t>
      </w:r>
    </w:p>
    <w:p>
      <w:pPr>
        <w:pStyle w:val="ListParagraph"/>
        <w:numPr>
          <w:ilvl w:val="0"/>
          <w:numId w:val="2"/>
        </w:numPr>
        <w:spacing w:line="360"/>
        <w:jc w:val="both"/>
      </w:pPr>
      <w:r>
        <w:rPr>
          <w:rFonts w:ascii="Times New Roman" w:cs="Times New Roman" w:eastAsia="Times New Roman" w:hAnsi="Times New Roman"/>
          <w:b/>
          <w:bCs/>
          <w:sz w:val="28"/>
          <w:szCs w:val="28"/>
        </w:rPr>
        <w:t xml:space="preserve">Зображення полиці та результат розпізнавання</w:t>
      </w:r>
      <w:r>
        <w:rPr>
          <w:rFonts w:ascii="Times New Roman" w:cs="Times New Roman" w:eastAsia="Times New Roman" w:hAnsi="Times New Roman"/>
          <w:sz w:val="28"/>
          <w:szCs w:val="28"/>
        </w:rPr>
        <w:t xml:space="preserve"> — файл зображення, розпізнані фрагменти, кандидати-видання з оцінкою схожості;</w:t>
      </w:r>
    </w:p>
    <w:p>
      <w:pPr>
        <w:pStyle w:val="ListParagraph"/>
        <w:numPr>
          <w:ilvl w:val="0"/>
          <w:numId w:val="2"/>
        </w:numPr>
        <w:spacing w:line="360"/>
        <w:jc w:val="both"/>
      </w:pPr>
      <w:r>
        <w:rPr>
          <w:rFonts w:ascii="Times New Roman" w:cs="Times New Roman" w:eastAsia="Times New Roman" w:hAnsi="Times New Roman"/>
          <w:b/>
          <w:bCs/>
          <w:sz w:val="28"/>
          <w:szCs w:val="28"/>
        </w:rPr>
        <w:t xml:space="preserve">Подія активності</w:t>
      </w:r>
      <w:r>
        <w:rPr>
          <w:rFonts w:ascii="Times New Roman" w:cs="Times New Roman" w:eastAsia="Times New Roman" w:hAnsi="Times New Roman"/>
          <w:sz w:val="28"/>
          <w:szCs w:val="28"/>
        </w:rPr>
        <w:t xml:space="preserve"> — незмінний запис про дію користувача (додавання видання, завершення сесії, створення нотатки);</w:t>
      </w:r>
    </w:p>
    <w:p>
      <w:pPr>
        <w:pStyle w:val="ListParagraph"/>
        <w:numPr>
          <w:ilvl w:val="0"/>
          <w:numId w:val="2"/>
        </w:numPr>
        <w:spacing w:line="360"/>
        <w:jc w:val="both"/>
      </w:pPr>
      <w:r>
        <w:rPr>
          <w:rFonts w:ascii="Times New Roman" w:cs="Times New Roman" w:eastAsia="Times New Roman" w:hAnsi="Times New Roman"/>
          <w:b/>
          <w:bCs/>
          <w:sz w:val="28"/>
          <w:szCs w:val="28"/>
        </w:rPr>
        <w:t xml:space="preserve">Показники гейміфікації</w:t>
      </w:r>
      <w:r>
        <w:rPr>
          <w:rFonts w:ascii="Times New Roman" w:cs="Times New Roman" w:eastAsia="Times New Roman" w:hAnsi="Times New Roman"/>
          <w:sz w:val="28"/>
          <w:szCs w:val="28"/>
        </w:rPr>
        <w:t xml:space="preserve"> — досвід, серії днів читання, досягнення, рівні навичок за жанрами; є похідними від подій активності.</w:t>
      </w:r>
    </w:p>
    <w:p>
      <w:pPr>
        <w:pStyle w:val="Heading3"/>
        <w:spacing w:after="120" w:before="240"/>
        <w:ind w:firstLine="709"/>
      </w:pPr>
      <w:r>
        <w:rPr>
          <w:rFonts w:ascii="Times New Roman" w:cs="Times New Roman" w:eastAsia="Times New Roman" w:hAnsi="Times New Roman"/>
          <w:b/>
          <w:bCs/>
          <w:color w:val="000000"/>
          <w:sz w:val="28"/>
          <w:szCs w:val="28"/>
        </w:rPr>
        <w:t xml:space="preserve">1.4.3. Процеси As-Is та вузькі місця</w:t>
      </w:r>
    </w:p>
    <w:p>
      <w:pPr>
        <w:spacing w:after="0" w:line="360"/>
        <w:ind w:firstLine="709"/>
        <w:jc w:val="both"/>
      </w:pPr>
      <w:r>
        <w:rPr>
          <w:rFonts w:ascii="Times New Roman" w:cs="Times New Roman" w:eastAsia="Times New Roman" w:hAnsi="Times New Roman"/>
          <w:b/>
          <w:bCs/>
          <w:sz w:val="28"/>
          <w:szCs w:val="28"/>
        </w:rPr>
        <w:t xml:space="preserve">Процес 1. Каталогізація особистої бібліотеки.</w:t>
      </w:r>
      <w:r>
        <w:rPr>
          <w:rFonts w:ascii="Times New Roman" w:cs="Times New Roman" w:eastAsia="Times New Roman" w:hAnsi="Times New Roman"/>
          <w:sz w:val="28"/>
          <w:szCs w:val="28"/>
        </w:rPr>
        <w:t xml:space="preserve"> У наявних системах (підрозділ 1.3) видання додається до бібліотеки одним із двох способів. За пошуком клієнт надсилає HTTP-запит із рядком пошуку, сервер виконує повнотекстовий пошук у власному каталозі або у зовнішньому джерелі, користувач обирає запис зі списку, після чого сервер створює запис особистої бібліотеки. За штрихкодом клієнт декодує EAN-13 зображення з камери, надсилає ISBN на сервер, сервер отримує метадані видання і створює запис. Масовий імпорт виконується завантаженням CSV-файлу, експортованого з іншого сервісу.</w:t>
      </w:r>
    </w:p>
    <w:p>
      <w:pPr>
        <w:spacing w:after="0" w:line="360"/>
        <w:ind w:firstLine="709"/>
        <w:jc w:val="both"/>
      </w:pPr>
      <w:r>
        <w:rPr>
          <w:rFonts w:ascii="Times New Roman" w:cs="Times New Roman" w:eastAsia="Times New Roman" w:hAnsi="Times New Roman"/>
          <w:sz w:val="28"/>
          <w:szCs w:val="28"/>
        </w:rPr>
        <w:t xml:space="preserve">Вузькі місця:</w:t>
      </w:r>
    </w:p>
    <w:p>
      <w:pPr>
        <w:pStyle w:val="ListParagraph"/>
        <w:numPr>
          <w:ilvl w:val="0"/>
          <w:numId w:val="2"/>
        </w:numPr>
        <w:spacing w:line="360"/>
        <w:jc w:val="both"/>
      </w:pPr>
      <w:r>
        <w:rPr>
          <w:rFonts w:ascii="Times New Roman" w:cs="Times New Roman" w:eastAsia="Times New Roman" w:hAnsi="Times New Roman"/>
          <w:sz w:val="28"/>
          <w:szCs w:val="28"/>
        </w:rPr>
        <w:t xml:space="preserve">кількість дій користувача зростає лінійно з кількістю видань: кожне видання потребує окремого циклу «пошук — вибір — підтвердження» або «наведення камери — декодування — підтвердження»;</w:t>
      </w:r>
    </w:p>
    <w:p>
      <w:pPr>
        <w:pStyle w:val="ListParagraph"/>
        <w:numPr>
          <w:ilvl w:val="0"/>
          <w:numId w:val="2"/>
        </w:numPr>
        <w:spacing w:line="360"/>
        <w:jc w:val="both"/>
      </w:pPr>
      <w:r>
        <w:rPr>
          <w:rFonts w:ascii="Times New Roman" w:cs="Times New Roman" w:eastAsia="Times New Roman" w:hAnsi="Times New Roman"/>
          <w:sz w:val="28"/>
          <w:szCs w:val="28"/>
        </w:rPr>
        <w:t xml:space="preserve">видання без ISBN або без штрихкоду на обкладинці (зокрема випущені до запровадження ISBN) не можуть бути додані сканером і потребують ручного пошуку;</w:t>
      </w:r>
    </w:p>
    <w:p>
      <w:pPr>
        <w:pStyle w:val="ListParagraph"/>
        <w:numPr>
          <w:ilvl w:val="0"/>
          <w:numId w:val="2"/>
        </w:numPr>
        <w:spacing w:line="360"/>
        <w:jc w:val="both"/>
      </w:pPr>
      <w:r>
        <w:rPr>
          <w:rFonts w:ascii="Times New Roman" w:cs="Times New Roman" w:eastAsia="Times New Roman" w:hAnsi="Times New Roman"/>
          <w:sz w:val="28"/>
          <w:szCs w:val="28"/>
        </w:rPr>
        <w:t xml:space="preserve">масовий імпорт виконується в основному контурі обробки запитів і конкурує з інтерактивними запитами за ресурси СУБД (інцидент The StoryGraph у січні 2024 року);</w:t>
      </w:r>
    </w:p>
    <w:p>
      <w:pPr>
        <w:pStyle w:val="ListParagraph"/>
        <w:numPr>
          <w:ilvl w:val="0"/>
          <w:numId w:val="2"/>
        </w:numPr>
        <w:spacing w:line="360"/>
        <w:jc w:val="both"/>
      </w:pPr>
      <w:r>
        <w:rPr>
          <w:rFonts w:ascii="Times New Roman" w:cs="Times New Roman" w:eastAsia="Times New Roman" w:hAnsi="Times New Roman"/>
          <w:sz w:val="28"/>
          <w:szCs w:val="28"/>
        </w:rPr>
        <w:t xml:space="preserve">пакетне розпізнавання полиці за одним зображенням в аналогах відсутнє.</w:t>
      </w:r>
    </w:p>
    <w:p>
      <w:pPr>
        <w:spacing w:after="0" w:line="360"/>
        <w:ind w:firstLine="709"/>
        <w:jc w:val="both"/>
      </w:pPr>
      <w:r>
        <w:rPr>
          <w:rFonts w:ascii="Times New Roman" w:cs="Times New Roman" w:eastAsia="Times New Roman" w:hAnsi="Times New Roman"/>
          <w:b/>
          <w:bCs/>
          <w:sz w:val="28"/>
          <w:szCs w:val="28"/>
        </w:rPr>
        <w:t xml:space="preserve">Процес 2. Облік читацької активності та нарахування показників гейміфікації.</w:t>
      </w:r>
      <w:r>
        <w:rPr>
          <w:rFonts w:ascii="Times New Roman" w:cs="Times New Roman" w:eastAsia="Times New Roman" w:hAnsi="Times New Roman"/>
          <w:sz w:val="28"/>
          <w:szCs w:val="28"/>
        </w:rPr>
        <w:t xml:space="preserve"> Клієнт надсилає запит про завершення сесії читання; сервер у межах обробки запиту записує сесію, перераховує агрегати (досвід, серію днів, досягнення) і повертає відповідь з оновленим станом. В альтернативному варіанті (Habitica) денний перерахунок виконується під час першого запиту користувача в новий день.</w:t>
      </w:r>
    </w:p>
    <w:p>
      <w:pPr>
        <w:spacing w:after="0" w:line="360"/>
        <w:ind w:firstLine="709"/>
        <w:jc w:val="both"/>
      </w:pPr>
      <w:r>
        <w:rPr>
          <w:rFonts w:ascii="Times New Roman" w:cs="Times New Roman" w:eastAsia="Times New Roman" w:hAnsi="Times New Roman"/>
          <w:sz w:val="28"/>
          <w:szCs w:val="28"/>
        </w:rPr>
        <w:t xml:space="preserve">Вузькі місця:</w:t>
      </w:r>
    </w:p>
    <w:p>
      <w:pPr>
        <w:pStyle w:val="ListParagraph"/>
        <w:numPr>
          <w:ilvl w:val="0"/>
          <w:numId w:val="2"/>
        </w:numPr>
        <w:spacing w:line="360"/>
        <w:jc w:val="both"/>
      </w:pPr>
      <w:r>
        <w:rPr>
          <w:rFonts w:ascii="Times New Roman" w:cs="Times New Roman" w:eastAsia="Times New Roman" w:hAnsi="Times New Roman"/>
          <w:sz w:val="28"/>
          <w:szCs w:val="28"/>
        </w:rPr>
        <w:t xml:space="preserve">перерахунок агрегатів збільшує затримку відповіді на запит, що його ініціював;</w:t>
      </w:r>
    </w:p>
    <w:p>
      <w:pPr>
        <w:pStyle w:val="ListParagraph"/>
        <w:numPr>
          <w:ilvl w:val="0"/>
          <w:numId w:val="2"/>
        </w:numPr>
        <w:spacing w:line="360"/>
        <w:jc w:val="both"/>
      </w:pPr>
      <w:r>
        <w:rPr>
          <w:rFonts w:ascii="Times New Roman" w:cs="Times New Roman" w:eastAsia="Times New Roman" w:hAnsi="Times New Roman"/>
          <w:sz w:val="28"/>
          <w:szCs w:val="28"/>
        </w:rPr>
        <w:t xml:space="preserve">за спроби винести перерахунок в асинхронний обробник через публікацію події в брокер після коміту транзакції (dual write) збій між двома операціями спричиняє втрату події або розбіжність стану;</w:t>
      </w:r>
    </w:p>
    <w:p>
      <w:pPr>
        <w:pStyle w:val="ListParagraph"/>
        <w:numPr>
          <w:ilvl w:val="0"/>
          <w:numId w:val="2"/>
        </w:numPr>
        <w:spacing w:line="360"/>
        <w:jc w:val="both"/>
      </w:pPr>
      <w:r>
        <w:rPr>
          <w:rFonts w:ascii="Times New Roman" w:cs="Times New Roman" w:eastAsia="Times New Roman" w:hAnsi="Times New Roman"/>
          <w:sz w:val="28"/>
          <w:szCs w:val="28"/>
        </w:rPr>
        <w:t xml:space="preserve">повторне надсилання запиту мобільним клієнтом за нестабільного з’єднання без ідемпотентної обробки призводить до подвійного нарахування;</w:t>
      </w:r>
    </w:p>
    <w:p>
      <w:pPr>
        <w:pStyle w:val="ListParagraph"/>
        <w:numPr>
          <w:ilvl w:val="0"/>
          <w:numId w:val="2"/>
        </w:numPr>
        <w:spacing w:line="360"/>
        <w:jc w:val="both"/>
      </w:pPr>
      <w:r>
        <w:rPr>
          <w:rFonts w:ascii="Times New Roman" w:cs="Times New Roman" w:eastAsia="Times New Roman" w:hAnsi="Times New Roman"/>
          <w:sz w:val="28"/>
          <w:szCs w:val="28"/>
        </w:rPr>
        <w:t xml:space="preserve">похідний стан зберігається без журналу подій, тому зміна правил нарахування потребує ручної міграції даних і не дає змоги відтворити історію.</w:t>
      </w:r>
    </w:p>
    <w:p>
      <w:pPr>
        <w:spacing w:after="0" w:line="360"/>
        <w:ind w:firstLine="709"/>
        <w:jc w:val="both"/>
      </w:pPr>
      <w:r>
        <w:rPr>
          <w:rFonts w:ascii="Times New Roman" w:cs="Times New Roman" w:eastAsia="Times New Roman" w:hAnsi="Times New Roman"/>
          <w:b/>
          <w:bCs/>
          <w:sz w:val="28"/>
          <w:szCs w:val="28"/>
        </w:rPr>
        <w:t xml:space="preserve">Процес 3. Отримання метаданих видань із зовнішніх бібліографічних джерел.</w:t>
      </w:r>
      <w:r>
        <w:rPr>
          <w:rFonts w:ascii="Times New Roman" w:cs="Times New Roman" w:eastAsia="Times New Roman" w:hAnsi="Times New Roman"/>
          <w:sz w:val="28"/>
          <w:szCs w:val="28"/>
        </w:rPr>
        <w:t xml:space="preserve"> Сервер у межах обробки запиту користувача виконує синхронний HTTP-виклик до зовнішнього API (Google Books, Open Library), розбирає відповідь у форматі JSON і зберігає метадані.</w:t>
      </w:r>
    </w:p>
    <w:p>
      <w:pPr>
        <w:spacing w:after="0" w:line="360"/>
        <w:ind w:firstLine="709"/>
        <w:jc w:val="both"/>
      </w:pPr>
      <w:r>
        <w:rPr>
          <w:rFonts w:ascii="Times New Roman" w:cs="Times New Roman" w:eastAsia="Times New Roman" w:hAnsi="Times New Roman"/>
          <w:sz w:val="28"/>
          <w:szCs w:val="28"/>
        </w:rPr>
        <w:t xml:space="preserve">Вузькі місця:</w:t>
      </w:r>
    </w:p>
    <w:p>
      <w:pPr>
        <w:pStyle w:val="ListParagraph"/>
        <w:numPr>
          <w:ilvl w:val="0"/>
          <w:numId w:val="2"/>
        </w:numPr>
        <w:spacing w:line="360"/>
        <w:jc w:val="both"/>
      </w:pPr>
      <w:r>
        <w:rPr>
          <w:rFonts w:ascii="Times New Roman" w:cs="Times New Roman" w:eastAsia="Times New Roman" w:hAnsi="Times New Roman"/>
          <w:sz w:val="28"/>
          <w:szCs w:val="28"/>
        </w:rPr>
        <w:t xml:space="preserve">затримка зовнішнього виклику додається до часу відповіді на запит користувача;</w:t>
      </w:r>
    </w:p>
    <w:p>
      <w:pPr>
        <w:pStyle w:val="ListParagraph"/>
        <w:numPr>
          <w:ilvl w:val="0"/>
          <w:numId w:val="2"/>
        </w:numPr>
        <w:spacing w:line="360"/>
        <w:jc w:val="both"/>
      </w:pPr>
      <w:r>
        <w:rPr>
          <w:rFonts w:ascii="Times New Roman" w:cs="Times New Roman" w:eastAsia="Times New Roman" w:hAnsi="Times New Roman"/>
          <w:sz w:val="28"/>
          <w:szCs w:val="28"/>
        </w:rPr>
        <w:t xml:space="preserve">недоступність або вичерпання квоти зовнішнього джерела спричиняє відмову функцій пошуку й ідентифікації;</w:t>
      </w:r>
    </w:p>
    <w:p>
      <w:pPr>
        <w:pStyle w:val="ListParagraph"/>
        <w:numPr>
          <w:ilvl w:val="0"/>
          <w:numId w:val="2"/>
        </w:numPr>
        <w:spacing w:line="360"/>
        <w:jc w:val="both"/>
      </w:pPr>
      <w:r>
        <w:rPr>
          <w:rFonts w:ascii="Times New Roman" w:cs="Times New Roman" w:eastAsia="Times New Roman" w:hAnsi="Times New Roman"/>
          <w:sz w:val="28"/>
          <w:szCs w:val="28"/>
        </w:rPr>
        <w:t xml:space="preserve">повторні запити щодо тих самих видань без кешування витрачають квоту;</w:t>
      </w:r>
    </w:p>
    <w:p>
      <w:pPr>
        <w:pStyle w:val="ListParagraph"/>
        <w:numPr>
          <w:ilvl w:val="0"/>
          <w:numId w:val="2"/>
        </w:numPr>
        <w:spacing w:line="360"/>
        <w:jc w:val="both"/>
      </w:pPr>
      <w:r>
        <w:rPr>
          <w:rFonts w:ascii="Times New Roman" w:cs="Times New Roman" w:eastAsia="Times New Roman" w:hAnsi="Times New Roman"/>
          <w:sz w:val="28"/>
          <w:szCs w:val="28"/>
        </w:rPr>
        <w:t xml:space="preserve">повнота метаданих для україномовних видань у зовнішніх джерелах неоднорідна, тому одне джерело не забезпечує ідентифікацію всіх видань.</w:t>
      </w:r>
    </w:p>
    <w:p>
      <w:pPr>
        <w:pStyle w:val="Heading3"/>
        <w:spacing w:after="120" w:before="240"/>
        <w:ind w:firstLine="709"/>
      </w:pPr>
      <w:r>
        <w:rPr>
          <w:rFonts w:ascii="Times New Roman" w:cs="Times New Roman" w:eastAsia="Times New Roman" w:hAnsi="Times New Roman"/>
          <w:b/>
          <w:bCs/>
          <w:color w:val="000000"/>
          <w:sz w:val="28"/>
          <w:szCs w:val="28"/>
        </w:rPr>
        <w:t xml:space="preserve">1.4.4. Регуляторні та індустріальні обмеження</w:t>
      </w:r>
    </w:p>
    <w:p>
      <w:pPr>
        <w:pStyle w:val="ListParagraph"/>
        <w:numPr>
          <w:ilvl w:val="0"/>
          <w:numId w:val="2"/>
        </w:numPr>
        <w:spacing w:line="360"/>
        <w:jc w:val="both"/>
      </w:pPr>
      <w:r>
        <w:rPr>
          <w:rFonts w:ascii="Times New Roman" w:cs="Times New Roman" w:eastAsia="Times New Roman" w:hAnsi="Times New Roman"/>
          <w:b/>
          <w:bCs/>
          <w:sz w:val="28"/>
          <w:szCs w:val="28"/>
        </w:rPr>
        <w:t xml:space="preserve">Захист персональних даних.</w:t>
      </w:r>
      <w:r>
        <w:rPr>
          <w:rFonts w:ascii="Times New Roman" w:cs="Times New Roman" w:eastAsia="Times New Roman" w:hAnsi="Times New Roman"/>
          <w:sz w:val="28"/>
          <w:szCs w:val="28"/>
        </w:rPr>
        <w:t xml:space="preserve"> Обробка облікових даних і фотографій регулюється Законом України «Про захист персональних даних» і, для користувачів із ЄС, Регламентом (ЄС) 2016/679 (GDPR): мінімізація обсягу даних, право на видалення та отримання копії даних. Фотографії можуть містити EXIF-метадані з геолокацією, що є персональними даними й підлягають видаленню.</w:t>
      </w:r>
    </w:p>
    <w:p>
      <w:pPr>
        <w:pStyle w:val="ListParagraph"/>
        <w:numPr>
          <w:ilvl w:val="0"/>
          <w:numId w:val="2"/>
        </w:numPr>
        <w:spacing w:line="360"/>
        <w:jc w:val="both"/>
      </w:pPr>
      <w:r>
        <w:rPr>
          <w:rFonts w:ascii="Times New Roman" w:cs="Times New Roman" w:eastAsia="Times New Roman" w:hAnsi="Times New Roman"/>
          <w:b/>
          <w:bCs/>
          <w:sz w:val="28"/>
          <w:szCs w:val="28"/>
        </w:rPr>
        <w:t xml:space="preserve">Безпека застосунків.</w:t>
      </w:r>
      <w:r>
        <w:rPr>
          <w:rFonts w:ascii="Times New Roman" w:cs="Times New Roman" w:eastAsia="Times New Roman" w:hAnsi="Times New Roman"/>
          <w:sz w:val="28"/>
          <w:szCs w:val="28"/>
        </w:rPr>
        <w:t xml:space="preserve"> Вимоги OWASP Application Security Verification Standard (ASVS) рівня L1 і перелік ризиків OWASP Top 10; зберігання паролів — алгоритм Argon2id (RFC 9106) з параметрами за OWASP Password Storage Cheat Sheet; токени доступу — JWT (RFC 7519).</w:t>
      </w:r>
    </w:p>
    <w:p>
      <w:pPr>
        <w:pStyle w:val="ListParagraph"/>
        <w:numPr>
          <w:ilvl w:val="0"/>
          <w:numId w:val="2"/>
        </w:numPr>
        <w:spacing w:line="360"/>
        <w:jc w:val="both"/>
      </w:pPr>
      <w:r>
        <w:rPr>
          <w:rFonts w:ascii="Times New Roman" w:cs="Times New Roman" w:eastAsia="Times New Roman" w:hAnsi="Times New Roman"/>
          <w:b/>
          <w:bCs/>
          <w:sz w:val="28"/>
          <w:szCs w:val="28"/>
        </w:rPr>
        <w:t xml:space="preserve">Стандарти ідентифікації та обміну даними.</w:t>
      </w:r>
      <w:r>
        <w:rPr>
          <w:rFonts w:ascii="Times New Roman" w:cs="Times New Roman" w:eastAsia="Times New Roman" w:hAnsi="Times New Roman"/>
          <w:sz w:val="28"/>
          <w:szCs w:val="28"/>
        </w:rPr>
        <w:t xml:space="preserve"> ISBN (ISO 2108) і штрихкод EAN-13; JSON (RFC 8259) як формат відповідей бібліографічних API; опис власного API — специфікація OpenAPI 3.1; структура подій — специфікація CloudEvents 1.0.</w:t>
      </w:r>
    </w:p>
    <w:p>
      <w:pPr>
        <w:pStyle w:val="ListParagraph"/>
        <w:numPr>
          <w:ilvl w:val="0"/>
          <w:numId w:val="2"/>
        </w:numPr>
        <w:spacing w:line="360"/>
        <w:jc w:val="both"/>
      </w:pPr>
      <w:r>
        <w:rPr>
          <w:rFonts w:ascii="Times New Roman" w:cs="Times New Roman" w:eastAsia="Times New Roman" w:hAnsi="Times New Roman"/>
          <w:b/>
          <w:bCs/>
          <w:sz w:val="28"/>
          <w:szCs w:val="28"/>
        </w:rPr>
        <w:t xml:space="preserve">Умови використання зовнішніх API.</w:t>
      </w:r>
      <w:r>
        <w:rPr>
          <w:rFonts w:ascii="Times New Roman" w:cs="Times New Roman" w:eastAsia="Times New Roman" w:hAnsi="Times New Roman"/>
          <w:sz w:val="28"/>
          <w:szCs w:val="28"/>
        </w:rPr>
        <w:t xml:space="preserve"> Google Books API встановлює квоти запитів і вимоги до атрибуції джерела; Open Library рекомендує обмежувати частоту автоматизованих запитів.</w:t>
      </w:r>
    </w:p>
    <w:p>
      <w:pPr>
        <w:pStyle w:val="ListParagraph"/>
        <w:numPr>
          <w:ilvl w:val="0"/>
          <w:numId w:val="2"/>
        </w:numPr>
        <w:spacing w:line="360"/>
        <w:jc w:val="both"/>
      </w:pPr>
      <w:r>
        <w:rPr>
          <w:rFonts w:ascii="Times New Roman" w:cs="Times New Roman" w:eastAsia="Times New Roman" w:hAnsi="Times New Roman"/>
          <w:b/>
          <w:bCs/>
          <w:sz w:val="28"/>
          <w:szCs w:val="28"/>
        </w:rPr>
        <w:t xml:space="preserve">Мобільна платформа.</w:t>
      </w:r>
      <w:r>
        <w:rPr>
          <w:rFonts w:ascii="Times New Roman" w:cs="Times New Roman" w:eastAsia="Times New Roman" w:hAnsi="Times New Roman"/>
          <w:sz w:val="28"/>
          <w:szCs w:val="28"/>
        </w:rPr>
        <w:t xml:space="preserve"> Доступ до камери в Android потребує дозволу під час виконання; застосунок має відповідати вимогам Google Play до цільового рівня API.</w:t>
      </w:r>
    </w:p>
    <w:p>
      <w:pPr>
        <w:spacing w:after="0" w:line="360"/>
        <w:ind w:firstLine="709"/>
        <w:jc w:val="both"/>
      </w:pPr>
      <w:r>
        <w:rPr>
          <w:rFonts w:ascii="Times New Roman" w:cs="Times New Roman" w:eastAsia="Times New Roman" w:hAnsi="Times New Roman"/>
          <w:sz w:val="28"/>
          <w:szCs w:val="28"/>
        </w:rPr>
        <w:t xml:space="preserve">Виявлені вузькі місця процесів 1–3 визначають вимоги до проєктованої системи, сформульовані в підрозділі 1.5.</w:t>
      </w:r>
    </w:p>
    <w:p>
      <w:r>
        <w:br w:type="page"/>
      </w:r>
    </w:p>
    <w:p>
      <w:pPr>
        <w:pStyle w:val="Heading2"/>
        <w:spacing w:after="120" w:before="240"/>
        <w:ind w:firstLine="709"/>
      </w:pPr>
      <w:r>
        <w:rPr>
          <w:rFonts w:ascii="Times New Roman" w:cs="Times New Roman" w:eastAsia="Times New Roman" w:hAnsi="Times New Roman"/>
          <w:b/>
          <w:bCs/>
          <w:color w:val="000000"/>
          <w:sz w:val="28"/>
          <w:szCs w:val="28"/>
        </w:rPr>
        <w:t xml:space="preserve">1.5. Постановка задачі та формування вимог (модель To-Be, Core Features, NFRs)</w:t>
      </w:r>
    </w:p>
    <w:p>
      <w:pPr>
        <w:pStyle w:val="Heading3"/>
        <w:spacing w:after="120" w:before="240"/>
        <w:ind w:firstLine="709"/>
      </w:pPr>
      <w:r>
        <w:rPr>
          <w:rFonts w:ascii="Times New Roman" w:cs="Times New Roman" w:eastAsia="Times New Roman" w:hAnsi="Times New Roman"/>
          <w:b/>
          <w:bCs/>
          <w:color w:val="000000"/>
          <w:sz w:val="28"/>
          <w:szCs w:val="28"/>
        </w:rPr>
        <w:t xml:space="preserve">1.5.1. Концептуальна модель To-Be</w:t>
      </w:r>
    </w:p>
    <w:p>
      <w:pPr>
        <w:spacing w:after="0" w:line="360"/>
        <w:ind w:firstLine="709"/>
        <w:jc w:val="both"/>
      </w:pPr>
      <w:r>
        <w:rPr>
          <w:rFonts w:ascii="Times New Roman" w:cs="Times New Roman" w:eastAsia="Times New Roman" w:hAnsi="Times New Roman"/>
          <w:b/>
          <w:bCs/>
          <w:sz w:val="28"/>
          <w:szCs w:val="28"/>
        </w:rPr>
        <w:t xml:space="preserve">Процес 1 (To-Be). Каталогізація за зображенням полиці.</w:t>
      </w:r>
    </w:p>
    <w:p>
      <w:pPr>
        <w:pStyle w:val="ListParagraph"/>
        <w:numPr>
          <w:ilvl w:val="0"/>
          <w:numId w:val="3"/>
        </w:numPr>
        <w:spacing w:line="360"/>
        <w:jc w:val="both"/>
      </w:pPr>
      <w:r>
        <w:rPr>
          <w:rFonts w:ascii="Times New Roman" w:cs="Times New Roman" w:eastAsia="Times New Roman" w:hAnsi="Times New Roman"/>
          <w:sz w:val="28"/>
          <w:szCs w:val="28"/>
        </w:rPr>
        <w:t xml:space="preserve">Клієнт надсилає зображення полиці (multipart/form-data) до API.</w:t>
      </w:r>
    </w:p>
    <w:p>
      <w:pPr>
        <w:pStyle w:val="ListParagraph"/>
        <w:numPr>
          <w:ilvl w:val="0"/>
          <w:numId w:val="3"/>
        </w:numPr>
        <w:spacing w:line="360"/>
        <w:jc w:val="both"/>
      </w:pPr>
      <w:r>
        <w:rPr>
          <w:rFonts w:ascii="Times New Roman" w:cs="Times New Roman" w:eastAsia="Times New Roman" w:hAnsi="Times New Roman"/>
          <w:sz w:val="28"/>
          <w:szCs w:val="28"/>
        </w:rPr>
        <w:t xml:space="preserve">API перевіряє тип файлу за сигнатурою та розмір, видаляє EXIF-метадані, зберігає зображення в S3-сумісне сховище, ставить задачу розпізнавання в чергу Celery і повертає відповідь 202 Accepted з ідентифікатором задачі.</w:t>
      </w:r>
    </w:p>
    <w:p>
      <w:pPr>
        <w:pStyle w:val="ListParagraph"/>
        <w:numPr>
          <w:ilvl w:val="0"/>
          <w:numId w:val="3"/>
        </w:numPr>
        <w:spacing w:line="360"/>
        <w:jc w:val="both"/>
      </w:pPr>
      <w:r>
        <w:rPr>
          <w:rFonts w:ascii="Times New Roman" w:cs="Times New Roman" w:eastAsia="Times New Roman" w:hAnsi="Times New Roman"/>
          <w:sz w:val="28"/>
          <w:szCs w:val="28"/>
        </w:rPr>
        <w:t xml:space="preserve">Обробник сканера в окремому контейнері виконує конвеєр: детекція текстових областей (PaddleOCR) → поворот областей на ±90° → розпізнавання тексту → групування фрагментів за корінцями → пошук кандидатів через адаптер бібліографічних джерел → нечітке зіставлення (RapidFuzz) → відсіювання за порогом схожості.</w:t>
      </w:r>
    </w:p>
    <w:p>
      <w:pPr>
        <w:pStyle w:val="ListParagraph"/>
        <w:numPr>
          <w:ilvl w:val="0"/>
          <w:numId w:val="3"/>
        </w:numPr>
        <w:spacing w:line="360"/>
        <w:jc w:val="both"/>
      </w:pPr>
      <w:r>
        <w:rPr>
          <w:rFonts w:ascii="Times New Roman" w:cs="Times New Roman" w:eastAsia="Times New Roman" w:hAnsi="Times New Roman"/>
          <w:sz w:val="28"/>
          <w:szCs w:val="28"/>
        </w:rPr>
        <w:t xml:space="preserve">Клієнт отримує статус і результат задачі опитуванням API: список кандидатів з оцінкою схожості.</w:t>
      </w:r>
    </w:p>
    <w:p>
      <w:pPr>
        <w:pStyle w:val="ListParagraph"/>
        <w:numPr>
          <w:ilvl w:val="0"/>
          <w:numId w:val="3"/>
        </w:numPr>
        <w:spacing w:line="360"/>
        <w:jc w:val="both"/>
      </w:pPr>
      <w:r>
        <w:rPr>
          <w:rFonts w:ascii="Times New Roman" w:cs="Times New Roman" w:eastAsia="Times New Roman" w:hAnsi="Times New Roman"/>
          <w:sz w:val="28"/>
          <w:szCs w:val="28"/>
        </w:rPr>
        <w:t xml:space="preserve">Користувач підтверджує або виправляє список; API створює записи особистої бібліотеки однією транзакцією.</w:t>
      </w:r>
    </w:p>
    <w:p>
      <w:pPr>
        <w:pStyle w:val="ListParagraph"/>
        <w:numPr>
          <w:ilvl w:val="0"/>
          <w:numId w:val="3"/>
        </w:numPr>
        <w:spacing w:line="360"/>
        <w:jc w:val="both"/>
      </w:pPr>
      <w:r>
        <w:rPr>
          <w:rFonts w:ascii="Times New Roman" w:cs="Times New Roman" w:eastAsia="Times New Roman" w:hAnsi="Times New Roman"/>
          <w:sz w:val="28"/>
          <w:szCs w:val="28"/>
        </w:rPr>
        <w:t xml:space="preserve">Зображення автоматично видаляється зі сховища після завершення строку зберігання.</w:t>
      </w:r>
    </w:p>
    <w:p>
      <w:pPr>
        <w:spacing w:after="0" w:line="360"/>
        <w:ind w:firstLine="709"/>
        <w:jc w:val="both"/>
      </w:pPr>
      <w:r>
        <w:rPr>
          <w:rFonts w:ascii="Times New Roman" w:cs="Times New Roman" w:eastAsia="Times New Roman" w:hAnsi="Times New Roman"/>
          <w:sz w:val="28"/>
          <w:szCs w:val="28"/>
        </w:rPr>
        <w:t xml:space="preserve">Сканування ISBN-штрихкоду зберігається як резервний спосіб для окремих видань. Вузьке місце лінійної трудомісткості усунено: одна операція ідентифікує всі видання на зображенні, а обробка не навантажує API.</w:t>
      </w:r>
    </w:p>
    <w:p>
      <w:pPr>
        <w:spacing w:after="0" w:line="360"/>
        <w:ind w:firstLine="709"/>
        <w:jc w:val="both"/>
      </w:pPr>
      <w:r>
        <w:rPr>
          <w:rFonts w:ascii="Times New Roman" w:cs="Times New Roman" w:eastAsia="Times New Roman" w:hAnsi="Times New Roman"/>
          <w:b/>
          <w:bCs/>
          <w:sz w:val="28"/>
          <w:szCs w:val="28"/>
        </w:rPr>
        <w:t xml:space="preserve">Процес 2 (To-Be). Подієве нарахування показників гейміфікації.</w:t>
      </w:r>
    </w:p>
    <w:p>
      <w:pPr>
        <w:pStyle w:val="ListParagraph"/>
        <w:numPr>
          <w:ilvl w:val="0"/>
          <w:numId w:val="4"/>
        </w:numPr>
        <w:spacing w:line="360"/>
        <w:jc w:val="both"/>
      </w:pPr>
      <w:r>
        <w:rPr>
          <w:rFonts w:ascii="Times New Roman" w:cs="Times New Roman" w:eastAsia="Times New Roman" w:hAnsi="Times New Roman"/>
          <w:sz w:val="28"/>
          <w:szCs w:val="28"/>
        </w:rPr>
        <w:t xml:space="preserve">API в одній транзакції PostgreSQL записує доменні дані (наприклад, сесію читання) і подію в таблицю outbox.</w:t>
      </w:r>
    </w:p>
    <w:p>
      <w:pPr>
        <w:pStyle w:val="ListParagraph"/>
        <w:numPr>
          <w:ilvl w:val="0"/>
          <w:numId w:val="4"/>
        </w:numPr>
        <w:spacing w:line="360"/>
        <w:jc w:val="both"/>
      </w:pPr>
      <w:r>
        <w:rPr>
          <w:rFonts w:ascii="Times New Roman" w:cs="Times New Roman" w:eastAsia="Times New Roman" w:hAnsi="Times New Roman"/>
          <w:sz w:val="28"/>
          <w:szCs w:val="28"/>
        </w:rPr>
        <w:t xml:space="preserve">Ретранслятор outbox публікує події в Apache Kafka і позначає їх як відправлені.</w:t>
      </w:r>
    </w:p>
    <w:p>
      <w:pPr>
        <w:pStyle w:val="ListParagraph"/>
        <w:numPr>
          <w:ilvl w:val="0"/>
          <w:numId w:val="4"/>
        </w:numPr>
        <w:spacing w:line="360"/>
        <w:jc w:val="both"/>
      </w:pPr>
      <w:r>
        <w:rPr>
          <w:rFonts w:ascii="Times New Roman" w:cs="Times New Roman" w:eastAsia="Times New Roman" w:hAnsi="Times New Roman"/>
          <w:sz w:val="28"/>
          <w:szCs w:val="28"/>
        </w:rPr>
        <w:t xml:space="preserve">Споживачі модуля гейміфікації обробляють події ідемпотентно: ідентифікатор кожної обробленої події зберігається, повторна доставка ігнорується.</w:t>
      </w:r>
    </w:p>
    <w:p>
      <w:pPr>
        <w:pStyle w:val="ListParagraph"/>
        <w:numPr>
          <w:ilvl w:val="0"/>
          <w:numId w:val="4"/>
        </w:numPr>
        <w:spacing w:line="360"/>
        <w:jc w:val="both"/>
      </w:pPr>
      <w:r>
        <w:rPr>
          <w:rFonts w:ascii="Times New Roman" w:cs="Times New Roman" w:eastAsia="Times New Roman" w:hAnsi="Times New Roman"/>
          <w:sz w:val="28"/>
          <w:szCs w:val="28"/>
        </w:rPr>
        <w:t xml:space="preserve">Споживачі оновлюють CQRS-проєкції (досвід, серії, досягнення, рівні навичок за жанрами); API читає показники з проєкцій.</w:t>
      </w:r>
    </w:p>
    <w:p>
      <w:pPr>
        <w:pStyle w:val="ListParagraph"/>
        <w:numPr>
          <w:ilvl w:val="0"/>
          <w:numId w:val="4"/>
        </w:numPr>
        <w:spacing w:line="360"/>
        <w:jc w:val="both"/>
      </w:pPr>
      <w:r>
        <w:rPr>
          <w:rFonts w:ascii="Times New Roman" w:cs="Times New Roman" w:eastAsia="Times New Roman" w:hAnsi="Times New Roman"/>
          <w:sz w:val="28"/>
          <w:szCs w:val="28"/>
        </w:rPr>
        <w:t xml:space="preserve">У разі зміни правил нарахування проєкції перебудовуються повторним відтворенням подій із журналу Kafka.</w:t>
      </w:r>
    </w:p>
    <w:p>
      <w:pPr>
        <w:spacing w:after="0" w:line="360"/>
        <w:ind w:firstLine="709"/>
        <w:jc w:val="both"/>
      </w:pPr>
      <w:r>
        <w:rPr>
          <w:rFonts w:ascii="Times New Roman" w:cs="Times New Roman" w:eastAsia="Times New Roman" w:hAnsi="Times New Roman"/>
          <w:sz w:val="28"/>
          <w:szCs w:val="28"/>
        </w:rPr>
        <w:t xml:space="preserve">Відповідь на запит користувача не залежить від часу перерахунку, втрата подій між записом даних і публікацією виключена, повторне нарахування усунено.</w:t>
      </w:r>
    </w:p>
    <w:p>
      <w:pPr>
        <w:spacing w:after="0" w:line="360"/>
        <w:ind w:firstLine="709"/>
        <w:jc w:val="both"/>
      </w:pPr>
      <w:r>
        <w:rPr>
          <w:rFonts w:ascii="Times New Roman" w:cs="Times New Roman" w:eastAsia="Times New Roman" w:hAnsi="Times New Roman"/>
          <w:b/>
          <w:bCs/>
          <w:sz w:val="28"/>
          <w:szCs w:val="28"/>
        </w:rPr>
        <w:t xml:space="preserve">Процес 3 (To-Be). Отримання метаданих через адаптер.</w:t>
      </w:r>
    </w:p>
    <w:p>
      <w:pPr>
        <w:pStyle w:val="ListParagraph"/>
        <w:numPr>
          <w:ilvl w:val="0"/>
          <w:numId w:val="5"/>
        </w:numPr>
        <w:spacing w:line="360"/>
        <w:jc w:val="both"/>
      </w:pPr>
      <w:r>
        <w:rPr>
          <w:rFonts w:ascii="Times New Roman" w:cs="Times New Roman" w:eastAsia="Times New Roman" w:hAnsi="Times New Roman"/>
          <w:sz w:val="28"/>
          <w:szCs w:val="28"/>
        </w:rPr>
        <w:t xml:space="preserve">Адаптер перевіряє кеш Redis (Cache-Aside) за ISBN або нормалізованим рядком пошуку.</w:t>
      </w:r>
    </w:p>
    <w:p>
      <w:pPr>
        <w:pStyle w:val="ListParagraph"/>
        <w:numPr>
          <w:ilvl w:val="0"/>
          <w:numId w:val="5"/>
        </w:numPr>
        <w:spacing w:line="360"/>
        <w:jc w:val="both"/>
      </w:pPr>
      <w:r>
        <w:rPr>
          <w:rFonts w:ascii="Times New Roman" w:cs="Times New Roman" w:eastAsia="Times New Roman" w:hAnsi="Times New Roman"/>
          <w:sz w:val="28"/>
          <w:szCs w:val="28"/>
        </w:rPr>
        <w:t xml:space="preserve">За відсутності запису в кеші виконується виклик Google Books API з таймаутом і повторними спробами (Retry) з експоненційною затримкою.</w:t>
      </w:r>
    </w:p>
    <w:p>
      <w:pPr>
        <w:pStyle w:val="ListParagraph"/>
        <w:numPr>
          <w:ilvl w:val="0"/>
          <w:numId w:val="5"/>
        </w:numPr>
        <w:spacing w:line="360"/>
        <w:jc w:val="both"/>
      </w:pPr>
      <w:r>
        <w:rPr>
          <w:rFonts w:ascii="Times New Roman" w:cs="Times New Roman" w:eastAsia="Times New Roman" w:hAnsi="Times New Roman"/>
          <w:sz w:val="28"/>
          <w:szCs w:val="28"/>
        </w:rPr>
        <w:t xml:space="preserve">Circuit Breaker розмикає ланцюг після серії помилок і перенаправляє запити до резервного джерела Open Library.</w:t>
      </w:r>
    </w:p>
    <w:p>
      <w:pPr>
        <w:pStyle w:val="ListParagraph"/>
        <w:numPr>
          <w:ilvl w:val="0"/>
          <w:numId w:val="5"/>
        </w:numPr>
        <w:spacing w:line="360"/>
        <w:jc w:val="both"/>
      </w:pPr>
      <w:r>
        <w:rPr>
          <w:rFonts w:ascii="Times New Roman" w:cs="Times New Roman" w:eastAsia="Times New Roman" w:hAnsi="Times New Roman"/>
          <w:sz w:val="28"/>
          <w:szCs w:val="28"/>
        </w:rPr>
        <w:t xml:space="preserve">Отримані метадані нормалізуються до внутрішньої моделі видання й записуються в кеш і каталог.</w:t>
      </w:r>
    </w:p>
    <w:p>
      <w:pPr>
        <w:spacing w:after="0" w:line="360"/>
        <w:ind w:firstLine="709"/>
        <w:jc w:val="both"/>
      </w:pPr>
      <w:r>
        <w:rPr>
          <w:rFonts w:ascii="Times New Roman" w:cs="Times New Roman" w:eastAsia="Times New Roman" w:hAnsi="Times New Roman"/>
          <w:sz w:val="28"/>
          <w:szCs w:val="28"/>
        </w:rPr>
        <w:t xml:space="preserve">Недоступність одного джерела не спричиняє відмови функцій пошуку й ідентифікації, а повторні запити не витрачають квоту.</w:t>
      </w:r>
    </w:p>
    <w:p>
      <w:pPr>
        <w:pStyle w:val="Heading3"/>
        <w:spacing w:after="120" w:before="240"/>
        <w:ind w:firstLine="709"/>
      </w:pPr>
      <w:r>
        <w:rPr>
          <w:rFonts w:ascii="Times New Roman" w:cs="Times New Roman" w:eastAsia="Times New Roman" w:hAnsi="Times New Roman"/>
          <w:b/>
          <w:bCs/>
          <w:color w:val="000000"/>
          <w:sz w:val="28"/>
          <w:szCs w:val="28"/>
        </w:rPr>
        <w:t xml:space="preserve">1.5.2. Функціональні вимоги (Core Features)</w:t>
      </w:r>
    </w:p>
    <w:p>
      <w:pPr>
        <w:spacing w:after="0" w:line="360"/>
        <w:ind w:firstLine="709"/>
        <w:jc w:val="both"/>
      </w:pPr>
      <w:r>
        <w:rPr>
          <w:rFonts w:ascii="Times New Roman" w:cs="Times New Roman" w:eastAsia="Times New Roman" w:hAnsi="Times New Roman"/>
          <w:b/>
          <w:bCs/>
          <w:sz w:val="28"/>
          <w:szCs w:val="28"/>
        </w:rPr>
        <w:t xml:space="preserve">Модуль «Ідентифікація та доступ»</w:t>
      </w:r>
    </w:p>
    <w:p>
      <w:pPr>
        <w:pStyle w:val="ListParagraph"/>
        <w:numPr>
          <w:ilvl w:val="0"/>
          <w:numId w:val="2"/>
        </w:numPr>
        <w:spacing w:line="360"/>
        <w:jc w:val="both"/>
      </w:pPr>
      <w:r>
        <w:rPr>
          <w:rFonts w:ascii="Times New Roman" w:cs="Times New Roman" w:eastAsia="Times New Roman" w:hAnsi="Times New Roman"/>
          <w:sz w:val="28"/>
          <w:szCs w:val="28"/>
        </w:rPr>
        <w:t xml:space="preserve">Реєструвати користувачів, автентифікувати за адресою електронної пошти й паролем, видавати токени доступу JWT і виконувати ротацію refresh-токенів.</w:t>
      </w:r>
    </w:p>
    <w:p>
      <w:pPr>
        <w:spacing w:after="0" w:line="360"/>
        <w:ind w:firstLine="709"/>
        <w:jc w:val="both"/>
      </w:pPr>
      <w:r>
        <w:rPr>
          <w:rFonts w:ascii="Times New Roman" w:cs="Times New Roman" w:eastAsia="Times New Roman" w:hAnsi="Times New Roman"/>
          <w:b/>
          <w:bCs/>
          <w:sz w:val="28"/>
          <w:szCs w:val="28"/>
        </w:rPr>
        <w:t xml:space="preserve">Модуль «Каталог і бібліотека»</w:t>
      </w:r>
    </w:p>
    <w:p>
      <w:pPr>
        <w:pStyle w:val="ListParagraph"/>
        <w:numPr>
          <w:ilvl w:val="0"/>
          <w:numId w:val="2"/>
        </w:numPr>
        <w:spacing w:line="360"/>
        <w:jc w:val="both"/>
      </w:pPr>
      <w:r>
        <w:rPr>
          <w:rFonts w:ascii="Times New Roman" w:cs="Times New Roman" w:eastAsia="Times New Roman" w:hAnsi="Times New Roman"/>
          <w:sz w:val="28"/>
          <w:szCs w:val="28"/>
        </w:rPr>
        <w:t xml:space="preserve">Шукати видання за назвою, автором або ISBN через адаптер бібліографічних джерел і додавати їх до особистої бібліотеки зі статусом.</w:t>
      </w:r>
    </w:p>
    <w:p>
      <w:pPr>
        <w:spacing w:after="0" w:line="360"/>
        <w:ind w:firstLine="709"/>
        <w:jc w:val="both"/>
      </w:pPr>
      <w:r>
        <w:rPr>
          <w:rFonts w:ascii="Times New Roman" w:cs="Times New Roman" w:eastAsia="Times New Roman" w:hAnsi="Times New Roman"/>
          <w:b/>
          <w:bCs/>
          <w:sz w:val="28"/>
          <w:szCs w:val="28"/>
        </w:rPr>
        <w:t xml:space="preserve">Модуль «Сканер полиці»</w:t>
      </w:r>
    </w:p>
    <w:p>
      <w:pPr>
        <w:pStyle w:val="ListParagraph"/>
        <w:numPr>
          <w:ilvl w:val="0"/>
          <w:numId w:val="2"/>
        </w:numPr>
        <w:spacing w:line="360"/>
        <w:jc w:val="both"/>
      </w:pPr>
      <w:r>
        <w:rPr>
          <w:rFonts w:ascii="Times New Roman" w:cs="Times New Roman" w:eastAsia="Times New Roman" w:hAnsi="Times New Roman"/>
          <w:sz w:val="28"/>
          <w:szCs w:val="28"/>
        </w:rPr>
        <w:t xml:space="preserve">Приймати зображення полиці, асинхронно розпізнавати корінці та повертати список кандидатів-видань з оцінкою схожості для підтвердження користувачем.</w:t>
      </w:r>
    </w:p>
    <w:p>
      <w:pPr>
        <w:pStyle w:val="ListParagraph"/>
        <w:numPr>
          <w:ilvl w:val="0"/>
          <w:numId w:val="2"/>
        </w:numPr>
        <w:spacing w:line="360"/>
        <w:jc w:val="both"/>
      </w:pPr>
      <w:r>
        <w:rPr>
          <w:rFonts w:ascii="Times New Roman" w:cs="Times New Roman" w:eastAsia="Times New Roman" w:hAnsi="Times New Roman"/>
          <w:sz w:val="28"/>
          <w:szCs w:val="28"/>
        </w:rPr>
        <w:t xml:space="preserve">Ідентифікувати видання за ISBN-штрихкодом як резервний спосіб додавання.</w:t>
      </w:r>
    </w:p>
    <w:p>
      <w:pPr>
        <w:spacing w:after="0" w:line="360"/>
        <w:ind w:firstLine="709"/>
        <w:jc w:val="both"/>
      </w:pPr>
      <w:r>
        <w:rPr>
          <w:rFonts w:ascii="Times New Roman" w:cs="Times New Roman" w:eastAsia="Times New Roman" w:hAnsi="Times New Roman"/>
          <w:b/>
          <w:bCs/>
          <w:sz w:val="28"/>
          <w:szCs w:val="28"/>
        </w:rPr>
        <w:t xml:space="preserve">Модуль «Читання»</w:t>
      </w:r>
    </w:p>
    <w:p>
      <w:pPr>
        <w:pStyle w:val="ListParagraph"/>
        <w:numPr>
          <w:ilvl w:val="0"/>
          <w:numId w:val="2"/>
        </w:numPr>
        <w:spacing w:line="360"/>
        <w:jc w:val="both"/>
      </w:pPr>
      <w:r>
        <w:rPr>
          <w:rFonts w:ascii="Times New Roman" w:cs="Times New Roman" w:eastAsia="Times New Roman" w:hAnsi="Times New Roman"/>
          <w:sz w:val="28"/>
          <w:szCs w:val="28"/>
        </w:rPr>
        <w:t xml:space="preserve">Фіксувати сесії читання (дата, тривалість, діапазон сторінок) і формувати статистику за періодами.</w:t>
      </w:r>
    </w:p>
    <w:p>
      <w:pPr>
        <w:spacing w:after="0" w:line="360"/>
        <w:ind w:firstLine="709"/>
        <w:jc w:val="both"/>
      </w:pPr>
      <w:r>
        <w:rPr>
          <w:rFonts w:ascii="Times New Roman" w:cs="Times New Roman" w:eastAsia="Times New Roman" w:hAnsi="Times New Roman"/>
          <w:b/>
          <w:bCs/>
          <w:sz w:val="28"/>
          <w:szCs w:val="28"/>
        </w:rPr>
        <w:t xml:space="preserve">Модуль «Нотатки»</w:t>
      </w:r>
    </w:p>
    <w:p>
      <w:pPr>
        <w:pStyle w:val="ListParagraph"/>
        <w:numPr>
          <w:ilvl w:val="0"/>
          <w:numId w:val="2"/>
        </w:numPr>
        <w:spacing w:line="360"/>
        <w:jc w:val="both"/>
      </w:pPr>
      <w:r>
        <w:rPr>
          <w:rFonts w:ascii="Times New Roman" w:cs="Times New Roman" w:eastAsia="Times New Roman" w:hAnsi="Times New Roman"/>
          <w:sz w:val="28"/>
          <w:szCs w:val="28"/>
        </w:rPr>
        <w:t xml:space="preserve">Зберігати нотатки й цитати з тегами, баг-репорти сюжету (severity, кроки відтворення) і практичні дії для нонфікшн-видань.</w:t>
      </w:r>
    </w:p>
    <w:p>
      <w:pPr>
        <w:spacing w:after="0" w:line="360"/>
        <w:ind w:firstLine="709"/>
        <w:jc w:val="both"/>
      </w:pPr>
      <w:r>
        <w:rPr>
          <w:rFonts w:ascii="Times New Roman" w:cs="Times New Roman" w:eastAsia="Times New Roman" w:hAnsi="Times New Roman"/>
          <w:b/>
          <w:bCs/>
          <w:sz w:val="28"/>
          <w:szCs w:val="28"/>
        </w:rPr>
        <w:t xml:space="preserve">Модуль «Гейміфікація»</w:t>
      </w:r>
    </w:p>
    <w:p>
      <w:pPr>
        <w:pStyle w:val="ListParagraph"/>
        <w:numPr>
          <w:ilvl w:val="0"/>
          <w:numId w:val="2"/>
        </w:numPr>
        <w:spacing w:line="360"/>
        <w:jc w:val="both"/>
      </w:pPr>
      <w:r>
        <w:rPr>
          <w:rFonts w:ascii="Times New Roman" w:cs="Times New Roman" w:eastAsia="Times New Roman" w:hAnsi="Times New Roman"/>
          <w:sz w:val="28"/>
          <w:szCs w:val="28"/>
        </w:rPr>
        <w:t xml:space="preserve">Нараховувати досвід, обчислювати серії днів читання, рівні навичок за жанрами та досягнення за подіями активності; перебудовувати проєкції повторним відтворенням подій.</w:t>
      </w:r>
    </w:p>
    <w:p>
      <w:pPr>
        <w:pStyle w:val="ListParagraph"/>
        <w:numPr>
          <w:ilvl w:val="0"/>
          <w:numId w:val="2"/>
        </w:numPr>
        <w:spacing w:line="360"/>
        <w:jc w:val="both"/>
      </w:pPr>
      <w:r>
        <w:rPr>
          <w:rFonts w:ascii="Times New Roman" w:cs="Times New Roman" w:eastAsia="Times New Roman" w:hAnsi="Times New Roman"/>
          <w:sz w:val="28"/>
          <w:szCs w:val="28"/>
        </w:rPr>
        <w:t xml:space="preserve">Формувати сповіщення про досягнення й пропуски читання в обраному користувачем тоні.</w:t>
      </w:r>
    </w:p>
    <w:p>
      <w:pPr>
        <w:pStyle w:val="Heading3"/>
        <w:spacing w:after="120" w:before="240"/>
        <w:ind w:firstLine="709"/>
      </w:pPr>
      <w:r>
        <w:rPr>
          <w:rFonts w:ascii="Times New Roman" w:cs="Times New Roman" w:eastAsia="Times New Roman" w:hAnsi="Times New Roman"/>
          <w:b/>
          <w:bCs/>
          <w:color w:val="000000"/>
          <w:sz w:val="28"/>
          <w:szCs w:val="28"/>
        </w:rPr>
        <w:t xml:space="preserve">1.5.3. Нефункціональні вимоги (NFRs)</w:t>
      </w:r>
    </w:p>
    <w:p>
      <w:pPr>
        <w:spacing w:after="0" w:line="360"/>
        <w:ind w:firstLine="709"/>
        <w:jc w:val="both"/>
      </w:pPr>
      <w:r>
        <w:rPr>
          <w:rFonts w:ascii="Times New Roman" w:cs="Times New Roman" w:eastAsia="Times New Roman" w:hAnsi="Times New Roman"/>
          <w:sz w:val="28"/>
          <w:szCs w:val="28"/>
        </w:rPr>
        <w:t xml:space="preserve">Цільове середовище вимірювань — одна хмарна віртуальна машина з 4 vCPU і 8 ГБ RAM; навантажувальне тестування виконується засобами k6.</w:t>
      </w:r>
    </w:p>
    <w:p>
      <w:pPr>
        <w:spacing w:after="60" w:before="120"/>
      </w:pPr>
      <w:r>
        <w:rPr>
          <w:rFonts w:ascii="Times New Roman" w:cs="Times New Roman" w:eastAsia="Times New Roman" w:hAnsi="Times New Roman"/>
          <w:sz w:val="28"/>
          <w:szCs w:val="28"/>
        </w:rPr>
        <w:t xml:space="preserve">Таблиця 1.2 — Нефункціональні вимоги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4655"/>
        <w:gridCol w:w="2000"/>
      </w:tblGrid>
      <w:tr>
        <w:trPr>
          <w:tblHeader/>
        </w:trP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0"/>
                <w:szCs w:val="20"/>
              </w:rPr>
              <w:t xml:space="preserve">Код</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0"/>
                <w:szCs w:val="20"/>
              </w:rPr>
              <w:t xml:space="preserve">Категорія</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0"/>
                <w:szCs w:val="20"/>
              </w:rPr>
              <w:t xml:space="preserve">Вимога</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0"/>
                <w:szCs w:val="20"/>
              </w:rPr>
              <w:t xml:space="preserve">Спосіб перевірки</w:t>
            </w:r>
          </w:p>
        </w:tc>
      </w:tr>
      <w:tr>
        <w:trPr>
          <w:tblHeader w:val="off"/>
        </w:trP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NFR-P1</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Продуктивність</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Синхронні запити читання (бібліотека, статистика, каталог): p95 ≤ 300 мс, p99 ≤ 800 мс за сталого навантаження 100 RPS протягом 10 хв; частка помилок &lt; 0,5 %</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k6, Prometheus</w:t>
            </w:r>
          </w:p>
        </w:tc>
      </w:tr>
      <w:tr>
        <w:trPr>
          <w:tblHeader w:val="off"/>
        </w:trP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NFR-P2</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Продуктивність</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Прийом зображення полиці розміром до 10 МБ з відповіддю 202 Accepted: p95 ≤ 1 с</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k6</w:t>
            </w:r>
          </w:p>
        </w:tc>
      </w:tr>
      <w:tr>
        <w:trPr>
          <w:tblHeader w:val="off"/>
        </w:trP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NFR-P3</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Продуктивність</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Повна обробка зображення полиці (до 30 корінців, до 12 Мп) одним обробником на 2 vCPU: p95 ≤ 30 с</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Метрики задач Celery</w:t>
            </w:r>
          </w:p>
        </w:tc>
      </w:tr>
      <w:tr>
        <w:trPr>
          <w:tblHeader w:val="off"/>
        </w:trP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NFR-P4</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Продуктивність</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Затримка від коміту транзакції до оновлення проєкції гейміфікації: p95 ≤ 5 с</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Трасування OpenTelemetry</w:t>
            </w:r>
          </w:p>
        </w:tc>
      </w:tr>
      <w:tr>
        <w:trPr>
          <w:tblHeader w:val="off"/>
        </w:trP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NFR-P5</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Масштабованість</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Кількість обробників сканера та споживачів подій змінюється без змін коду (docker compose --scale); пропускна здатність сканера зростає пропорційно кількості обробників</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Навантажувальний тест</w:t>
            </w:r>
          </w:p>
        </w:tc>
      </w:tr>
      <w:tr>
        <w:trPr>
          <w:tblHeader w:val="off"/>
        </w:trP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NFR-P6</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Якість розпізнавання</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На власному тестовому наборі 40–60 зображень: precision ≥ 0,85, recall ≥ 0,60</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Експеримент, Розділ 3</w:t>
            </w:r>
          </w:p>
        </w:tc>
      </w:tr>
      <w:tr>
        <w:trPr>
          <w:tblHeader w:val="off"/>
        </w:trP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NFR-S1</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Безпека</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Паролі зберігаються з Argon2id (m = 19 МіБ, t = 2, p = 1); access-токен JWT зі строком дії 15 хв; refresh-токен одноразовий зі строком дії 30 днів, повторне використання анулює всю сесію</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Модульні тести</w:t>
            </w:r>
          </w:p>
        </w:tc>
      </w:tr>
      <w:tr>
        <w:trPr>
          <w:tblHeader w:val="off"/>
        </w:trP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NFR-S2</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Безпека</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Увесь зовнішній трафік — TLS 1.2+ (Caddy, автоматичні сертифікати), заголовок HSTS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Перевірка конфігурації</w:t>
            </w:r>
          </w:p>
        </w:tc>
      </w:tr>
      <w:tr>
        <w:trPr>
          <w:tblHeader w:val="off"/>
        </w:trP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NFR-S3</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Безпека</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Обмеження частоти (Token Bucket): 60 запитів/хв на користувача для API, 10 зображень/год для сканера; перевищення — 429 Too Many Requests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Інтеграційні тести</w:t>
            </w:r>
          </w:p>
        </w:tc>
      </w:tr>
      <w:tr>
        <w:trPr>
          <w:tblHeader w:val="off"/>
        </w:trP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NFR-S4</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Безпека</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Зображення: JPEG, PNG або WebP за сигнатурою, ≤ 10 МБ; EXIF видаляється до збереження; автовидалення зі сховища через 24 год</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Інтеграційні тести</w:t>
            </w:r>
          </w:p>
        </w:tc>
      </w:tr>
      <w:tr>
        <w:trPr>
          <w:tblHeader w:val="off"/>
        </w:trP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NFR-S5</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Безпека та комплаєнс</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Відповідність OWASP ASVS L1; модель загроз STRIDE; у CI: SonarQube Quality Gate пройдено, Trivy — 0 вразливостей рівня Critical/High, Gitleaks — 0 знахідок</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Звіти CI</w:t>
            </w:r>
          </w:p>
        </w:tc>
      </w:tr>
      <w:tr>
        <w:trPr>
          <w:tblHeader w:val="off"/>
        </w:trP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NFR-S6</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Комплаєнс</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Експорт даних користувача у JSON і повне видалення облікового запису з даними за запитом</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Інтеграційні тести</w:t>
            </w:r>
          </w:p>
        </w:tc>
      </w:tr>
      <w:tr>
        <w:trPr>
          <w:tblHeader w:val="off"/>
        </w:trP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NFR-R1</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Надійність</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Доступність API ≥ 99,0 % на календарний місяць</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Prometheus</w:t>
            </w:r>
          </w:p>
        </w:tc>
      </w:tr>
      <w:tr>
        <w:trPr>
          <w:tblHeader w:val="off"/>
        </w:trP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NFR-R2</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Надійність</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Доставка подій at-least-once з ідемпотентною обробкою: 0 втрачених і 0 повторно врахованих подій у тестах із примусовою зупинкою Kafka та споживачів</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Тести відмов</w:t>
            </w:r>
          </w:p>
        </w:tc>
      </w:tr>
      <w:tr>
        <w:trPr>
          <w:tblHeader w:val="off"/>
        </w:trP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NFR-R3</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Відмовостійкість</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Виклики бібліографічних API: таймаут 3 с, до 3 повторних спроб з експоненційною затримкою 0,5–4 с; Circuit Breaker розмикається за ≥ 50 % помилок у вікні 30 с, повторна перевірка через 30 с; резервне джерело — Open Library</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Модульні тести</w:t>
            </w:r>
          </w:p>
        </w:tc>
      </w:tr>
      <w:tr>
        <w:trPr>
          <w:tblHeader w:val="off"/>
        </w:trP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NFR-R4</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Інфраструктура</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Усі компоненти контейнеризовано (Docker Compose), інфраструктуру описано засобами OpenTofu; health checks і автоматичний перезапуск контейнерів</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Перевірка конфігурації</w:t>
            </w:r>
          </w:p>
        </w:tc>
      </w:tr>
      <w:tr>
        <w:trPr>
          <w:tblHeader w:val="off"/>
        </w:trP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NFR-R5</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Резервне копіювання</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Щоденна резервна копія PostgreSQL у S3-сумісному сховищі, зберігання 14 днів; RPO ≤ 24 год, RTO ≤ 4 год; щомісячна перевірка відновлення</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Журнал відновлення</w:t>
            </w:r>
          </w:p>
        </w:tc>
      </w:tr>
      <w:tr>
        <w:trPr>
          <w:tblHeader w:val="off"/>
        </w:trP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NFR-R6</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Спостережуваність</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Метрики RED для API, обробників і споживачів (OpenTelemetry → Prometheus), панелі Grafana, сповіщення про перевищення порогів NFR-P1 і NFR-R1</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sz w:val="20"/>
                <w:szCs w:val="20"/>
              </w:rPr>
              <w:t xml:space="preserve">Grafana</w:t>
            </w:r>
          </w:p>
        </w:tc>
      </w:tr>
    </w:tbl>
    <w:p/>
    <w:p>
      <w:pPr>
        <w:pStyle w:val="Heading3"/>
        <w:spacing w:after="120" w:before="240"/>
        <w:ind w:firstLine="709"/>
      </w:pPr>
      <w:r>
        <w:rPr>
          <w:rFonts w:ascii="Times New Roman" w:cs="Times New Roman" w:eastAsia="Times New Roman" w:hAnsi="Times New Roman"/>
          <w:b/>
          <w:bCs/>
          <w:color w:val="000000"/>
          <w:sz w:val="28"/>
          <w:szCs w:val="28"/>
        </w:rPr>
        <w:t xml:space="preserve">1.5.4. Постановка задачі</w:t>
      </w:r>
    </w:p>
    <w:p>
      <w:pPr>
        <w:spacing w:after="0" w:line="360"/>
        <w:ind w:firstLine="709"/>
        <w:jc w:val="both"/>
      </w:pPr>
      <w:r>
        <w:rPr>
          <w:rFonts w:ascii="Times New Roman" w:cs="Times New Roman" w:eastAsia="Times New Roman" w:hAnsi="Times New Roman"/>
          <w:sz w:val="28"/>
          <w:szCs w:val="28"/>
        </w:rPr>
        <w:t xml:space="preserve">Таким чином, метою кваліфікаційної роботи є проєктування та розробка подієво-орієнтованої клієнт-серверної системи у формі модульного моноліту з окремим асинхронним обробником комп’ютерного зору для вирішення задачі автоматизованої каталогізації друкованих видань за зображеннями книжкових полиць і гарантованого подієвого нарахування показників гейміфікації читацької активності. Система має реалізувати функціональні вимоги підрозділу 1.5.2 і відповідати нефункціональним вимогам таблиці 1.2. Для цього передбачено: ізоляцію ресурсомісткого розпізнавання в черзі задач Celery, фіксацію подій через Transactional Outbox з передаванням у Apache Kafka, ідемпотентну обробку подій і CQRS-проєкції, адаптер бібліографічних джерел із Circuit Breaker, Retry і кешуванням, а також контейнеризоване розгортання з контуром спостережуваності та автоматизованими перевірками якості й безпеки.</w:t>
      </w:r>
    </w:p>
    <w:p>
      <w:r>
        <w:br w:type="page"/>
      </w:r>
    </w:p>
    <w:p>
      <w:pPr>
        <w:pStyle w:val="Heading2"/>
        <w:spacing w:after="120" w:before="240"/>
        <w:ind w:firstLine="709"/>
      </w:pPr>
      <w:r>
        <w:rPr>
          <w:rFonts w:ascii="Times New Roman" w:cs="Times New Roman" w:eastAsia="Times New Roman" w:hAnsi="Times New Roman"/>
          <w:b/>
          <w:bCs/>
          <w:color w:val="000000"/>
          <w:sz w:val="28"/>
          <w:szCs w:val="28"/>
        </w:rPr>
        <w:t xml:space="preserve">Висновки до розділу 1</w:t>
      </w:r>
    </w:p>
    <w:p>
      <w:pPr>
        <w:spacing w:after="0" w:line="360"/>
        <w:ind w:firstLine="709"/>
        <w:jc w:val="both"/>
      </w:pPr>
      <w:r>
        <w:rPr>
          <w:rFonts w:ascii="Times New Roman" w:cs="Times New Roman" w:eastAsia="Times New Roman" w:hAnsi="Times New Roman"/>
          <w:sz w:val="28"/>
          <w:szCs w:val="28"/>
        </w:rPr>
        <w:t xml:space="preserve">Аналіз підходів до каталогізації друкованих видань і наявних програмних рішень встановив, що поширені системи обліку читання ідентифікують видання поштучно — пошуком або скануванням ISBN-штрихкоду — і не підтримують пакетного розпізнавання книжкових полиць. Архітектурні рішення аналогів обмежують їхню масштабованість і відмовостійкість: ресурсомісткі й масові операції виконуються в основному контурі обробки запитів (The StoryGraph), похідний стан гейміфікації обчислюється синхронно та зберігається без журналу подій (Habitica), а декомпозиція на мікросервіси з керованими хмарними сервісами створює vendor lock-in і eventual consistency між сервісами (Goodreads). Аналіз предметної області за моделлю As-Is локалізував вузькі місця в трьох процесах: лінійна трудомісткість каталогізації, втрата або повторне врахування подій під час нарахування показників, залежність функцій ідентифікації від доступності зовнішніх бібліографічних API.</w:t>
      </w:r>
    </w:p>
    <w:p>
      <w:pPr>
        <w:spacing w:after="0" w:line="360"/>
        <w:ind w:firstLine="709"/>
        <w:jc w:val="both"/>
      </w:pPr>
      <w:r>
        <w:rPr>
          <w:rFonts w:ascii="Times New Roman" w:cs="Times New Roman" w:eastAsia="Times New Roman" w:hAnsi="Times New Roman"/>
          <w:sz w:val="28"/>
          <w:szCs w:val="28"/>
        </w:rPr>
        <w:t xml:space="preserve">Обґрунтовано застосування подієво-орієнтованого модульного моноліту. Розпізнавання тексту на корінцях засобами PaddleOCR із нечітким зіставленням RapidFuzz виконується в окремому обробнику Celery, що ізолює ресурсомістке навантаження від API FastAPI. Патерн Transactional Outbox у поєднанні з Apache Kafka, ідемпотентними споживачами та CQRS-проєкціями гарантує однократне врахування дій і перерахунок стану повторним відтворенням подій. Адаптер бібліографічних джерел із Circuit Breaker, Retry, кешуванням Redis і резервним джерелом Open Library усуває залежність від доступності окремого API. Вимоги до системи формалізовано у вигляді восьми функціональних вимог, згрупованих за модулями, і вісімнадцяти вимірюваних нефункціональних вимог щодо продуктивності, безпеки та надійності.</w:t>
      </w:r>
    </w:p>
    <w:p>
      <w:pPr>
        <w:spacing w:after="0" w:line="360"/>
        <w:ind w:firstLine="709"/>
        <w:jc w:val="both"/>
      </w:pPr>
      <w:r>
        <w:rPr>
          <w:rFonts w:ascii="Times New Roman" w:cs="Times New Roman" w:eastAsia="Times New Roman" w:hAnsi="Times New Roman"/>
          <w:sz w:val="28"/>
          <w:szCs w:val="28"/>
        </w:rPr>
        <w:t xml:space="preserve">Проєктування архітектури, що реалізує сформовані вимоги, — декомпозиція системи на модулі за bounded contexts, моделі C4 і UML, модель даних і специфікація схем подій — є предметом Розділу 2. Технічна реалізація конвеєра розпізнавання, подієвого механізму гейміфікації, контейнеризованого розгортання, а також перевірка відповідності нефункціональним вимогам засобами навантажувального тестування, статичного аналізу та експериментального оцінювання точності розпізнавання розглядаються в Розділі 3.</w:t>
      </w:r>
    </w:p>
    <w:p>
      <w:r>
        <w:br w:type="page"/>
      </w:r>
    </w:p>
    <w:p>
      <w:pPr>
        <w:pStyle w:val="Heading2"/>
        <w:spacing w:after="120" w:before="240"/>
        <w:ind w:firstLine="709"/>
      </w:pPr>
      <w:r>
        <w:rPr>
          <w:rFonts w:ascii="Times New Roman" w:cs="Times New Roman" w:eastAsia="Times New Roman" w:hAnsi="Times New Roman"/>
          <w:b/>
          <w:bCs/>
          <w:color w:val="000000"/>
          <w:sz w:val="28"/>
          <w:szCs w:val="28"/>
        </w:rPr>
        <w:t xml:space="preserve">Список джерел до розділу 1</w:t>
      </w:r>
    </w:p>
    <w:p>
      <w:pPr>
        <w:pStyle w:val="ListParagraph"/>
        <w:numPr>
          <w:ilvl w:val="0"/>
          <w:numId w:val="6"/>
        </w:numPr>
        <w:spacing w:line="360"/>
        <w:jc w:val="both"/>
      </w:pPr>
      <w:r>
        <w:rPr>
          <w:rFonts w:ascii="Times New Roman" w:cs="Times New Roman" w:eastAsia="Times New Roman" w:hAnsi="Times New Roman"/>
          <w:sz w:val="28"/>
          <w:szCs w:val="28"/>
        </w:rPr>
        <w:t xml:space="preserve">Amazon Jobs: Goodreads Support Engineer III. URL: https://www.jointaro.com/jobs/amazon/support-engineer-iii-34c0b43a</w:t>
      </w:r>
    </w:p>
    <w:p>
      <w:pPr>
        <w:pStyle w:val="ListParagraph"/>
        <w:numPr>
          <w:ilvl w:val="0"/>
          <w:numId w:val="6"/>
        </w:numPr>
        <w:spacing w:line="360"/>
        <w:jc w:val="both"/>
      </w:pPr>
      <w:r>
        <w:rPr>
          <w:rFonts w:ascii="Times New Roman" w:cs="Times New Roman" w:eastAsia="Times New Roman" w:hAnsi="Times New Roman"/>
          <w:sz w:val="28"/>
          <w:szCs w:val="28"/>
        </w:rPr>
        <w:t xml:space="preserve">How Goodreads offloads Amazon DynamoDB tables to Amazon S3 and queries them using Amazon Athena. AWS Big Data Blog. URL: https://aws.amazon.com/blogs/big-data/how-goodreads-offloads-amazon-dynamodb-tables-to-amazon-s3-and-queries-them-using-amazon-athena</w:t>
      </w:r>
    </w:p>
    <w:p>
      <w:pPr>
        <w:pStyle w:val="ListParagraph"/>
        <w:numPr>
          <w:ilvl w:val="0"/>
          <w:numId w:val="6"/>
        </w:numPr>
        <w:spacing w:line="360"/>
        <w:jc w:val="both"/>
      </w:pPr>
      <w:r>
        <w:rPr>
          <w:rFonts w:ascii="Times New Roman" w:cs="Times New Roman" w:eastAsia="Times New Roman" w:hAnsi="Times New Roman"/>
          <w:sz w:val="28"/>
          <w:szCs w:val="28"/>
        </w:rPr>
        <w:t xml:space="preserve">API deprecation. Goodreads Developers. URL: https://www.goodreads.com/topic/show/21788520-api-deprecation</w:t>
      </w:r>
    </w:p>
    <w:p>
      <w:pPr>
        <w:pStyle w:val="ListParagraph"/>
        <w:numPr>
          <w:ilvl w:val="0"/>
          <w:numId w:val="6"/>
        </w:numPr>
        <w:spacing w:line="360"/>
        <w:jc w:val="both"/>
      </w:pPr>
      <w:r>
        <w:rPr>
          <w:rFonts w:ascii="Times New Roman" w:cs="Times New Roman" w:eastAsia="Times New Roman" w:hAnsi="Times New Roman"/>
          <w:sz w:val="28"/>
          <w:szCs w:val="28"/>
        </w:rPr>
        <w:t xml:space="preserve">Goodreads MCP server. Glama. URL: https://glama.ai/mcp/servers/jsyawqf15d</w:t>
      </w:r>
    </w:p>
    <w:p>
      <w:pPr>
        <w:pStyle w:val="ListParagraph"/>
        <w:numPr>
          <w:ilvl w:val="0"/>
          <w:numId w:val="6"/>
        </w:numPr>
        <w:spacing w:line="360"/>
        <w:jc w:val="both"/>
      </w:pPr>
      <w:r>
        <w:rPr>
          <w:rFonts w:ascii="Times New Roman" w:cs="Times New Roman" w:eastAsia="Times New Roman" w:hAnsi="Times New Roman"/>
          <w:sz w:val="28"/>
          <w:szCs w:val="28"/>
        </w:rPr>
        <w:t xml:space="preserve">Goodreads is hiring software engineers. Goodreads Blog. URL: https://www.goodreads.com/blog/show/158-goodreads-is-hiring-software-engineers</w:t>
      </w:r>
    </w:p>
    <w:p>
      <w:pPr>
        <w:pStyle w:val="ListParagraph"/>
        <w:numPr>
          <w:ilvl w:val="0"/>
          <w:numId w:val="6"/>
        </w:numPr>
        <w:spacing w:line="360"/>
        <w:jc w:val="both"/>
      </w:pPr>
      <w:r>
        <w:rPr>
          <w:rFonts w:ascii="Times New Roman" w:cs="Times New Roman" w:eastAsia="Times New Roman" w:hAnsi="Times New Roman"/>
          <w:sz w:val="28"/>
          <w:szCs w:val="28"/>
        </w:rPr>
        <w:t xml:space="preserve">Nadia Odunayo: Scaling Rails for millions of users as a solo dev. On Rails, 28.07.2025. URL: https://rubyonrails.org/2025/7/28/on-rails-nadia-odunayo-scaling-rails-for-millions-of-users-as-a-solo-dev</w:t>
      </w:r>
    </w:p>
    <w:p>
      <w:pPr>
        <w:pStyle w:val="ListParagraph"/>
        <w:numPr>
          <w:ilvl w:val="0"/>
          <w:numId w:val="6"/>
        </w:numPr>
        <w:spacing w:line="360"/>
        <w:jc w:val="both"/>
      </w:pPr>
      <w:r>
        <w:rPr>
          <w:rFonts w:ascii="Times New Roman" w:cs="Times New Roman" w:eastAsia="Times New Roman" w:hAnsi="Times New Roman"/>
          <w:sz w:val="28"/>
          <w:szCs w:val="28"/>
        </w:rPr>
        <w:t xml:space="preserve">Scaling LLM and ML models to 300M monthly requests with self-hosting. ZenML LLMOps Database. URL: https://zenml.io/llmops-database/scaling-llm-and-ml-models-to-300m-monthly-requests-with-self-hosting</w:t>
      </w:r>
    </w:p>
    <w:p>
      <w:pPr>
        <w:pStyle w:val="ListParagraph"/>
        <w:numPr>
          <w:ilvl w:val="0"/>
          <w:numId w:val="6"/>
        </w:numPr>
        <w:spacing w:line="360"/>
        <w:jc w:val="both"/>
      </w:pPr>
      <w:r>
        <w:rPr>
          <w:rFonts w:ascii="Times New Roman" w:cs="Times New Roman" w:eastAsia="Times New Roman" w:hAnsi="Times New Roman"/>
          <w:sz w:val="28"/>
          <w:szCs w:val="28"/>
        </w:rPr>
        <w:t xml:space="preserve">Keynote: Getting to Two Million Users as a One Woman Dev Team. RailsConf 2024. URL: https://www.rubyevents.org/talks/keynote-getting-to-two-million-users-as-a-one-woman-dev-team</w:t>
      </w:r>
    </w:p>
    <w:p>
      <w:pPr>
        <w:pStyle w:val="ListParagraph"/>
        <w:numPr>
          <w:ilvl w:val="0"/>
          <w:numId w:val="6"/>
        </w:numPr>
        <w:spacing w:line="360"/>
        <w:jc w:val="both"/>
      </w:pPr>
      <w:r>
        <w:rPr>
          <w:rFonts w:ascii="Times New Roman" w:cs="Times New Roman" w:eastAsia="Times New Roman" w:hAnsi="Times New Roman"/>
          <w:sz w:val="28"/>
          <w:szCs w:val="28"/>
        </w:rPr>
        <w:t xml:space="preserve">HabitRPG/habitica. GitHub. URL: https://github.com/HabitRPG/habitica</w:t>
      </w:r>
    </w:p>
    <w:p>
      <w:pPr>
        <w:pStyle w:val="ListParagraph"/>
        <w:numPr>
          <w:ilvl w:val="0"/>
          <w:numId w:val="6"/>
        </w:numPr>
        <w:spacing w:line="360"/>
        <w:jc w:val="both"/>
      </w:pPr>
      <w:r>
        <w:rPr>
          <w:rFonts w:ascii="Times New Roman" w:cs="Times New Roman" w:eastAsia="Times New Roman" w:hAnsi="Times New Roman"/>
          <w:sz w:val="28"/>
          <w:szCs w:val="28"/>
        </w:rPr>
        <w:t xml:space="preserve">Deploy Habitica. Railway. URL: https://railway.com/deploy/habitica</w:t>
      </w:r>
    </w:p>
    <w:p>
      <w:pPr>
        <w:pStyle w:val="ListParagraph"/>
        <w:numPr>
          <w:ilvl w:val="0"/>
          <w:numId w:val="6"/>
        </w:numPr>
        <w:spacing w:line="360"/>
        <w:jc w:val="both"/>
      </w:pPr>
      <w:r>
        <w:rPr>
          <w:rFonts w:ascii="Times New Roman" w:cs="Times New Roman" w:eastAsia="Times New Roman" w:hAnsi="Times New Roman"/>
          <w:sz w:val="28"/>
          <w:szCs w:val="28"/>
        </w:rPr>
        <w:t xml:space="preserve">Auto Cron. Habitica Wiki. URL: https://habitica.fandom.com/wiki/Auto_Cron</w:t>
      </w:r>
    </w:p>
    <w:p>
      <w:pPr>
        <w:pStyle w:val="ListParagraph"/>
        <w:numPr>
          <w:ilvl w:val="0"/>
          <w:numId w:val="6"/>
        </w:numPr>
        <w:spacing w:line="360"/>
        <w:jc w:val="both"/>
      </w:pPr>
      <w:r>
        <w:rPr>
          <w:rFonts w:ascii="Times New Roman" w:cs="Times New Roman" w:eastAsia="Times New Roman" w:hAnsi="Times New Roman"/>
          <w:sz w:val="28"/>
          <w:szCs w:val="28"/>
        </w:rPr>
        <w:t xml:space="preserve">Habitica. Beeminder Help. URL: https://help.beeminder.com/article/83-habitica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69" w:hanging="360"/>
      </w:pPr>
    </w:lvl>
  </w:abstractNum>
  <w:abstractNum w:abstractNumId="3" w15:restartNumberingAfterBreak="0">
    <w:multiLevelType w:val="hybridMultilevel"/>
    <w:lvl w:ilvl="0" w: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F2_Diploma_Chapter1_Загребенюк</dc:title>
  <dc:creator>Загребенюк Б. Л.</dc:creator>
  <cp:lastModifiedBy>Un-named</cp:lastModifiedBy>
  <cp:revision>1</cp:revision>
  <dcterms:created xsi:type="dcterms:W3CDTF">2026-11-01T21:31:36.884Z</dcterms:created>
  <dcterms:modified xsi:type="dcterms:W3CDTF">2026-11-01T21:31:36.885Z</dcterms:modified>
</cp:coreProperties>
</file>

<file path=docProps/custom.xml><?xml version="1.0" encoding="utf-8"?>
<Properties xmlns="http://schemas.openxmlformats.org/officeDocument/2006/custom-properties" xmlns:vt="http://schemas.openxmlformats.org/officeDocument/2006/docPropsVTypes"/>
</file>