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Pendery's Red Bell Pepper, Dried, Diced: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</w:t>
      </w:r>
      <w:r>
        <w:rPr>
          <w:rStyle w:val="Normal"/>
        </w:rPr>
        <w:t xml:space="preserve">: Pendery's Red Bell Pepper is a dried, diced vegetable product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Taste and Appearance</w:t>
      </w:r>
      <w:r>
        <w:rPr>
          <w:rStyle w:val="Normal"/>
        </w:rPr>
        <w:t xml:space="preserve">: It is described as pretty, tasty, and convenient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It can be used in salads, sauces, soups, sandwich fillings, rice, and chili sauce [1]. The red color is particularly attractive in potato salad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Preparation</w:t>
      </w:r>
      <w:r>
        <w:rPr>
          <w:rStyle w:val="Normal"/>
        </w:rPr>
        <w:t xml:space="preserve">: When using in uncooked dishes, it is recommended to mix with 2/3 water and soak for about 10 minutes [1]. This step is not necessary if the pepper is going to be cooked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Pendery's carries an incredible variety of spices, from all over the world, at great prices [2].</w:t>
      </w:r>
    </w:p>
    <w:p>
      <w:r>
        <w:rPr>
          <w:rStyle w:val="Normal"/>
        </w:rPr>
        <w:t xml:space="preserve">Please note that the flavor and texture of dried, diced red bell pepper can vary depending on how it is prepared and used [1]. If you are new to using Pendery's Red Bell Pepper, Dried, Diced, it is a good idea to start by using it in a recipe that you are familiar with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gy3ivl0bq97k0qe8rtwkw">
        <w:r>
          <w:rPr>
            <w:rStyle w:val="Hyperlink"/>
          </w:rPr>
          <w:t xml:space="preserve">Bell Pepper-Red Diced - penderys.com</w:t>
        </w:r>
      </w:hyperlink>
    </w:p>
    <w:p>
      <w:pPr>
        <w:pStyle w:val="ListParagraph"/>
        <w:numPr>
          <w:ilvl w:val="0"/>
          <w:numId w:val="3"/>
        </w:numPr>
      </w:pPr>
      <w:hyperlink w:history="1" r:id="rIdxc1ndz4yx3d7cefd3rlba">
        <w:r>
          <w:rPr>
            <w:rStyle w:val="Hyperlink"/>
          </w:rPr>
          <w:t xml:space="preserve">Pendery's - World of Chiles and Spices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gy3ivl0bq97k0qe8rtwkw" Type="http://schemas.openxmlformats.org/officeDocument/2006/relationships/hyperlink" Target="https://penderys.com/shop/spices-and-seasonings/bell-pepper-red-diced-6230.html" TargetMode="External"/><Relationship Id="rIdxc1ndz4yx3d7cefd3rlba" Type="http://schemas.openxmlformats.org/officeDocument/2006/relationships/hyperlink" Target="https://penderys.com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2024-05-13T15:13:27.113Z</dcterms:created>
  <dcterms:modified xsi:type="dcterms:W3CDTF">2024-05-13T15:13:27.113Z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