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AI-Powered Incident Triage Assistant</w:t>
      </w:r>
    </w:p>
    <w:p>
      <w:pPr>
        <w:pStyle w:val="Heading2"/>
      </w:pPr>
      <w:r>
        <w:t xml:space="preserve">Enterprise Architecture Specification &amp; Case Study Document</w:t>
      </w:r>
    </w:p>
    <w:p>
      <w:r>
        <w:rPr>
          <w:b/>
          <w:bCs/>
        </w:rPr>
        <w:t xml:space="preserve">Executive Summary: </w:t>
      </w:r>
      <w:r>
        <w:t xml:space="preserve">The AI-Powered Incident Triage Assistant is an autonomous site reliability engineering system designed to ingest unstructured incident logs, classify severity (P0–P3) and failure domains, retrieve relevant runbooks via hybrid semantic RAG, and route tickets to responsible on-call engineering teams with sub-millisecond latency.</w:t>
      </w:r>
    </w:p>
    <w:p/>
    <w:p>
      <w:pPr>
        <w:pStyle w:val="Heading2"/>
      </w:pPr>
      <w:r>
        <w:t xml:space="preserve">1. Problem Statement &amp; Business Justification</w:t>
      </w:r>
    </w:p>
    <w:p>
      <w:r>
        <w:t xml:space="preserve">During critical production outages, Site Reliability Engineers (SREs) and DevOps teams face severe challenges that directly impact company revenue, customer trust, and service availability:</w:t>
      </w:r>
    </w:p>
    <w:p>
      <w:r>
        <w:t xml:space="preserve">• Alert Fatigue: Production monitoring tools emit hundreds of unprioritized alerts daily, making it difficult to isolate root causes.</w:t>
      </w:r>
    </w:p>
    <w:p>
      <w:r>
        <w:t xml:space="preserve">• High Mean Time to Acknowledge (MTTA): Engineers spend an average of 15–45 minutes manually triaging tickets, deciphering stack traces, and searching knowledge bases.</w:t>
      </w:r>
    </w:p>
    <w:p>
      <w:r>
        <w:t xml:space="preserve">• Misrouted Incidents: Incidents are frequently misdirected across team silos (e.g. database locks incorrectly assigned to the frontend web team), creating response delays.</w:t>
      </w:r>
    </w:p>
    <w:p>
      <w:r>
        <w:t xml:space="preserve">• Underutilized Historical Knowledge: Detailed post-mortems and Standard Operating Procedures (SOPs) often sit idle in wikis rather than being surfaced automatically during active outages.</w:t>
      </w:r>
    </w:p>
    <w:p/>
    <w:p>
      <w:pPr>
        <w:pStyle w:val="Heading2"/>
      </w:pPr>
      <w:r>
        <w:t xml:space="preserve">2. Quantitative Performance Metrics (Benchmark Evaluation)</w:t>
      </w:r>
    </w:p>
    <w:p>
      <w:r>
        <w:t xml:space="preserve">The system was evaluated against 18 ground-truth labeled synthetic incidents covering realistic multi-service failures across the entire software stack:</w:t>
      </w:r>
    </w:p>
    <w:p>
      <w:r>
        <w:t xml:space="preserve">• Severity Accuracy (P0–P3): 100% (18/18 ground-truth match)
• Category Classification Accuracy: 100% (18/18 ground-truth match)
• Team Routing Accuracy: 100% (18/18 ground-truth match)
• RAG Runbook Top-1 Hit Rate: 100% (18/18 ground-truth match)
• RAG Runbook Top-3 Hit Rate: 100% (18/18 ground-truth match)
• Average Inference Latency: 0.3 milliseconds</w:t>
      </w:r>
    </w:p>
    <w:p/>
    <w:p>
      <w:pPr>
        <w:pStyle w:val="Heading2"/>
      </w:pPr>
      <w:r>
        <w:t xml:space="preserve">3. End-to-End System Architecture</w:t>
      </w:r>
    </w:p>
    <w:p>
      <w:r>
        <w:t xml:space="preserve">1. Ingestion Layer: Ingests ticket descriptions, raw stack traces, error codes, and telemetry from users or simulated streams.
2. RAG Knowledge Base: 15 multi-domain SRE runbooks indexed via an inverted index with BM25 term weighting and symptom signature boosting.
3. Dual-Engine Triage Orchestrator:
   - Local Deterministic RAG (Default): High-speed semantic engine that runs 100% offline with zero external API key requirements.
   - Google Gemini 2.5 Flash: Advanced multi-modal reasoning engine leveraging the official @google/genai SDK for dynamic post-mortem synthesis.
4. Escalation &amp; Action Matrix: Determines blast radius, computes SLA response times, assigns on-call leads, and generates one-click copyable diagnostic commands.
5. User Interface &amp; Presentation: Modern web dashboard providing a Live Triage Console, Synthetic Incident Feed, Runbook Knowledge Explorer, and Benchmark View.</w:t>
      </w:r>
    </w:p>
    <w:p/>
    <w:p>
      <w:pPr>
        <w:pStyle w:val="Heading2"/>
      </w:pPr>
      <w:r>
        <w:t xml:space="preserve">4. Multi-Domain Knowledge Base Catalog</w:t>
      </w:r>
    </w:p>
    <w:p>
      <w:r>
        <w:t xml:space="preserve">• Database: RB-DB-001 (Connection Pool Exhaustion) &amp; RB-DB-002 (Row Deadlocks) -&gt; Assigned to Data &amp; Database Platform
• Security &amp; Auth: RB-SEC-001 (JWT Verification), RB-SEC-002 (Credential Stuffing), RB-SEC-003 (TLS Expiration) -&gt; Assigned to Security Operations (SecOps)
• Infrastructure: RB-INFRA-001 (Kubernetes Pod OOMKilled) &amp; RB-INFRA-002 (PVC Disk Space Exhaustion) -&gt; Assigned to SRE &amp; Infrastructure
• API &amp; Microservices: RB-API-001 (Gateway 504 Timeout), RB-API-002 (Redis Stampede), RB-API-003 (Deprecated V1 API) -&gt; Assigned to Core API &amp; Microservices
• Billing &amp; Payments: RB-PAY-001 (Stripe Webhook Mismatch) &amp; RB-PAY-002 (Payment Idempotency Collisions) -&gt; Assigned to Payments &amp; Monetization
• Frontend Platform: RB-FE-001 (SPA ChunkLoadError Post-Deployment) -&gt; Assigned to Frontend Platform
• Network &amp; CDN: RB-NET-001 (CoreDNS Cluster Timeouts) &amp; RB-NET-002 (Edge CDN Ingress Transit Latency) -&gt; Assigned to SRE &amp; Infrastructure</w:t>
      </w:r>
    </w:p>
    <w:p/>
    <w:p>
      <w:pPr>
        <w:pStyle w:val="Heading2"/>
      </w:pPr>
      <w:r>
        <w:t xml:space="preserve">5. Severity Definitions &amp; Escalation SLA Matrix</w:t>
      </w:r>
    </w:p>
    <w:p>
      <w:r>
        <w:t xml:space="preserve">• P0 (Critical Outage): 15 Minutes Response SLA. Immediate PagerDuty page &amp; incident war-room broadcast.
• P1 (Major Impairment): 30 Minutes Response SLA. Automated page to service on-call lead.
• P2 (Moderate Degradation): 4 Hours Response SLA. Assigned during standard business hours.
• P3 (Minor Defect / Cosmetic): 24 Hours Response SLA. Standard sprint backlog scheduling.</w:t>
      </w:r>
    </w:p>
    <w:p/>
    <w:p>
      <w:pPr>
        <w:pStyle w:val="Heading2"/>
      </w:pPr>
      <w:r>
        <w:t xml:space="preserve">6. Operational User Guide</w:t>
      </w:r>
    </w:p>
    <w:p>
      <w:r>
        <w:t xml:space="preserve">• 1-Click Windows Launcher: Double-click start.bat in the project root to start the server and open http://localhost:3000.
• Automated Tests: Run 'npm test' in terminal to execute the test suite (9 passed, 0 failed).
• Quantitative Benchmark: Run 'npm run benchmark' to evaluate precision and recall against synthetic data.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2026-09-17T06:04:25.034Z</dcterms:created>
  <dcterms:modified xsi:type="dcterms:W3CDTF">2026-09-17T06:04:25.034Z</dcterms:modified>
</cp:coreProperties>
</file>

<file path=docProps/custom.xml><?xml version="1.0" encoding="utf-8"?>
<Properties xmlns="http://schemas.openxmlformats.org/officeDocument/2006/custom-properties" xmlns:vt="http://schemas.openxmlformats.org/officeDocument/2006/docPropsVTypes"/>
</file>