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p>
            <w:r>
              <w:rPr>
                <w:b/>
                <w:color w:val="0064FF"/>
              </w:rPr>
              <w:t xml:space="preserve">NOM et PRENOM                                                                                    a  a </w:t>
            </w:r>
          </w:p>
          <w:p>
            <w:r>
              <w:t>Date de naissance                                                                                              a</w:t>
            </w:r>
          </w:p>
          <w:p>
            <w:r>
              <w:t xml:space="preserve">Age au moment de l'évaluation                                                                       a </w:t>
            </w:r>
          </w:p>
          <w:p>
            <w:r>
              <w:t>Latéralité                                                                                                                   a</w:t>
            </w:r>
          </w:p>
          <w:p>
            <w:r>
              <w:t>Date du bilan                                                                                                                     a</w:t>
            </w:r>
            <w:r>
              <w:br/>
            </w:r>
          </w:p>
        </w:tc>
      </w:tr>
    </w:tbl>
    <w:p/>
    <w:p>
      <w:r>
        <w:rPr>
          <w:color w:val="0064FF"/>
        </w:rPr>
        <w:t>INDICATION, PLAINTE PRINCIPALE</w:t>
      </w:r>
    </w:p>
    <w:p>
      <w:r>
        <w:t xml:space="preserve">J’ai rencontré </w:t>
      </w:r>
      <w:r>
        <w:rPr>
          <w:b/>
        </w:rPr>
        <w:t xml:space="preserve">a a </w:t>
      </w:r>
      <w:r>
        <w:t xml:space="preserve">à la demande de la PCO, afin de mieux comprendre son  fonctionnement cognitif.  </w:t>
      </w:r>
    </w:p>
    <w:p>
      <w:r>
        <w:rPr>
          <w:b w:val="0"/>
        </w:rPr>
        <w:t xml:space="preserve">Ce présent bilan a donc pour objectif de définir le profil cognitif et comportemental de a, afin de fournir  des axes de travail et d'accompagnement. </w:t>
      </w:r>
    </w:p>
    <w:p>
      <w:r>
        <w:rPr>
          <w:color w:val="0064FF"/>
        </w:rPr>
        <w:t>SOURCE D'INFORMATION</w:t>
      </w:r>
    </w:p>
    <w:p>
      <w:r>
        <w:rPr>
          <w:b w:val="0"/>
        </w:rPr>
        <w:t xml:space="preserve">Les informations pertinentes ont été recueillies auprès des parents et de a. </w:t>
      </w:r>
    </w:p>
    <w:p>
      <w:r>
        <w:rPr>
          <w:b/>
        </w:rPr>
        <w:t xml:space="preserve">Tests utilisés </w:t>
      </w:r>
      <w:r>
        <w:rPr>
          <w:b w:val="0"/>
        </w:rPr>
        <w:t xml:space="preserve">: WISC-V ; TEA-Ch ; NEPSY-II ; KiTAP ; BROWN ; Young-DIVA </w:t>
      </w:r>
    </w:p>
    <w:tbl>
      <w:tblPr>
        <w:tblW w:type="auto" w:w="0"/>
        <w:tblLook w:firstColumn="1" w:firstRow="1" w:lastColumn="0" w:lastRow="0" w:noHBand="0" w:noVBand="1" w:val="04A0"/>
      </w:tblPr>
      <w:tblGrid>
        <w:gridCol w:w="8640"/>
      </w:tblGrid>
      <w:tr>
        <w:tc>
          <w:tcPr>
            <w:tcW w:type="dxa" w:w="8640"/>
          </w:tcPr>
          <w:p/>
          <w:p>
            <w:pPr>
              <w:jc w:val="center"/>
            </w:pPr>
            <w:r>
              <w:rPr>
                <w:b/>
              </w:rPr>
              <w:t>Fonctionnement intellectuel global (WISC V)</w:t>
            </w:r>
          </w:p>
        </w:tc>
      </w:tr>
    </w:tbl>
    <w:p/>
    <w:p>
      <w:r>
        <w:rPr>
          <w:b/>
          <w:color w:val="0064FF"/>
          <w:u w:val="single"/>
        </w:rPr>
        <w:t xml:space="preserve">Capacités cognitives globales </w:t>
      </w:r>
    </w:p>
    <w:p>
      <w:r>
        <w:rPr>
          <w:i/>
        </w:rPr>
        <w:t xml:space="preserve">Le WISC-V est utilisé pour mesurer les habiletés générales de raisonnement des enfants de 6 à 16 ans. Cette  évaluation fournit un score qui représente la capacité intellectuelle globale de l’enfant (QIT), ainsi que des  scores d’indice qui mesurent les domaines suivants du fonctionnement cognitif : compréhension verbale  (ICV), traitement visuospatial (IVS), raison fluide (IRF), mémoire de travail (IMT) et vitesse de traitement  (IVT). </w:t>
      </w:r>
    </w:p>
    <w:p>
      <w:r>
        <w:t xml:space="preserve">L’évaluation intellectuelle réalisée à l’aide du WISC-V met en évidence un profil présentant des capacités  intellectuelles hétérogènes. En effet, l’hétérogénéité significative de son profil ne nous permet pas de calculer  un QIT chez a. En effet, des différences statistiquement significatives apparaissent entre plusieurs scores  d’indices. Alors, la note d’échelle totale (QIT) – qui représente les aptitudes intellectuelles globales – ne peut  nous permettre de comprendre le fonctionnement de a. L’étude des forces et des faiblesses est préconisée  pour mieux comprendre son profil cognitif. </w:t>
      </w:r>
    </w:p>
    <w:p>
      <w:pPr>
        <w:jc w:val="center"/>
      </w:pPr>
      <w:r>
        <w:rPr>
          <w:i/>
        </w:rPr>
        <w:t>Synthèse des notes composites principales</w:t>
      </w:r>
    </w:p>
    <w:tbl>
      <w:tblPr>
        <w:tblStyle w:val="TableGrid"/>
        <w:tblW w:type="auto" w:w="0"/>
        <w:tblLayout w:type="autofit"/>
        <w:tblLook w:firstColumn="1" w:firstRow="1" w:lastColumn="0" w:lastRow="0" w:noHBand="0" w:noVBand="1" w:val="04A0"/>
      </w:tblPr>
      <w:tblGrid>
        <w:gridCol w:w="1234"/>
        <w:gridCol w:w="1234"/>
        <w:gridCol w:w="1234"/>
        <w:gridCol w:w="1234"/>
        <w:gridCol w:w="1234"/>
        <w:gridCol w:w="1234"/>
        <w:gridCol w:w="1234"/>
      </w:tblGrid>
      <w:tr>
        <w:tc>
          <w:tcPr>
            <w:tcW w:type="dxa" w:w="3168"/>
          </w:tcPr>
          <w:p>
            <w:pPr>
              <w:jc w:val="center"/>
            </w:pPr>
            <w:r>
              <w:rPr>
                <w:b/>
              </w:rPr>
              <w:t>Composite</w:t>
            </w:r>
          </w:p>
        </w:tc>
        <w:tc>
          <w:tcPr>
            <w:tcW w:type="dxa" w:w="1296"/>
          </w:tcPr>
          <w:p>
            <w:pPr>
              <w:jc w:val="center"/>
            </w:pPr>
            <w:r>
              <w:rPr>
                <w:b/>
              </w:rPr>
              <w:t>Indices</w:t>
            </w:r>
          </w:p>
        </w:tc>
        <w:tc>
          <w:tcPr>
            <w:tcW w:type="dxa" w:w="1728"/>
          </w:tcPr>
          <w:p>
            <w:pPr>
              <w:jc w:val="center"/>
            </w:pPr>
            <w:r>
              <w:rPr>
                <w:b/>
              </w:rPr>
              <w:t>Ensemble des Note Standard</w:t>
            </w:r>
          </w:p>
        </w:tc>
        <w:tc>
          <w:tcPr>
            <w:tcW w:type="dxa" w:w="1728"/>
          </w:tcPr>
          <w:p>
            <w:pPr>
              <w:jc w:val="center"/>
            </w:pPr>
            <w:r>
              <w:rPr>
                <w:b/>
              </w:rPr>
              <w:t>Note Composite</w:t>
            </w:r>
          </w:p>
        </w:tc>
        <w:tc>
          <w:tcPr>
            <w:tcW w:type="dxa" w:w="1728"/>
          </w:tcPr>
          <w:p>
            <w:pPr>
              <w:jc w:val="center"/>
            </w:pPr>
            <w:r>
              <w:rPr>
                <w:b/>
              </w:rPr>
              <w:t>Rang Percentile</w:t>
            </w:r>
          </w:p>
        </w:tc>
        <w:tc>
          <w:tcPr>
            <w:tcW w:type="dxa" w:w="2016"/>
          </w:tcPr>
          <w:p>
            <w:pPr>
              <w:jc w:val="center"/>
            </w:pPr>
            <w:r>
              <w:rPr>
                <w:b/>
              </w:rPr>
              <w:t>Intervalle de Confiance</w:t>
            </w:r>
          </w:p>
        </w:tc>
        <w:tc>
          <w:tcPr>
            <w:tcW w:type="dxa" w:w="1728"/>
          </w:tcPr>
          <w:p>
            <w:pPr>
              <w:jc w:val="center"/>
            </w:pPr>
            <w:r>
              <w:rPr>
                <w:b/>
              </w:rPr>
              <w:t>Description qualitative</w:t>
            </w:r>
          </w:p>
        </w:tc>
      </w:tr>
      <w:tr>
        <w:tc>
          <w:tcPr>
            <w:tcW w:type="dxa" w:w="3168"/>
          </w:tcPr>
          <w:p>
            <w:r>
              <w:t>Compréhension Verbale</w:t>
            </w:r>
          </w:p>
        </w:tc>
        <w:tc>
          <w:tcPr>
            <w:tcW w:type="dxa" w:w="1296"/>
          </w:tcPr>
          <w:p>
            <w:r>
              <w:t>ICV</w:t>
            </w:r>
          </w:p>
        </w:tc>
        <w:tc>
          <w:tcPr>
            <w:tcW w:type="dxa" w:w="1728"/>
          </w:tcPr>
          <w:p>
            <w:r>
              <w:t>1</w:t>
            </w:r>
          </w:p>
        </w:tc>
        <w:tc>
          <w:tcPr>
            <w:tcW w:type="dxa" w:w="1728"/>
          </w:tcPr>
          <w:p>
            <w:r>
              <w:t>1</w:t>
            </w:r>
          </w:p>
        </w:tc>
        <w:tc>
          <w:tcPr>
            <w:tcW w:type="dxa" w:w="1728"/>
          </w:tcPr>
          <w:p>
            <w:r>
              <w:t>1</w:t>
            </w:r>
          </w:p>
        </w:tc>
        <w:tc>
          <w:tcPr>
            <w:tcW w:type="dxa" w:w="2016"/>
          </w:tcPr>
          <w:p>
            <w:r>
              <w:t>41</w:t>
            </w:r>
          </w:p>
        </w:tc>
        <w:tc>
          <w:tcPr>
            <w:tcW w:type="dxa" w:w="1728"/>
          </w:tcPr>
          <w:p>
            <w:r>
              <w:t>zone faible</w:t>
            </w:r>
          </w:p>
        </w:tc>
      </w:tr>
      <w:tr>
        <w:tc>
          <w:tcPr>
            <w:tcW w:type="dxa" w:w="3168"/>
          </w:tcPr>
          <w:p>
            <w:r>
              <w:t>Visuospatial</w:t>
            </w:r>
          </w:p>
        </w:tc>
        <w:tc>
          <w:tcPr>
            <w:tcW w:type="dxa" w:w="1296"/>
          </w:tcPr>
          <w:p>
            <w:r>
              <w:t>IVS</w:t>
            </w:r>
          </w:p>
        </w:tc>
        <w:tc>
          <w:tcPr>
            <w:tcW w:type="dxa" w:w="1728"/>
          </w:tcPr>
          <w:p>
            <w:r>
              <w:t>1</w:t>
            </w:r>
          </w:p>
        </w:tc>
        <w:tc>
          <w:tcPr>
            <w:tcW w:type="dxa" w:w="1728"/>
          </w:tcPr>
          <w:p>
            <w:r>
              <w:t>1</w:t>
            </w:r>
          </w:p>
        </w:tc>
        <w:tc>
          <w:tcPr>
            <w:tcW w:type="dxa" w:w="1728"/>
          </w:tcPr>
          <w:p>
            <w:r>
              <w:t>1</w:t>
            </w:r>
          </w:p>
        </w:tc>
        <w:tc>
          <w:tcPr>
            <w:tcW w:type="dxa" w:w="2016"/>
          </w:tcPr>
          <w:p>
            <w:r>
              <w:t>1</w:t>
            </w:r>
          </w:p>
        </w:tc>
        <w:tc>
          <w:tcPr>
            <w:tcW w:type="dxa" w:w="1728"/>
          </w:tcPr>
          <w:p>
            <w:r>
              <w:t>zone faible</w:t>
            </w:r>
          </w:p>
        </w:tc>
      </w:tr>
      <w:tr>
        <w:tc>
          <w:tcPr>
            <w:tcW w:type="dxa" w:w="3168"/>
          </w:tcPr>
          <w:p>
            <w:r>
              <w:t>Raisonnement Fluide</w:t>
            </w:r>
          </w:p>
        </w:tc>
        <w:tc>
          <w:tcPr>
            <w:tcW w:type="dxa" w:w="1296"/>
          </w:tcPr>
          <w:p>
            <w:r>
              <w:t>IRF</w:t>
            </w:r>
          </w:p>
        </w:tc>
        <w:tc>
          <w:tcPr>
            <w:tcW w:type="dxa" w:w="1728"/>
          </w:tcPr>
          <w:p>
            <w:r>
              <w:t>11</w:t>
            </w:r>
          </w:p>
        </w:tc>
        <w:tc>
          <w:tcPr>
            <w:tcW w:type="dxa" w:w="1728"/>
          </w:tcPr>
          <w:p>
            <w:r>
              <w:t>1</w:t>
            </w:r>
          </w:p>
        </w:tc>
        <w:tc>
          <w:tcPr>
            <w:tcW w:type="dxa" w:w="1728"/>
          </w:tcPr>
          <w:p>
            <w:r>
              <w:t>1</w:t>
            </w:r>
          </w:p>
        </w:tc>
        <w:tc>
          <w:tcPr>
            <w:tcW w:type="dxa" w:w="2016"/>
          </w:tcPr>
          <w:p>
            <w:r>
              <w:t>1</w:t>
            </w:r>
          </w:p>
        </w:tc>
        <w:tc>
          <w:tcPr>
            <w:tcW w:type="dxa" w:w="1728"/>
          </w:tcPr>
          <w:p>
            <w:r>
              <w:t>zone faible</w:t>
            </w:r>
          </w:p>
        </w:tc>
      </w:tr>
      <w:tr>
        <w:tc>
          <w:tcPr>
            <w:tcW w:type="dxa" w:w="3168"/>
          </w:tcPr>
          <w:p>
            <w:r>
              <w:rPr>
                <w:color w:val="FF6600"/>
              </w:rPr>
              <w:t>Mémoire de travail</w:t>
            </w:r>
          </w:p>
        </w:tc>
        <w:tc>
          <w:tcPr>
            <w:tcW w:type="dxa" w:w="1296"/>
          </w:tcPr>
          <w:p>
            <w:r>
              <w:rPr>
                <w:color w:val="FF6600"/>
              </w:rPr>
              <w:t>IMT</w:t>
            </w:r>
          </w:p>
        </w:tc>
        <w:tc>
          <w:tcPr>
            <w:tcW w:type="dxa" w:w="1728"/>
          </w:tcPr>
          <w:p>
            <w:r>
              <w:rPr>
                <w:color w:val="FF6600"/>
              </w:rPr>
              <w:t>14</w:t>
            </w:r>
          </w:p>
        </w:tc>
        <w:tc>
          <w:tcPr>
            <w:tcW w:type="dxa" w:w="1728"/>
          </w:tcPr>
          <w:p>
            <w:r>
              <w:rPr>
                <w:color w:val="FF6600"/>
              </w:rPr>
              <w:t>1</w:t>
            </w:r>
          </w:p>
        </w:tc>
        <w:tc>
          <w:tcPr>
            <w:tcW w:type="dxa" w:w="1728"/>
          </w:tcPr>
          <w:p>
            <w:r>
              <w:rPr>
                <w:color w:val="FF6600"/>
              </w:rPr>
              <w:t>14</w:t>
            </w:r>
          </w:p>
        </w:tc>
        <w:tc>
          <w:tcPr>
            <w:tcW w:type="dxa" w:w="2016"/>
          </w:tcPr>
          <w:p>
            <w:r>
              <w:rPr>
                <w:color w:val="FF6600"/>
              </w:rPr>
              <w:t>1</w:t>
            </w:r>
          </w:p>
        </w:tc>
        <w:tc>
          <w:tcPr>
            <w:tcW w:type="dxa" w:w="1728"/>
          </w:tcPr>
          <w:p>
            <w:r>
              <w:rPr>
                <w:color w:val="FF6600"/>
              </w:rPr>
              <w:t>moyenne faible</w:t>
            </w:r>
          </w:p>
        </w:tc>
      </w:tr>
      <w:tr>
        <w:tc>
          <w:tcPr>
            <w:tcW w:type="dxa" w:w="3168"/>
          </w:tcPr>
          <w:p>
            <w:r>
              <w:rPr>
                <w:color w:val="FF6600"/>
              </w:rPr>
              <w:t>Vitesse de traitement</w:t>
            </w:r>
          </w:p>
        </w:tc>
        <w:tc>
          <w:tcPr>
            <w:tcW w:type="dxa" w:w="1296"/>
          </w:tcPr>
          <w:p>
            <w:r>
              <w:rPr>
                <w:color w:val="FF6600"/>
              </w:rPr>
              <w:t>IVT</w:t>
            </w:r>
          </w:p>
        </w:tc>
        <w:tc>
          <w:tcPr>
            <w:tcW w:type="dxa" w:w="1728"/>
          </w:tcPr>
          <w:p>
            <w:r>
              <w:rPr>
                <w:color w:val="FF6600"/>
              </w:rPr>
              <w:t>1</w:t>
            </w:r>
          </w:p>
        </w:tc>
        <w:tc>
          <w:tcPr>
            <w:tcW w:type="dxa" w:w="1728"/>
          </w:tcPr>
          <w:p>
            <w:r>
              <w:rPr>
                <w:color w:val="FF6600"/>
              </w:rPr>
              <w:t>1</w:t>
            </w:r>
          </w:p>
        </w:tc>
        <w:tc>
          <w:tcPr>
            <w:tcW w:type="dxa" w:w="1728"/>
          </w:tcPr>
          <w:p>
            <w:r>
              <w:rPr>
                <w:color w:val="FF6600"/>
              </w:rPr>
              <w:t>1</w:t>
            </w:r>
          </w:p>
        </w:tc>
        <w:tc>
          <w:tcPr>
            <w:tcW w:type="dxa" w:w="2016"/>
          </w:tcPr>
          <w:p>
            <w:r>
              <w:rPr>
                <w:color w:val="FF6600"/>
              </w:rPr>
              <w:t>1</w:t>
            </w:r>
          </w:p>
        </w:tc>
        <w:tc>
          <w:tcPr>
            <w:tcW w:type="dxa" w:w="1728"/>
          </w:tcPr>
          <w:p>
            <w:r>
              <w:rPr>
                <w:color w:val="FF6600"/>
              </w:rPr>
              <w:t>zone faible</w:t>
            </w:r>
          </w:p>
        </w:tc>
      </w:tr>
      <w:tr>
        <w:tc>
          <w:tcPr>
            <w:tcW w:type="dxa" w:w="3168"/>
            <w:shd w:fill="DCE6F1"/>
          </w:tcPr>
          <w:p>
            <w:r>
              <w:t>Échelle Totale</w:t>
            </w:r>
          </w:p>
        </w:tc>
        <w:tc>
          <w:tcPr>
            <w:tcW w:type="dxa" w:w="1296"/>
            <w:shd w:fill="DCE6F1"/>
          </w:tcPr>
          <w:p>
            <w:r>
              <w:t>QIT</w:t>
            </w:r>
          </w:p>
        </w:tc>
        <w:tc>
          <w:tcPr>
            <w:tcW w:type="dxa" w:w="1728"/>
            <w:shd w:fill="DCE6F1"/>
          </w:tcPr>
          <w:p>
            <w:r>
              <w:t>1</w:t>
            </w:r>
          </w:p>
        </w:tc>
        <w:tc>
          <w:tcPr>
            <w:tcW w:type="dxa" w:w="1728"/>
            <w:shd w:fill="DCE6F1"/>
          </w:tcPr>
          <w:p>
            <w:r>
              <w:t>1</w:t>
            </w:r>
          </w:p>
        </w:tc>
        <w:tc>
          <w:tcPr>
            <w:tcW w:type="dxa" w:w="1728"/>
            <w:shd w:fill="DCE6F1"/>
          </w:tcPr>
          <w:p>
            <w:r>
              <w:t>11</w:t>
            </w:r>
          </w:p>
        </w:tc>
        <w:tc>
          <w:tcPr>
            <w:tcW w:type="dxa" w:w="2016"/>
            <w:shd w:fill="DCE6F1"/>
          </w:tcPr>
          <w:p>
            <w:r>
              <w:t>1</w:t>
            </w:r>
          </w:p>
        </w:tc>
        <w:tc>
          <w:tcPr>
            <w:tcW w:type="dxa" w:w="1728"/>
            <w:shd w:fill="DCE6F1"/>
          </w:tcPr>
          <w:p>
            <w:r>
              <w:rPr>
                <w:strike/>
              </w:rPr>
              <w:t>moyenne faible</w:t>
            </w:r>
          </w:p>
        </w:tc>
      </w:tr>
    </w:tbl>
    <w:p>
      <w:pPr>
        <w:jc w:val="left"/>
      </w:pPr>
      <w:r>
        <w:rPr>
          <w:b/>
          <w:sz w:val="24"/>
        </w:rPr>
        <w:t>L'indice complémentaire d'aptitude générale (IAG = 1, RP = 11)</w:t>
      </w:r>
      <w:r>
        <w:rPr>
          <w:b w:val="0"/>
          <w:sz w:val="24"/>
        </w:rPr>
        <w:t xml:space="preserve">, témoigne d'une capacité à raisonner,de facultés de compréhension, situées dans la </w:t>
      </w:r>
      <w:r>
        <w:rPr>
          <w:b/>
          <w:sz w:val="24"/>
        </w:rPr>
        <w:t>moyenne faible</w:t>
      </w:r>
      <w:r>
        <w:rPr>
          <w:b w:val="0"/>
          <w:sz w:val="24"/>
        </w:rPr>
        <w:t xml:space="preserve"> de son âge.</w:t>
      </w:r>
    </w:p>
    <w:p/>
    <w:p>
      <w:pPr>
        <w:jc w:val="left"/>
      </w:pPr>
      <w:r>
        <w:rPr>
          <w:b/>
          <w:sz w:val="24"/>
        </w:rPr>
        <w:t xml:space="preserve">L'indice de compétence cognitive (ICC = 1, RP = 1) </w:t>
      </w:r>
      <w:r>
        <w:rPr>
          <w:b w:val="0"/>
          <w:sz w:val="24"/>
        </w:rPr>
        <w:t xml:space="preserve">relatif aux traitements de bas niveaux (vitesse detraitement et mémoire de travail) se situe dans la </w:t>
      </w:r>
      <w:r>
        <w:rPr>
          <w:b/>
          <w:sz w:val="24"/>
        </w:rPr>
        <w:t>zone faible</w:t>
      </w:r>
      <w:r>
        <w:rPr>
          <w:b w:val="0"/>
          <w:sz w:val="24"/>
        </w:rPr>
        <w:t xml:space="preserve"> de son âge.</w:t>
      </w:r>
    </w:p>
    <w:p/>
    <w:p>
      <w:pPr>
        <w:jc w:val="left"/>
      </w:pPr>
      <w:r>
        <w:rPr>
          <w:b/>
          <w:sz w:val="24"/>
        </w:rPr>
        <w:t xml:space="preserve">L'indice non verbal (INV = 21, RP = 21) </w:t>
      </w:r>
      <w:r>
        <w:rPr>
          <w:b w:val="0"/>
          <w:sz w:val="24"/>
        </w:rPr>
        <w:t xml:space="preserve">relatif aux compétences non verbales se situe dans la </w:t>
      </w:r>
      <w:r>
        <w:rPr>
          <w:b/>
          <w:sz w:val="24"/>
        </w:rPr>
        <w:t>moyenne faible</w:t>
      </w:r>
      <w:r>
        <w:rPr>
          <w:b w:val="0"/>
          <w:sz w:val="24"/>
        </w:rPr>
        <w:t xml:space="preserve"> de son âge.</w:t>
      </w:r>
    </w:p>
    <w:p/>
    <w:p>
      <w:pPr>
        <w:jc w:val="left"/>
      </w:pPr>
      <w:r>
        <w:rPr>
          <w:b/>
          <w:sz w:val="24"/>
        </w:rPr>
      </w:r>
      <w:r>
        <w:rPr>
          <w:b w:val="0"/>
          <w:sz w:val="24"/>
        </w:rPr>
        <w:t>Nous détaillerons, dans les chapitres suivants, les différents domaines cognitifs qui ont été évaluées, et qui permettent d'appréhender de manière plus approfondie le fonctionnement actuel de a.</w:t>
      </w:r>
      <w:r>
        <w:rPr>
          <w:b/>
          <w:sz w:val="24"/>
        </w:rPr>
      </w:r>
    </w:p>
    <w:p>
      <w:r>
        <w:rPr>
          <w:b/>
          <w:color w:val="0064FF"/>
          <w:u w:val="single"/>
        </w:rPr>
        <w:t>Capacités verbales</w:t>
      </w:r>
    </w:p>
    <w:p>
      <w:pPr>
        <w:jc w:val="left"/>
      </w:pPr>
      <w:r>
        <w:rPr>
          <w:b/>
          <w:i/>
          <w:sz w:val="24"/>
        </w:rPr>
        <w:t xml:space="preserve">L'indice de Compréhension Verbale (ICV) </w:t>
      </w:r>
      <w:r>
        <w:rPr>
          <w:b w:val="0"/>
          <w:i/>
          <w:sz w:val="24"/>
        </w:rPr>
        <w:t>mesure les aptitudes verbales en sollicitant le raisonnement, la compréhension, et la catégorisation. Il évalue la formation de concepts verbaux et les connaissances culturelles acquises dans l'environnement de l'enfant.</w:t>
      </w:r>
    </w:p>
    <w:p>
      <w:pPr>
        <w:jc w:val="left"/>
      </w:pPr>
      <w:r>
        <w:rPr>
          <w:b/>
          <w:sz w:val="24"/>
        </w:rPr>
      </w:r>
      <w:r>
        <w:rPr>
          <w:b w:val="0"/>
          <w:sz w:val="24"/>
        </w:rPr>
        <w:t>Sur le plan qualitatif, nous observons que a comprend bien les consignes au décours du bilan. Il n'aura pas eu besoin d'énormément de reformulations ou d'explications supplémentaires. Le discours spontané est fluent, informatif et cohérent.</w:t>
      </w:r>
      <w:r>
        <w:rPr>
          <w:b/>
          <w:sz w:val="24"/>
        </w:rPr>
      </w:r>
    </w:p>
    <w:p>
      <w:pPr>
        <w:jc w:val="left"/>
      </w:pPr>
      <w:r>
        <w:rPr>
          <w:b/>
          <w:sz w:val="24"/>
        </w:rPr>
      </w:r>
      <w:r>
        <w:rPr>
          <w:b w:val="0"/>
          <w:sz w:val="24"/>
        </w:rPr>
        <w:t xml:space="preserve">La note composite de compréhension verbale </w:t>
      </w:r>
      <w:r>
        <w:rPr>
          <w:b/>
          <w:sz w:val="24"/>
        </w:rPr>
        <w:t xml:space="preserve">(ICV = 21, RP = 21) </w:t>
      </w:r>
      <w:r>
        <w:rPr>
          <w:b w:val="0"/>
          <w:sz w:val="24"/>
        </w:rPr>
        <w:t xml:space="preserve">se situe dans la </w:t>
      </w:r>
      <w:r>
        <w:rPr>
          <w:b/>
          <w:sz w:val="24"/>
        </w:rPr>
        <w:t>moyenne faible</w:t>
      </w:r>
      <w:r>
        <w:rPr>
          <w:b w:val="0"/>
          <w:sz w:val="24"/>
        </w:rPr>
        <w:t xml:space="preserve"> comparaison aux enfants du même âge.</w:t>
      </w:r>
    </w:p>
    <w:tbl>
      <w:tblPr>
        <w:tblW w:type="auto" w:w="0"/>
        <w:jc w:val="center"/>
        <w:tblLayout w:type="autofit"/>
        <w:tblLook w:firstColumn="1" w:firstRow="1" w:lastColumn="0" w:lastRow="0" w:noHBand="0" w:noVBand="1" w:val="04A0"/>
      </w:tblPr>
      <w:tblGrid>
        <w:gridCol w:w="2880"/>
        <w:gridCol w:w="2880"/>
        <w:gridCol w:w="2880"/>
      </w:tblGrid>
      <w:tr>
        <w:tc>
          <w:tcPr>
            <w:tcW w:type="dxa" w:w="2880"/>
            <w:vAlign w:val="center"/>
            <w:top w:sz="12" w:val="single" w:color="000000"/>
            <w:bottom w:sz="12" w:val="single" w:color="000000"/>
            <w:start w:sz="12" w:val="single" w:color="000000"/>
            <w:end w:sz="12" w:val="single" w:color="000000"/>
          </w:tcPr>
          <w:p>
            <w:pPr>
              <w:jc w:val="center"/>
            </w:pPr>
            <w:r>
              <w:rPr>
                <w:b/>
              </w:rPr>
              <w:t>Épreuves</w:t>
            </w:r>
          </w:p>
        </w:tc>
        <w:tc>
          <w:tcPr>
            <w:tcW w:type="dxa" w:w="2880"/>
            <w:vAlign w:val="center"/>
            <w:top w:sz="12" w:val="single" w:color="000000"/>
            <w:bottom w:sz="12" w:val="single" w:color="000000"/>
            <w:start w:sz="12" w:val="single" w:color="000000"/>
            <w:end w:sz="12" w:val="single" w:color="000000"/>
          </w:tcPr>
          <w:p>
            <w:pPr>
              <w:jc w:val="center"/>
            </w:pPr>
            <w:r>
              <w:rPr>
                <w:b/>
              </w:rPr>
              <w:t>Notes Standards</w:t>
            </w:r>
          </w:p>
        </w:tc>
        <w:tc>
          <w:tcPr>
            <w:tcW w:type="dxa" w:w="2880"/>
            <w:vAlign w:val="center"/>
            <w:top w:sz="12" w:val="single" w:color="000000"/>
            <w:bottom w:sz="12" w:val="single" w:color="000000"/>
            <w:start w:sz="12" w:val="single" w:color="000000"/>
            <w:end w:sz="12" w:val="single" w:color="000000"/>
          </w:tcPr>
          <w:p>
            <w:pPr>
              <w:jc w:val="center"/>
            </w:pPr>
            <w:r>
              <w:rPr>
                <w:b/>
              </w:rPr>
              <w:t>Rang Percentile</w:t>
            </w:r>
          </w:p>
        </w:tc>
      </w:tr>
      <w:tr>
        <w:tc>
          <w:tcPr>
            <w:tcW w:type="dxa" w:w="2880"/>
            <w:vAlign w:val="center"/>
            <w:top w:sz="12" w:val="single" w:color="000000"/>
            <w:bottom w:sz="12" w:val="single" w:color="000000"/>
            <w:start w:sz="12" w:val="single" w:color="000000"/>
            <w:end w:sz="12" w:val="single" w:color="000000"/>
          </w:tcPr>
          <w:p>
            <w:pPr>
              <w:jc w:val="center"/>
            </w:pPr>
            <w:r>
              <w:rPr>
                <w:sz w:val="24"/>
              </w:rPr>
              <w:t>Similitudes</w:t>
            </w:r>
          </w:p>
        </w:tc>
        <w:tc>
          <w:tcPr>
            <w:tcW w:type="dxa" w:w="2880"/>
            <w:vAlign w:val="center"/>
            <w:top w:sz="12" w:val="single" w:color="000000"/>
            <w:bottom w:sz="12" w:val="single" w:color="000000"/>
            <w:start w:sz="12" w:val="single" w:color="000000"/>
            <w:end w:sz="12" w:val="single" w:color="000000"/>
          </w:tcPr>
          <w:p>
            <w:pPr>
              <w:jc w:val="center"/>
            </w:pPr>
            <w:r>
              <w:rPr>
                <w:sz w:val="24"/>
              </w:rPr>
              <w:t>2</w:t>
            </w:r>
          </w:p>
        </w:tc>
        <w:tc>
          <w:tcPr>
            <w:tcW w:type="dxa" w:w="2880"/>
            <w:vAlign w:val="center"/>
            <w:top w:sz="12" w:val="single" w:color="000000"/>
            <w:bottom w:sz="12" w:val="single" w:color="000000"/>
            <w:start w:sz="12" w:val="single" w:color="000000"/>
            <w:end w:sz="12" w:val="single" w:color="000000"/>
          </w:tcPr>
          <w:p>
            <w:pPr>
              <w:jc w:val="center"/>
            </w:pPr>
            <w:r>
              <w:rPr>
                <w:sz w:val="24"/>
              </w:rPr>
              <w:t>12</w:t>
            </w:r>
          </w:p>
        </w:tc>
      </w:tr>
      <w:tr>
        <w:tc>
          <w:tcPr>
            <w:tcW w:type="dxa" w:w="2880"/>
            <w:vAlign w:val="center"/>
            <w:top w:sz="12" w:val="single" w:color="000000"/>
            <w:bottom w:sz="12" w:val="single" w:color="000000"/>
            <w:start w:sz="12" w:val="single" w:color="000000"/>
            <w:end w:sz="12" w:val="single" w:color="000000"/>
          </w:tcPr>
          <w:p>
            <w:pPr>
              <w:jc w:val="center"/>
            </w:pPr>
            <w:r>
              <w:rPr>
                <w:color w:val="008000"/>
                <w:sz w:val="24"/>
              </w:rPr>
              <w:t>Vocabulaire</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12</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12</w:t>
            </w:r>
          </w:p>
        </w:tc>
      </w:tr>
    </w:tbl>
    <w:p>
      <w:pPr>
        <w:jc w:val="left"/>
      </w:pPr>
      <w:r>
        <w:rPr>
          <w:b/>
          <w:sz w:val="24"/>
        </w:rPr>
      </w:r>
      <w:r>
        <w:rPr>
          <w:b w:val="0"/>
          <w:sz w:val="24"/>
        </w:rPr>
        <w:t xml:space="preserve">Le subtest « </w:t>
      </w:r>
      <w:r>
        <w:rPr>
          <w:b/>
          <w:sz w:val="24"/>
        </w:rPr>
        <w:t xml:space="preserve">Similitudes </w:t>
      </w:r>
      <w:r>
        <w:rPr>
          <w:b w:val="0"/>
          <w:sz w:val="24"/>
        </w:rPr>
        <w:t xml:space="preserve">» permet d'appréhender la qualité du langage oral de a, ses capacités d'abstractionet de raisonnement verbal. a présente des performances dans la </w:t>
      </w:r>
      <w:r>
        <w:rPr>
          <w:b/>
          <w:sz w:val="24"/>
        </w:rPr>
        <w:t>moyenne faible</w:t>
      </w:r>
      <w:r>
        <w:rPr>
          <w:b w:val="0"/>
          <w:sz w:val="24"/>
        </w:rPr>
        <w:t>de son âge. Il montre de bonnes capacités catégorisation et de conceptualisation.</w:t>
      </w:r>
    </w:p>
    <w:p>
      <w:pPr>
        <w:jc w:val="left"/>
      </w:pPr>
      <w:r>
        <w:rPr>
          <w:b/>
          <w:i/>
          <w:sz w:val="24"/>
        </w:rPr>
        <w:t>Exemple : « En quoi le cochon et le mouton se ressemblent ? Qu’est-ce qui fait qu’ils sont pareil ? »</w:t>
      </w:r>
      <w:r>
        <w:rPr>
          <w:b w:val="0"/>
          <w:i/>
          <w:sz w:val="24"/>
        </w:rPr>
      </w:r>
    </w:p>
    <w:p>
      <w:pPr>
        <w:jc w:val="left"/>
      </w:pPr>
      <w:r>
        <w:rPr>
          <w:b/>
          <w:sz w:val="24"/>
        </w:rPr>
      </w:r>
      <w:r>
        <w:rPr>
          <w:b w:val="0"/>
          <w:sz w:val="24"/>
        </w:rPr>
        <w:t>Lors de l'épreuve de «</w:t>
      </w:r>
      <w:r>
        <w:rPr>
          <w:b/>
          <w:sz w:val="24"/>
        </w:rPr>
        <w:t>Vocabulaire</w:t>
      </w:r>
      <w:r>
        <w:rPr>
          <w:b w:val="0"/>
          <w:sz w:val="24"/>
        </w:rPr>
        <w:t xml:space="preserve">», qui fait appel à ses connaissance internalisées (faisant appel à son expérience et des situations de la vie quotidienne), a obtient des résultats dans la </w:t>
      </w:r>
      <w:r>
        <w:rPr>
          <w:b/>
          <w:sz w:val="24"/>
        </w:rPr>
        <w:t>moyenne faible</w:t>
      </w:r>
      <w:r>
        <w:rPr>
          <w:b w:val="0"/>
          <w:sz w:val="24"/>
        </w:rPr>
        <w:t>de son âge. a témoigne d'un bon stock lexical.</w:t>
      </w:r>
    </w:p>
    <w:p>
      <w:pPr>
        <w:jc w:val="left"/>
      </w:pPr>
      <w:r>
        <w:rPr>
          <w:b/>
          <w:i/>
          <w:sz w:val="24"/>
        </w:rPr>
        <w:t>Exemple : « Qu'est-ce qu'une fourchette ? »</w:t>
      </w:r>
      <w:r>
        <w:rPr>
          <w:b w:val="0"/>
          <w:i/>
          <w:sz w:val="24"/>
        </w:rPr>
      </w:r>
    </w:p>
    <w:p/>
    <w:tbl>
      <w:tblPr>
        <w:tblStyle w:val="TableGrid"/>
        <w:tblW w:type="auto" w:w="0"/>
        <w:tblLook w:firstColumn="1" w:firstRow="1" w:lastColumn="0" w:lastRow="0" w:noHBand="0" w:noVBand="1" w:val="04A0"/>
      </w:tblPr>
      <w:tblGrid>
        <w:gridCol w:w="8640"/>
      </w:tblGrid>
      <w:tr>
        <w:tc>
          <w:tcPr>
            <w:tcW w:type="dxa" w:w="8640"/>
          </w:tcPr>
          <w:p/>
          <w:p>
            <w:r>
              <w:rPr>
                <w:b/>
                <w:color w:val="0064FF"/>
              </w:rPr>
              <w:t xml:space="preserve">NOM et PRENOM                                                                                    a  a </w:t>
            </w:r>
          </w:p>
          <w:p>
            <w:r>
              <w:t>Date de naissance                                                                                              a</w:t>
            </w:r>
          </w:p>
          <w:p>
            <w:r>
              <w:t xml:space="preserve">Age au moment de l'évaluation                                                                       a </w:t>
            </w:r>
          </w:p>
          <w:p>
            <w:r>
              <w:t>Latéralité                                                                                                                   a</w:t>
            </w:r>
          </w:p>
          <w:p>
            <w:r>
              <w:t>Date du bilan                                                                                                                     a</w:t>
            </w:r>
            <w:r>
              <w:br/>
            </w:r>
          </w:p>
        </w:tc>
      </w:tr>
    </w:tbl>
    <w:p/>
    <w:p>
      <w:r>
        <w:rPr>
          <w:color w:val="0064FF"/>
        </w:rPr>
        <w:t>INDICATION, PLAINTE PRINCIPALE</w:t>
      </w:r>
    </w:p>
    <w:p>
      <w:r>
        <w:t xml:space="preserve">J’ai rencontré </w:t>
      </w:r>
      <w:r>
        <w:rPr>
          <w:b/>
        </w:rPr>
        <w:t xml:space="preserve">a a </w:t>
      </w:r>
      <w:r>
        <w:t xml:space="preserve">à la demande de la PCO, afin de mieux comprendre son  fonctionnement cognitif.  </w:t>
      </w:r>
    </w:p>
    <w:p>
      <w:r>
        <w:rPr>
          <w:b w:val="0"/>
        </w:rPr>
        <w:t xml:space="preserve">Ce présent bilan a donc pour objectif de définir le profil cognitif et comportemental de a, afin de fournir  des axes de travail et d'accompagnement. </w:t>
      </w:r>
    </w:p>
    <w:p>
      <w:r>
        <w:rPr>
          <w:color w:val="0064FF"/>
        </w:rPr>
        <w:t>SOURCE D'INFORMATION</w:t>
      </w:r>
    </w:p>
    <w:p>
      <w:r>
        <w:rPr>
          <w:b w:val="0"/>
        </w:rPr>
        <w:t xml:space="preserve">Les informations pertinentes ont été recueillies auprès des parents et de a. </w:t>
      </w:r>
    </w:p>
    <w:p>
      <w:r>
        <w:rPr>
          <w:b/>
        </w:rPr>
        <w:t xml:space="preserve">Tests utilisés </w:t>
      </w:r>
      <w:r>
        <w:rPr>
          <w:b w:val="0"/>
        </w:rPr>
        <w:t xml:space="preserve">: WISC-V ; TEA-Ch ; NEPSY-II ; KiTAP ; BROWN ; Young-DIVA </w:t>
      </w:r>
    </w:p>
    <w:tbl>
      <w:tblPr>
        <w:tblW w:type="auto" w:w="0"/>
        <w:tblLook w:firstColumn="1" w:firstRow="1" w:lastColumn="0" w:lastRow="0" w:noHBand="0" w:noVBand="1" w:val="04A0"/>
      </w:tblPr>
      <w:tblGrid>
        <w:gridCol w:w="8640"/>
      </w:tblGrid>
      <w:tr>
        <w:tc>
          <w:tcPr>
            <w:tcW w:type="dxa" w:w="8640"/>
          </w:tcPr>
          <w:p/>
          <w:p>
            <w:pPr>
              <w:jc w:val="center"/>
            </w:pPr>
            <w:r>
              <w:rPr>
                <w:b/>
              </w:rPr>
              <w:t>Fonctionnement intellectuel global (WISC V)</w:t>
            </w:r>
          </w:p>
        </w:tc>
      </w:tr>
    </w:tbl>
    <w:p/>
    <w:p>
      <w:r>
        <w:rPr>
          <w:b/>
          <w:color w:val="0064FF"/>
          <w:u w:val="single"/>
        </w:rPr>
        <w:t xml:space="preserve">Capacités cognitives globales </w:t>
      </w:r>
    </w:p>
    <w:p>
      <w:r>
        <w:rPr>
          <w:i/>
        </w:rPr>
        <w:t xml:space="preserve">Le WISC-V est utilisé pour mesurer les habiletés générales de raisonnement des enfants de 6 à 16 ans. Cette  évaluation fournit un score qui représente la capacité intellectuelle globale de l’enfant (QIT), ainsi que des  scores d’indice qui mesurent les domaines suivants du fonctionnement cognitif : compréhension verbale  (ICV), traitement visuospatial (IVS), raison fluide (IRF), mémoire de travail (IMT) et vitesse de traitement  (IVT). </w:t>
      </w:r>
    </w:p>
    <w:p>
      <w:r>
        <w:t xml:space="preserve">L’évaluation intellectuelle réalisée à l’aide du WISC-V met en évidence un profil présentant des capacités  intellectuelles hétérogènes. En effet, l’hétérogénéité significative de son profil ne nous permet pas de calculer  un QIT chez a. En effet, des différences statistiquement significatives apparaissent entre plusieurs scores  d’indices. Alors, la note d’échelle totale (QIT) – qui représente les aptitudes intellectuelles globales – ne peut  nous permettre de comprendre le fonctionnement de a. L’étude des forces et des faiblesses est préconisée  pour mieux comprendre son profil cognitif. </w:t>
      </w:r>
    </w:p>
    <w:p>
      <w:pPr>
        <w:jc w:val="center"/>
      </w:pPr>
      <w:r>
        <w:rPr>
          <w:i/>
        </w:rPr>
        <w:t>Synthèse des notes composites principales</w:t>
      </w:r>
    </w:p>
    <w:tbl>
      <w:tblPr>
        <w:tblStyle w:val="TableGrid"/>
        <w:tblW w:type="auto" w:w="0"/>
        <w:tblLayout w:type="autofit"/>
        <w:tblLook w:firstColumn="1" w:firstRow="1" w:lastColumn="0" w:lastRow="0" w:noHBand="0" w:noVBand="1" w:val="04A0"/>
      </w:tblPr>
      <w:tblGrid>
        <w:gridCol w:w="1234"/>
        <w:gridCol w:w="1234"/>
        <w:gridCol w:w="1234"/>
        <w:gridCol w:w="1234"/>
        <w:gridCol w:w="1234"/>
        <w:gridCol w:w="1234"/>
        <w:gridCol w:w="1234"/>
      </w:tblGrid>
      <w:tr>
        <w:tc>
          <w:tcPr>
            <w:tcW w:type="dxa" w:w="3168"/>
          </w:tcPr>
          <w:p>
            <w:pPr>
              <w:jc w:val="center"/>
            </w:pPr>
            <w:r>
              <w:rPr>
                <w:b/>
              </w:rPr>
              <w:t>Composite</w:t>
            </w:r>
          </w:p>
        </w:tc>
        <w:tc>
          <w:tcPr>
            <w:tcW w:type="dxa" w:w="1296"/>
          </w:tcPr>
          <w:p>
            <w:pPr>
              <w:jc w:val="center"/>
            </w:pPr>
            <w:r>
              <w:rPr>
                <w:b/>
              </w:rPr>
              <w:t>Indices</w:t>
            </w:r>
          </w:p>
        </w:tc>
        <w:tc>
          <w:tcPr>
            <w:tcW w:type="dxa" w:w="1728"/>
          </w:tcPr>
          <w:p>
            <w:pPr>
              <w:jc w:val="center"/>
            </w:pPr>
            <w:r>
              <w:rPr>
                <w:b/>
              </w:rPr>
              <w:t>Ensemble des Note Standard</w:t>
            </w:r>
          </w:p>
        </w:tc>
        <w:tc>
          <w:tcPr>
            <w:tcW w:type="dxa" w:w="1728"/>
          </w:tcPr>
          <w:p>
            <w:pPr>
              <w:jc w:val="center"/>
            </w:pPr>
            <w:r>
              <w:rPr>
                <w:b/>
              </w:rPr>
              <w:t>Note Composite</w:t>
            </w:r>
          </w:p>
        </w:tc>
        <w:tc>
          <w:tcPr>
            <w:tcW w:type="dxa" w:w="1728"/>
          </w:tcPr>
          <w:p>
            <w:pPr>
              <w:jc w:val="center"/>
            </w:pPr>
            <w:r>
              <w:rPr>
                <w:b/>
              </w:rPr>
              <w:t>Rang Percentile</w:t>
            </w:r>
          </w:p>
        </w:tc>
        <w:tc>
          <w:tcPr>
            <w:tcW w:type="dxa" w:w="2016"/>
          </w:tcPr>
          <w:p>
            <w:pPr>
              <w:jc w:val="center"/>
            </w:pPr>
            <w:r>
              <w:rPr>
                <w:b/>
              </w:rPr>
              <w:t>Intervalle de Confiance</w:t>
            </w:r>
          </w:p>
        </w:tc>
        <w:tc>
          <w:tcPr>
            <w:tcW w:type="dxa" w:w="1728"/>
          </w:tcPr>
          <w:p>
            <w:pPr>
              <w:jc w:val="center"/>
            </w:pPr>
            <w:r>
              <w:rPr>
                <w:b/>
              </w:rPr>
              <w:t>Description qualitative</w:t>
            </w:r>
          </w:p>
        </w:tc>
      </w:tr>
      <w:tr>
        <w:tc>
          <w:tcPr>
            <w:tcW w:type="dxa" w:w="3168"/>
          </w:tcPr>
          <w:p>
            <w:r>
              <w:t>Compréhension Verbale</w:t>
            </w:r>
          </w:p>
        </w:tc>
        <w:tc>
          <w:tcPr>
            <w:tcW w:type="dxa" w:w="1296"/>
          </w:tcPr>
          <w:p>
            <w:r>
              <w:t>ICV</w:t>
            </w:r>
          </w:p>
        </w:tc>
        <w:tc>
          <w:tcPr>
            <w:tcW w:type="dxa" w:w="1728"/>
          </w:tcPr>
          <w:p>
            <w:r>
              <w:t>1</w:t>
            </w:r>
          </w:p>
        </w:tc>
        <w:tc>
          <w:tcPr>
            <w:tcW w:type="dxa" w:w="1728"/>
          </w:tcPr>
          <w:p>
            <w:r>
              <w:t>1</w:t>
            </w:r>
          </w:p>
        </w:tc>
        <w:tc>
          <w:tcPr>
            <w:tcW w:type="dxa" w:w="1728"/>
          </w:tcPr>
          <w:p>
            <w:r>
              <w:t>1</w:t>
            </w:r>
          </w:p>
        </w:tc>
        <w:tc>
          <w:tcPr>
            <w:tcW w:type="dxa" w:w="2016"/>
          </w:tcPr>
          <w:p>
            <w:r>
              <w:t>41</w:t>
            </w:r>
          </w:p>
        </w:tc>
        <w:tc>
          <w:tcPr>
            <w:tcW w:type="dxa" w:w="1728"/>
          </w:tcPr>
          <w:p>
            <w:r>
              <w:t>zone faible</w:t>
            </w:r>
          </w:p>
        </w:tc>
      </w:tr>
      <w:tr>
        <w:tc>
          <w:tcPr>
            <w:tcW w:type="dxa" w:w="3168"/>
          </w:tcPr>
          <w:p>
            <w:r>
              <w:t>Visuospatial</w:t>
            </w:r>
          </w:p>
        </w:tc>
        <w:tc>
          <w:tcPr>
            <w:tcW w:type="dxa" w:w="1296"/>
          </w:tcPr>
          <w:p>
            <w:r>
              <w:t>IVS</w:t>
            </w:r>
          </w:p>
        </w:tc>
        <w:tc>
          <w:tcPr>
            <w:tcW w:type="dxa" w:w="1728"/>
          </w:tcPr>
          <w:p>
            <w:r>
              <w:t>1</w:t>
            </w:r>
          </w:p>
        </w:tc>
        <w:tc>
          <w:tcPr>
            <w:tcW w:type="dxa" w:w="1728"/>
          </w:tcPr>
          <w:p>
            <w:r>
              <w:t>1</w:t>
            </w:r>
          </w:p>
        </w:tc>
        <w:tc>
          <w:tcPr>
            <w:tcW w:type="dxa" w:w="1728"/>
          </w:tcPr>
          <w:p>
            <w:r>
              <w:t>1</w:t>
            </w:r>
          </w:p>
        </w:tc>
        <w:tc>
          <w:tcPr>
            <w:tcW w:type="dxa" w:w="2016"/>
          </w:tcPr>
          <w:p>
            <w:r>
              <w:t>1</w:t>
            </w:r>
          </w:p>
        </w:tc>
        <w:tc>
          <w:tcPr>
            <w:tcW w:type="dxa" w:w="1728"/>
          </w:tcPr>
          <w:p>
            <w:r>
              <w:t>zone faible</w:t>
            </w:r>
          </w:p>
        </w:tc>
      </w:tr>
      <w:tr>
        <w:tc>
          <w:tcPr>
            <w:tcW w:type="dxa" w:w="3168"/>
          </w:tcPr>
          <w:p>
            <w:r>
              <w:t>Raisonnement Fluide</w:t>
            </w:r>
          </w:p>
        </w:tc>
        <w:tc>
          <w:tcPr>
            <w:tcW w:type="dxa" w:w="1296"/>
          </w:tcPr>
          <w:p>
            <w:r>
              <w:t>IRF</w:t>
            </w:r>
          </w:p>
        </w:tc>
        <w:tc>
          <w:tcPr>
            <w:tcW w:type="dxa" w:w="1728"/>
          </w:tcPr>
          <w:p>
            <w:r>
              <w:t>11</w:t>
            </w:r>
          </w:p>
        </w:tc>
        <w:tc>
          <w:tcPr>
            <w:tcW w:type="dxa" w:w="1728"/>
          </w:tcPr>
          <w:p>
            <w:r>
              <w:t>1</w:t>
            </w:r>
          </w:p>
        </w:tc>
        <w:tc>
          <w:tcPr>
            <w:tcW w:type="dxa" w:w="1728"/>
          </w:tcPr>
          <w:p>
            <w:r>
              <w:t>1</w:t>
            </w:r>
          </w:p>
        </w:tc>
        <w:tc>
          <w:tcPr>
            <w:tcW w:type="dxa" w:w="2016"/>
          </w:tcPr>
          <w:p>
            <w:r>
              <w:t>1</w:t>
            </w:r>
          </w:p>
        </w:tc>
        <w:tc>
          <w:tcPr>
            <w:tcW w:type="dxa" w:w="1728"/>
          </w:tcPr>
          <w:p>
            <w:r>
              <w:t>zone faible</w:t>
            </w:r>
          </w:p>
        </w:tc>
      </w:tr>
      <w:tr>
        <w:tc>
          <w:tcPr>
            <w:tcW w:type="dxa" w:w="3168"/>
          </w:tcPr>
          <w:p>
            <w:r>
              <w:rPr>
                <w:color w:val="FF6600"/>
              </w:rPr>
              <w:t>Mémoire de travail</w:t>
            </w:r>
          </w:p>
        </w:tc>
        <w:tc>
          <w:tcPr>
            <w:tcW w:type="dxa" w:w="1296"/>
          </w:tcPr>
          <w:p>
            <w:r>
              <w:rPr>
                <w:color w:val="FF6600"/>
              </w:rPr>
              <w:t>IMT</w:t>
            </w:r>
          </w:p>
        </w:tc>
        <w:tc>
          <w:tcPr>
            <w:tcW w:type="dxa" w:w="1728"/>
          </w:tcPr>
          <w:p>
            <w:r>
              <w:rPr>
                <w:color w:val="FF6600"/>
              </w:rPr>
              <w:t>14</w:t>
            </w:r>
          </w:p>
        </w:tc>
        <w:tc>
          <w:tcPr>
            <w:tcW w:type="dxa" w:w="1728"/>
          </w:tcPr>
          <w:p>
            <w:r>
              <w:rPr>
                <w:color w:val="FF6600"/>
              </w:rPr>
              <w:t>1</w:t>
            </w:r>
          </w:p>
        </w:tc>
        <w:tc>
          <w:tcPr>
            <w:tcW w:type="dxa" w:w="1728"/>
          </w:tcPr>
          <w:p>
            <w:r>
              <w:rPr>
                <w:color w:val="FF6600"/>
              </w:rPr>
              <w:t>14</w:t>
            </w:r>
          </w:p>
        </w:tc>
        <w:tc>
          <w:tcPr>
            <w:tcW w:type="dxa" w:w="2016"/>
          </w:tcPr>
          <w:p>
            <w:r>
              <w:rPr>
                <w:color w:val="FF6600"/>
              </w:rPr>
              <w:t>1</w:t>
            </w:r>
          </w:p>
        </w:tc>
        <w:tc>
          <w:tcPr>
            <w:tcW w:type="dxa" w:w="1728"/>
          </w:tcPr>
          <w:p>
            <w:r>
              <w:rPr>
                <w:color w:val="FF6600"/>
              </w:rPr>
              <w:t>moyenne faible</w:t>
            </w:r>
          </w:p>
        </w:tc>
      </w:tr>
      <w:tr>
        <w:tc>
          <w:tcPr>
            <w:tcW w:type="dxa" w:w="3168"/>
          </w:tcPr>
          <w:p>
            <w:r>
              <w:rPr>
                <w:color w:val="FF6600"/>
              </w:rPr>
              <w:t>Vitesse de traitement</w:t>
            </w:r>
          </w:p>
        </w:tc>
        <w:tc>
          <w:tcPr>
            <w:tcW w:type="dxa" w:w="1296"/>
          </w:tcPr>
          <w:p>
            <w:r>
              <w:rPr>
                <w:color w:val="FF6600"/>
              </w:rPr>
              <w:t>IVT</w:t>
            </w:r>
          </w:p>
        </w:tc>
        <w:tc>
          <w:tcPr>
            <w:tcW w:type="dxa" w:w="1728"/>
          </w:tcPr>
          <w:p>
            <w:r>
              <w:rPr>
                <w:color w:val="FF6600"/>
              </w:rPr>
              <w:t>1</w:t>
            </w:r>
          </w:p>
        </w:tc>
        <w:tc>
          <w:tcPr>
            <w:tcW w:type="dxa" w:w="1728"/>
          </w:tcPr>
          <w:p>
            <w:r>
              <w:rPr>
                <w:color w:val="FF6600"/>
              </w:rPr>
              <w:t>1</w:t>
            </w:r>
          </w:p>
        </w:tc>
        <w:tc>
          <w:tcPr>
            <w:tcW w:type="dxa" w:w="1728"/>
          </w:tcPr>
          <w:p>
            <w:r>
              <w:rPr>
                <w:color w:val="FF6600"/>
              </w:rPr>
              <w:t>1</w:t>
            </w:r>
          </w:p>
        </w:tc>
        <w:tc>
          <w:tcPr>
            <w:tcW w:type="dxa" w:w="2016"/>
          </w:tcPr>
          <w:p>
            <w:r>
              <w:rPr>
                <w:color w:val="FF6600"/>
              </w:rPr>
              <w:t>1</w:t>
            </w:r>
          </w:p>
        </w:tc>
        <w:tc>
          <w:tcPr>
            <w:tcW w:type="dxa" w:w="1728"/>
          </w:tcPr>
          <w:p>
            <w:r>
              <w:rPr>
                <w:color w:val="FF6600"/>
              </w:rPr>
              <w:t>zone faible</w:t>
            </w:r>
          </w:p>
        </w:tc>
      </w:tr>
      <w:tr>
        <w:tc>
          <w:tcPr>
            <w:tcW w:type="dxa" w:w="3168"/>
            <w:shd w:fill="DCE6F1"/>
          </w:tcPr>
          <w:p>
            <w:r>
              <w:t>Échelle Totale</w:t>
            </w:r>
          </w:p>
        </w:tc>
        <w:tc>
          <w:tcPr>
            <w:tcW w:type="dxa" w:w="1296"/>
            <w:shd w:fill="DCE6F1"/>
          </w:tcPr>
          <w:p>
            <w:r>
              <w:t>QIT</w:t>
            </w:r>
          </w:p>
        </w:tc>
        <w:tc>
          <w:tcPr>
            <w:tcW w:type="dxa" w:w="1728"/>
            <w:shd w:fill="DCE6F1"/>
          </w:tcPr>
          <w:p>
            <w:r>
              <w:t>1</w:t>
            </w:r>
          </w:p>
        </w:tc>
        <w:tc>
          <w:tcPr>
            <w:tcW w:type="dxa" w:w="1728"/>
            <w:shd w:fill="DCE6F1"/>
          </w:tcPr>
          <w:p>
            <w:r>
              <w:t>1</w:t>
            </w:r>
          </w:p>
        </w:tc>
        <w:tc>
          <w:tcPr>
            <w:tcW w:type="dxa" w:w="1728"/>
            <w:shd w:fill="DCE6F1"/>
          </w:tcPr>
          <w:p>
            <w:r>
              <w:t>11</w:t>
            </w:r>
          </w:p>
        </w:tc>
        <w:tc>
          <w:tcPr>
            <w:tcW w:type="dxa" w:w="2016"/>
            <w:shd w:fill="DCE6F1"/>
          </w:tcPr>
          <w:p>
            <w:r>
              <w:t>1</w:t>
            </w:r>
          </w:p>
        </w:tc>
        <w:tc>
          <w:tcPr>
            <w:tcW w:type="dxa" w:w="1728"/>
            <w:shd w:fill="DCE6F1"/>
          </w:tcPr>
          <w:p>
            <w:r>
              <w:rPr>
                <w:strike/>
              </w:rPr>
              <w:t>moyenne faible</w:t>
            </w:r>
          </w:p>
        </w:tc>
      </w:tr>
    </w:tbl>
    <w:p>
      <w:pPr>
        <w:jc w:val="left"/>
      </w:pPr>
      <w:r>
        <w:rPr>
          <w:b/>
          <w:sz w:val="24"/>
        </w:rPr>
        <w:t>L'indice complémentaire d'aptitude générale (IAG = 1, RP = 11)</w:t>
      </w:r>
      <w:r>
        <w:rPr>
          <w:b w:val="0"/>
          <w:sz w:val="24"/>
        </w:rPr>
        <w:t xml:space="preserve">, témoigne d'une capacité à raisonner,de facultés de compréhension, situées dans la </w:t>
      </w:r>
      <w:r>
        <w:rPr>
          <w:b/>
          <w:sz w:val="24"/>
        </w:rPr>
        <w:t>moyenne faible</w:t>
      </w:r>
      <w:r>
        <w:rPr>
          <w:b w:val="0"/>
          <w:sz w:val="24"/>
        </w:rPr>
        <w:t xml:space="preserve"> de son âge.</w:t>
      </w:r>
    </w:p>
    <w:p/>
    <w:p>
      <w:pPr>
        <w:jc w:val="left"/>
      </w:pPr>
      <w:r>
        <w:rPr>
          <w:b/>
          <w:sz w:val="24"/>
        </w:rPr>
        <w:t xml:space="preserve">L'indice de compétence cognitive (ICC = 1, RP = 1) </w:t>
      </w:r>
      <w:r>
        <w:rPr>
          <w:b w:val="0"/>
          <w:sz w:val="24"/>
        </w:rPr>
        <w:t xml:space="preserve">relatif aux traitements de bas niveaux (vitesse detraitement et mémoire de travail) se situe dans la </w:t>
      </w:r>
      <w:r>
        <w:rPr>
          <w:b/>
          <w:sz w:val="24"/>
        </w:rPr>
        <w:t>zone faible</w:t>
      </w:r>
      <w:r>
        <w:rPr>
          <w:b w:val="0"/>
          <w:sz w:val="24"/>
        </w:rPr>
        <w:t xml:space="preserve"> de son âge.</w:t>
      </w:r>
    </w:p>
    <w:p/>
    <w:p>
      <w:pPr>
        <w:jc w:val="left"/>
      </w:pPr>
      <w:r>
        <w:rPr>
          <w:b/>
          <w:sz w:val="24"/>
        </w:rPr>
        <w:t xml:space="preserve">L'indice non verbal (INV = 21, RP = 21) </w:t>
      </w:r>
      <w:r>
        <w:rPr>
          <w:b w:val="0"/>
          <w:sz w:val="24"/>
        </w:rPr>
        <w:t xml:space="preserve">relatif aux compétences non verbales se situe dans la </w:t>
      </w:r>
      <w:r>
        <w:rPr>
          <w:b/>
          <w:sz w:val="24"/>
        </w:rPr>
        <w:t>moyenne faible</w:t>
      </w:r>
      <w:r>
        <w:rPr>
          <w:b w:val="0"/>
          <w:sz w:val="24"/>
        </w:rPr>
        <w:t xml:space="preserve"> de son âge.</w:t>
      </w:r>
    </w:p>
    <w:p/>
    <w:p>
      <w:pPr>
        <w:jc w:val="left"/>
      </w:pPr>
      <w:r>
        <w:rPr>
          <w:b/>
          <w:sz w:val="24"/>
        </w:rPr>
      </w:r>
      <w:r>
        <w:rPr>
          <w:b w:val="0"/>
          <w:sz w:val="24"/>
        </w:rPr>
        <w:t>Nous détaillerons, dans les chapitres suivants, les différents domaines cognitifs qui ont été évaluées, et qui permettent d'appréhender de manière plus approfondie le fonctionnement actuel de a.</w:t>
      </w:r>
      <w:r>
        <w:rPr>
          <w:b/>
          <w:sz w:val="24"/>
        </w:rPr>
      </w:r>
    </w:p>
    <w:p>
      <w:r>
        <w:rPr>
          <w:b/>
          <w:color w:val="0064FF"/>
          <w:u w:val="single"/>
        </w:rPr>
        <w:t>Capacités verbales</w:t>
      </w:r>
    </w:p>
    <w:p>
      <w:pPr>
        <w:jc w:val="left"/>
      </w:pPr>
      <w:r>
        <w:rPr>
          <w:b/>
          <w:i/>
          <w:sz w:val="24"/>
        </w:rPr>
        <w:t xml:space="preserve">L'indice de Compréhension Verbale (ICV) </w:t>
      </w:r>
      <w:r>
        <w:rPr>
          <w:b w:val="0"/>
          <w:i/>
          <w:sz w:val="24"/>
        </w:rPr>
        <w:t>mesure les aptitudes verbales en sollicitant le raisonnement, la compréhension, et la catégorisation. Il évalue la formation de concepts verbaux et les connaissances culturelles acquises dans l'environnement de l'enfant.</w:t>
      </w:r>
    </w:p>
    <w:p>
      <w:pPr>
        <w:jc w:val="left"/>
      </w:pPr>
      <w:r>
        <w:rPr>
          <w:b/>
          <w:sz w:val="24"/>
        </w:rPr>
      </w:r>
      <w:r>
        <w:rPr>
          <w:b w:val="0"/>
          <w:sz w:val="24"/>
        </w:rPr>
        <w:t>Sur le plan qualitatif, nous observons que a comprend bien les consignes au décours du bilan. Il n'aura pas eu besoin d'énormément de reformulations ou d'explications supplémentaires. Le discours spontané est fluent, informatif et cohérent.</w:t>
      </w:r>
      <w:r>
        <w:rPr>
          <w:b/>
          <w:sz w:val="24"/>
        </w:rPr>
      </w:r>
    </w:p>
    <w:p>
      <w:pPr>
        <w:jc w:val="left"/>
      </w:pPr>
      <w:r>
        <w:rPr>
          <w:b/>
          <w:sz w:val="24"/>
        </w:rPr>
      </w:r>
      <w:r>
        <w:rPr>
          <w:b w:val="0"/>
          <w:sz w:val="24"/>
        </w:rPr>
        <w:t xml:space="preserve">La note composite de compréhension verbale </w:t>
      </w:r>
      <w:r>
        <w:rPr>
          <w:b/>
          <w:sz w:val="24"/>
        </w:rPr>
        <w:t xml:space="preserve">(ICV = 21, RP = 21) </w:t>
      </w:r>
      <w:r>
        <w:rPr>
          <w:b w:val="0"/>
          <w:sz w:val="24"/>
        </w:rPr>
        <w:t xml:space="preserve">se situe dans la </w:t>
      </w:r>
      <w:r>
        <w:rPr>
          <w:b/>
          <w:sz w:val="24"/>
        </w:rPr>
        <w:t>moyenne faible</w:t>
      </w:r>
      <w:r>
        <w:rPr>
          <w:b w:val="0"/>
          <w:sz w:val="24"/>
        </w:rPr>
        <w:t xml:space="preserve"> comparaison aux enfants du même âge.</w:t>
      </w:r>
    </w:p>
    <w:tbl>
      <w:tblPr>
        <w:tblW w:type="auto" w:w="0"/>
        <w:jc w:val="center"/>
        <w:tblLayout w:type="autofit"/>
        <w:tblLook w:firstColumn="1" w:firstRow="1" w:lastColumn="0" w:lastRow="0" w:noHBand="0" w:noVBand="1" w:val="04A0"/>
      </w:tblPr>
      <w:tblGrid>
        <w:gridCol w:w="2880"/>
        <w:gridCol w:w="2880"/>
        <w:gridCol w:w="2880"/>
      </w:tblGrid>
      <w:tr>
        <w:tc>
          <w:tcPr>
            <w:tcW w:type="dxa" w:w="2880"/>
            <w:vAlign w:val="center"/>
            <w:top w:sz="12" w:val="single" w:color="000000"/>
            <w:bottom w:sz="12" w:val="single" w:color="000000"/>
            <w:start w:sz="12" w:val="single" w:color="000000"/>
            <w:end w:sz="12" w:val="single" w:color="000000"/>
          </w:tcPr>
          <w:p>
            <w:pPr>
              <w:jc w:val="center"/>
            </w:pPr>
            <w:r>
              <w:rPr>
                <w:b/>
              </w:rPr>
              <w:t>Épreuves</w:t>
            </w:r>
          </w:p>
        </w:tc>
        <w:tc>
          <w:tcPr>
            <w:tcW w:type="dxa" w:w="2880"/>
            <w:vAlign w:val="center"/>
            <w:top w:sz="12" w:val="single" w:color="000000"/>
            <w:bottom w:sz="12" w:val="single" w:color="000000"/>
            <w:start w:sz="12" w:val="single" w:color="000000"/>
            <w:end w:sz="12" w:val="single" w:color="000000"/>
          </w:tcPr>
          <w:p>
            <w:pPr>
              <w:jc w:val="center"/>
            </w:pPr>
            <w:r>
              <w:rPr>
                <w:b/>
              </w:rPr>
              <w:t>Notes Standards</w:t>
            </w:r>
          </w:p>
        </w:tc>
        <w:tc>
          <w:tcPr>
            <w:tcW w:type="dxa" w:w="2880"/>
            <w:vAlign w:val="center"/>
            <w:top w:sz="12" w:val="single" w:color="000000"/>
            <w:bottom w:sz="12" w:val="single" w:color="000000"/>
            <w:start w:sz="12" w:val="single" w:color="000000"/>
            <w:end w:sz="12" w:val="single" w:color="000000"/>
          </w:tcPr>
          <w:p>
            <w:pPr>
              <w:jc w:val="center"/>
            </w:pPr>
            <w:r>
              <w:rPr>
                <w:b/>
              </w:rPr>
              <w:t>Rang Percentile</w:t>
            </w:r>
          </w:p>
        </w:tc>
      </w:tr>
      <w:tr>
        <w:tc>
          <w:tcPr>
            <w:tcW w:type="dxa" w:w="2880"/>
            <w:vAlign w:val="center"/>
            <w:top w:sz="12" w:val="single" w:color="000000"/>
            <w:bottom w:sz="12" w:val="single" w:color="000000"/>
            <w:start w:sz="12" w:val="single" w:color="000000"/>
            <w:end w:sz="12" w:val="single" w:color="000000"/>
          </w:tcPr>
          <w:p>
            <w:pPr>
              <w:jc w:val="center"/>
            </w:pPr>
            <w:r>
              <w:rPr>
                <w:sz w:val="24"/>
              </w:rPr>
              <w:t>Similitudes</w:t>
            </w:r>
          </w:p>
        </w:tc>
        <w:tc>
          <w:tcPr>
            <w:tcW w:type="dxa" w:w="2880"/>
            <w:vAlign w:val="center"/>
            <w:top w:sz="12" w:val="single" w:color="000000"/>
            <w:bottom w:sz="12" w:val="single" w:color="000000"/>
            <w:start w:sz="12" w:val="single" w:color="000000"/>
            <w:end w:sz="12" w:val="single" w:color="000000"/>
          </w:tcPr>
          <w:p>
            <w:pPr>
              <w:jc w:val="center"/>
            </w:pPr>
            <w:r>
              <w:rPr>
                <w:sz w:val="24"/>
              </w:rPr>
              <w:t>2</w:t>
            </w:r>
          </w:p>
        </w:tc>
        <w:tc>
          <w:tcPr>
            <w:tcW w:type="dxa" w:w="2880"/>
            <w:vAlign w:val="center"/>
            <w:top w:sz="12" w:val="single" w:color="000000"/>
            <w:bottom w:sz="12" w:val="single" w:color="000000"/>
            <w:start w:sz="12" w:val="single" w:color="000000"/>
            <w:end w:sz="12" w:val="single" w:color="000000"/>
          </w:tcPr>
          <w:p>
            <w:pPr>
              <w:jc w:val="center"/>
            </w:pPr>
            <w:r>
              <w:rPr>
                <w:sz w:val="24"/>
              </w:rPr>
              <w:t>12</w:t>
            </w:r>
          </w:p>
        </w:tc>
      </w:tr>
      <w:tr>
        <w:tc>
          <w:tcPr>
            <w:tcW w:type="dxa" w:w="2880"/>
            <w:vAlign w:val="center"/>
            <w:top w:sz="12" w:val="single" w:color="000000"/>
            <w:bottom w:sz="12" w:val="single" w:color="000000"/>
            <w:start w:sz="12" w:val="single" w:color="000000"/>
            <w:end w:sz="12" w:val="single" w:color="000000"/>
          </w:tcPr>
          <w:p>
            <w:pPr>
              <w:jc w:val="center"/>
            </w:pPr>
            <w:r>
              <w:rPr>
                <w:color w:val="008000"/>
                <w:sz w:val="24"/>
              </w:rPr>
              <w:t>Vocabulaire</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12</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12</w:t>
            </w:r>
          </w:p>
        </w:tc>
      </w:tr>
    </w:tbl>
    <w:p>
      <w:pPr>
        <w:jc w:val="left"/>
      </w:pPr>
      <w:r>
        <w:rPr>
          <w:b/>
          <w:sz w:val="24"/>
        </w:rPr>
      </w:r>
      <w:r>
        <w:rPr>
          <w:b w:val="0"/>
          <w:sz w:val="24"/>
        </w:rPr>
        <w:t xml:space="preserve">Le subtest « </w:t>
      </w:r>
      <w:r>
        <w:rPr>
          <w:b/>
          <w:sz w:val="24"/>
        </w:rPr>
        <w:t xml:space="preserve">Similitudes </w:t>
      </w:r>
      <w:r>
        <w:rPr>
          <w:b w:val="0"/>
          <w:sz w:val="24"/>
        </w:rPr>
        <w:t xml:space="preserve">» permet d'appréhender la qualité du langage oral de a, ses capacités d'abstractionet de raisonnement verbal. a présente des performances dans la </w:t>
      </w:r>
      <w:r>
        <w:rPr>
          <w:b/>
          <w:sz w:val="24"/>
        </w:rPr>
        <w:t>moyenne faible</w:t>
      </w:r>
      <w:r>
        <w:rPr>
          <w:b w:val="0"/>
          <w:sz w:val="24"/>
        </w:rPr>
        <w:t>de son âge. Il montre de bonnes capacités catégorisation et de conceptualisation.</w:t>
      </w:r>
    </w:p>
    <w:p>
      <w:pPr>
        <w:jc w:val="left"/>
      </w:pPr>
      <w:r>
        <w:rPr>
          <w:b/>
          <w:i/>
          <w:sz w:val="24"/>
        </w:rPr>
        <w:t>Exemple : « En quoi le cochon et le mouton se ressemblent ? Qu’est-ce qui fait qu’ils sont pareil ? »</w:t>
      </w:r>
      <w:r>
        <w:rPr>
          <w:b w:val="0"/>
          <w:i/>
          <w:sz w:val="24"/>
        </w:rPr>
      </w:r>
    </w:p>
    <w:p>
      <w:pPr>
        <w:jc w:val="left"/>
      </w:pPr>
      <w:r>
        <w:rPr>
          <w:b/>
          <w:sz w:val="24"/>
        </w:rPr>
      </w:r>
      <w:r>
        <w:rPr>
          <w:b w:val="0"/>
          <w:sz w:val="24"/>
        </w:rPr>
        <w:t>Lors de l'épreuve de «</w:t>
      </w:r>
      <w:r>
        <w:rPr>
          <w:b/>
          <w:sz w:val="24"/>
        </w:rPr>
        <w:t>Vocabulaire</w:t>
      </w:r>
      <w:r>
        <w:rPr>
          <w:b w:val="0"/>
          <w:sz w:val="24"/>
        </w:rPr>
        <w:t xml:space="preserve">», qui fait appel à ses connaissance internalisées (faisant appel à son expérience et des situations de la vie quotidienne), a obtient des résultats dans la </w:t>
      </w:r>
      <w:r>
        <w:rPr>
          <w:b/>
          <w:sz w:val="24"/>
        </w:rPr>
        <w:t>moyenne faible</w:t>
      </w:r>
      <w:r>
        <w:rPr>
          <w:b w:val="0"/>
          <w:sz w:val="24"/>
        </w:rPr>
        <w:t>de son âge. a témoigne d'un bon stock lexical.</w:t>
      </w:r>
    </w:p>
    <w:p>
      <w:pPr>
        <w:jc w:val="left"/>
      </w:pPr>
      <w:r>
        <w:rPr>
          <w:b/>
          <w:i/>
          <w:sz w:val="24"/>
        </w:rPr>
        <w:t>Exemple : « Qu'est-ce qu'une fourchette ? »</w:t>
      </w:r>
      <w:r>
        <w:rPr>
          <w:b w:val="0"/>
          <w:i/>
          <w:sz w:val="24"/>
        </w:rPr>
      </w:r>
    </w:p>
    <w:p/>
    <w:tbl>
      <w:tblPr>
        <w:tblStyle w:val="TableGrid"/>
        <w:tblW w:type="auto" w:w="0"/>
        <w:tblLook w:firstColumn="1" w:firstRow="1" w:lastColumn="0" w:lastRow="0" w:noHBand="0" w:noVBand="1" w:val="04A0"/>
      </w:tblPr>
      <w:tblGrid>
        <w:gridCol w:w="8640"/>
      </w:tblGrid>
      <w:tr>
        <w:tc>
          <w:tcPr>
            <w:tcW w:type="dxa" w:w="8640"/>
          </w:tcPr>
          <w:p/>
          <w:p>
            <w:r>
              <w:rPr>
                <w:b/>
                <w:color w:val="0064FF"/>
              </w:rPr>
              <w:t xml:space="preserve">NOM et PRENOM                                                                                    a  a </w:t>
            </w:r>
          </w:p>
          <w:p>
            <w:r>
              <w:t>Date de naissance                                                                                              a</w:t>
            </w:r>
          </w:p>
          <w:p>
            <w:r>
              <w:t xml:space="preserve">Age au moment de l'évaluation                                                                       a </w:t>
            </w:r>
          </w:p>
          <w:p>
            <w:r>
              <w:t>Latéralité                                                                                                                   a</w:t>
            </w:r>
          </w:p>
          <w:p>
            <w:r>
              <w:t>Date du bilan                                                                                                                     a</w:t>
            </w:r>
            <w:r>
              <w:br/>
            </w:r>
          </w:p>
        </w:tc>
      </w:tr>
    </w:tbl>
    <w:p/>
    <w:p>
      <w:r>
        <w:rPr>
          <w:color w:val="0064FF"/>
        </w:rPr>
        <w:t>INDICATION, PLAINTE PRINCIPALE</w:t>
      </w:r>
    </w:p>
    <w:p>
      <w:r>
        <w:t xml:space="preserve">J’ai rencontré </w:t>
      </w:r>
      <w:r>
        <w:rPr>
          <w:b/>
        </w:rPr>
        <w:t xml:space="preserve">a a </w:t>
      </w:r>
      <w:r>
        <w:t xml:space="preserve">à la demande de la PCO, afin de mieux comprendre son  fonctionnement cognitif.  </w:t>
      </w:r>
    </w:p>
    <w:p>
      <w:r>
        <w:rPr>
          <w:b w:val="0"/>
        </w:rPr>
        <w:t xml:space="preserve">Ce présent bilan a donc pour objectif de définir le profil cognitif et comportemental de a, afin de fournir  des axes de travail et d'accompagnement. </w:t>
      </w:r>
    </w:p>
    <w:p>
      <w:r>
        <w:rPr>
          <w:color w:val="0064FF"/>
        </w:rPr>
        <w:t>SOURCE D'INFORMATION</w:t>
      </w:r>
    </w:p>
    <w:p>
      <w:r>
        <w:rPr>
          <w:b w:val="0"/>
        </w:rPr>
        <w:t xml:space="preserve">Les informations pertinentes ont été recueillies auprès des parents et de a. </w:t>
      </w:r>
    </w:p>
    <w:p>
      <w:r>
        <w:rPr>
          <w:b/>
        </w:rPr>
        <w:t xml:space="preserve">Tests utilisés </w:t>
      </w:r>
      <w:r>
        <w:rPr>
          <w:b w:val="0"/>
        </w:rPr>
        <w:t xml:space="preserve">: WISC-V ; TEA-Ch ; NEPSY-II ; KiTAP ; BROWN ; Young-DIVA </w:t>
      </w:r>
    </w:p>
    <w:tbl>
      <w:tblPr>
        <w:tblW w:type="auto" w:w="0"/>
        <w:tblLook w:firstColumn="1" w:firstRow="1" w:lastColumn="0" w:lastRow="0" w:noHBand="0" w:noVBand="1" w:val="04A0"/>
      </w:tblPr>
      <w:tblGrid>
        <w:gridCol w:w="8640"/>
      </w:tblGrid>
      <w:tr>
        <w:tc>
          <w:tcPr>
            <w:tcW w:type="dxa" w:w="8640"/>
          </w:tcPr>
          <w:p/>
          <w:p>
            <w:pPr>
              <w:jc w:val="center"/>
            </w:pPr>
            <w:r>
              <w:rPr>
                <w:b/>
              </w:rPr>
              <w:t>Fonctionnement intellectuel global (WISC V)</w:t>
            </w:r>
          </w:p>
        </w:tc>
      </w:tr>
    </w:tbl>
    <w:p/>
    <w:p>
      <w:r>
        <w:rPr>
          <w:b/>
          <w:color w:val="0064FF"/>
          <w:u w:val="single"/>
        </w:rPr>
        <w:t xml:space="preserve">Capacités cognitives globales </w:t>
      </w:r>
    </w:p>
    <w:p>
      <w:r>
        <w:rPr>
          <w:i/>
        </w:rPr>
        <w:t xml:space="preserve">Le WISC-V est utilisé pour mesurer les habiletés générales de raisonnement des enfants de 6 à 16 ans. Cette  évaluation fournit un score qui représente la capacité intellectuelle globale de l’enfant (QIT), ainsi que des  scores d’indice qui mesurent les domaines suivants du fonctionnement cognitif : compréhension verbale  (ICV), traitement visuospatial (IVS), raison fluide (IRF), mémoire de travail (IMT) et vitesse de traitement  (IVT). </w:t>
      </w:r>
    </w:p>
    <w:p>
      <w:r>
        <w:t xml:space="preserve">L’évaluation intellectuelle réalisée à l’aide du WISC-V met en évidence un profil présentant des capacités  intellectuelles hétérogènes. En effet, l’hétérogénéité significative de son profil ne nous permet pas de calculer  un QIT chez a. En effet, des différences statistiquement significatives apparaissent entre plusieurs scores  d’indices. Alors, la note d’échelle totale (QIT) – qui représente les aptitudes intellectuelles globales – ne peut  nous permettre de comprendre le fonctionnement de a. L’étude des forces et des faiblesses est préconisée  pour mieux comprendre son profil cognitif. </w:t>
      </w:r>
    </w:p>
    <w:p>
      <w:pPr>
        <w:jc w:val="center"/>
      </w:pPr>
      <w:r>
        <w:rPr>
          <w:i/>
        </w:rPr>
        <w:t>Synthèse des notes composites principales</w:t>
      </w:r>
    </w:p>
    <w:tbl>
      <w:tblPr>
        <w:tblStyle w:val="TableGrid"/>
        <w:tblW w:type="auto" w:w="0"/>
        <w:tblLayout w:type="autofit"/>
        <w:tblLook w:firstColumn="1" w:firstRow="1" w:lastColumn="0" w:lastRow="0" w:noHBand="0" w:noVBand="1" w:val="04A0"/>
      </w:tblPr>
      <w:tblGrid>
        <w:gridCol w:w="1234"/>
        <w:gridCol w:w="1234"/>
        <w:gridCol w:w="1234"/>
        <w:gridCol w:w="1234"/>
        <w:gridCol w:w="1234"/>
        <w:gridCol w:w="1234"/>
        <w:gridCol w:w="1234"/>
      </w:tblGrid>
      <w:tr>
        <w:tc>
          <w:tcPr>
            <w:tcW w:type="dxa" w:w="3168"/>
          </w:tcPr>
          <w:p>
            <w:pPr>
              <w:jc w:val="center"/>
            </w:pPr>
            <w:r>
              <w:rPr>
                <w:b/>
              </w:rPr>
              <w:t>Composite</w:t>
            </w:r>
          </w:p>
        </w:tc>
        <w:tc>
          <w:tcPr>
            <w:tcW w:type="dxa" w:w="1296"/>
          </w:tcPr>
          <w:p>
            <w:pPr>
              <w:jc w:val="center"/>
            </w:pPr>
            <w:r>
              <w:rPr>
                <w:b/>
              </w:rPr>
              <w:t>Indices</w:t>
            </w:r>
          </w:p>
        </w:tc>
        <w:tc>
          <w:tcPr>
            <w:tcW w:type="dxa" w:w="1728"/>
          </w:tcPr>
          <w:p>
            <w:pPr>
              <w:jc w:val="center"/>
            </w:pPr>
            <w:r>
              <w:rPr>
                <w:b/>
              </w:rPr>
              <w:t>Ensemble des Note Standard</w:t>
            </w:r>
          </w:p>
        </w:tc>
        <w:tc>
          <w:tcPr>
            <w:tcW w:type="dxa" w:w="1728"/>
          </w:tcPr>
          <w:p>
            <w:pPr>
              <w:jc w:val="center"/>
            </w:pPr>
            <w:r>
              <w:rPr>
                <w:b/>
              </w:rPr>
              <w:t>Note Composite</w:t>
            </w:r>
          </w:p>
        </w:tc>
        <w:tc>
          <w:tcPr>
            <w:tcW w:type="dxa" w:w="1728"/>
          </w:tcPr>
          <w:p>
            <w:pPr>
              <w:jc w:val="center"/>
            </w:pPr>
            <w:r>
              <w:rPr>
                <w:b/>
              </w:rPr>
              <w:t>Rang Percentile</w:t>
            </w:r>
          </w:p>
        </w:tc>
        <w:tc>
          <w:tcPr>
            <w:tcW w:type="dxa" w:w="2016"/>
          </w:tcPr>
          <w:p>
            <w:pPr>
              <w:jc w:val="center"/>
            </w:pPr>
            <w:r>
              <w:rPr>
                <w:b/>
              </w:rPr>
              <w:t>Intervalle de Confiance</w:t>
            </w:r>
          </w:p>
        </w:tc>
        <w:tc>
          <w:tcPr>
            <w:tcW w:type="dxa" w:w="1728"/>
          </w:tcPr>
          <w:p>
            <w:pPr>
              <w:jc w:val="center"/>
            </w:pPr>
            <w:r>
              <w:rPr>
                <w:b/>
              </w:rPr>
              <w:t>Description qualitative</w:t>
            </w:r>
          </w:p>
        </w:tc>
      </w:tr>
      <w:tr>
        <w:tc>
          <w:tcPr>
            <w:tcW w:type="dxa" w:w="3168"/>
          </w:tcPr>
          <w:p>
            <w:r>
              <w:t>Compréhension Verbale</w:t>
            </w:r>
          </w:p>
        </w:tc>
        <w:tc>
          <w:tcPr>
            <w:tcW w:type="dxa" w:w="1296"/>
          </w:tcPr>
          <w:p>
            <w:r>
              <w:t>ICV</w:t>
            </w:r>
          </w:p>
        </w:tc>
        <w:tc>
          <w:tcPr>
            <w:tcW w:type="dxa" w:w="1728"/>
          </w:tcPr>
          <w:p>
            <w:r>
              <w:t>1</w:t>
            </w:r>
          </w:p>
        </w:tc>
        <w:tc>
          <w:tcPr>
            <w:tcW w:type="dxa" w:w="1728"/>
          </w:tcPr>
          <w:p>
            <w:r>
              <w:t>1</w:t>
            </w:r>
          </w:p>
        </w:tc>
        <w:tc>
          <w:tcPr>
            <w:tcW w:type="dxa" w:w="1728"/>
          </w:tcPr>
          <w:p>
            <w:r>
              <w:t>1</w:t>
            </w:r>
          </w:p>
        </w:tc>
        <w:tc>
          <w:tcPr>
            <w:tcW w:type="dxa" w:w="2016"/>
          </w:tcPr>
          <w:p>
            <w:r>
              <w:t>41</w:t>
            </w:r>
          </w:p>
        </w:tc>
        <w:tc>
          <w:tcPr>
            <w:tcW w:type="dxa" w:w="1728"/>
          </w:tcPr>
          <w:p>
            <w:r>
              <w:t>zone faible</w:t>
            </w:r>
          </w:p>
        </w:tc>
      </w:tr>
      <w:tr>
        <w:tc>
          <w:tcPr>
            <w:tcW w:type="dxa" w:w="3168"/>
          </w:tcPr>
          <w:p>
            <w:r>
              <w:t>Visuospatial</w:t>
            </w:r>
          </w:p>
        </w:tc>
        <w:tc>
          <w:tcPr>
            <w:tcW w:type="dxa" w:w="1296"/>
          </w:tcPr>
          <w:p>
            <w:r>
              <w:t>IVS</w:t>
            </w:r>
          </w:p>
        </w:tc>
        <w:tc>
          <w:tcPr>
            <w:tcW w:type="dxa" w:w="1728"/>
          </w:tcPr>
          <w:p>
            <w:r>
              <w:t>1</w:t>
            </w:r>
          </w:p>
        </w:tc>
        <w:tc>
          <w:tcPr>
            <w:tcW w:type="dxa" w:w="1728"/>
          </w:tcPr>
          <w:p>
            <w:r>
              <w:t>1</w:t>
            </w:r>
          </w:p>
        </w:tc>
        <w:tc>
          <w:tcPr>
            <w:tcW w:type="dxa" w:w="1728"/>
          </w:tcPr>
          <w:p>
            <w:r>
              <w:t>1</w:t>
            </w:r>
          </w:p>
        </w:tc>
        <w:tc>
          <w:tcPr>
            <w:tcW w:type="dxa" w:w="2016"/>
          </w:tcPr>
          <w:p>
            <w:r>
              <w:t>1</w:t>
            </w:r>
          </w:p>
        </w:tc>
        <w:tc>
          <w:tcPr>
            <w:tcW w:type="dxa" w:w="1728"/>
          </w:tcPr>
          <w:p>
            <w:r>
              <w:t>zone faible</w:t>
            </w:r>
          </w:p>
        </w:tc>
      </w:tr>
      <w:tr>
        <w:tc>
          <w:tcPr>
            <w:tcW w:type="dxa" w:w="3168"/>
          </w:tcPr>
          <w:p>
            <w:r>
              <w:t>Raisonnement Fluide</w:t>
            </w:r>
          </w:p>
        </w:tc>
        <w:tc>
          <w:tcPr>
            <w:tcW w:type="dxa" w:w="1296"/>
          </w:tcPr>
          <w:p>
            <w:r>
              <w:t>IRF</w:t>
            </w:r>
          </w:p>
        </w:tc>
        <w:tc>
          <w:tcPr>
            <w:tcW w:type="dxa" w:w="1728"/>
          </w:tcPr>
          <w:p>
            <w:r>
              <w:t>11</w:t>
            </w:r>
          </w:p>
        </w:tc>
        <w:tc>
          <w:tcPr>
            <w:tcW w:type="dxa" w:w="1728"/>
          </w:tcPr>
          <w:p>
            <w:r>
              <w:t>1</w:t>
            </w:r>
          </w:p>
        </w:tc>
        <w:tc>
          <w:tcPr>
            <w:tcW w:type="dxa" w:w="1728"/>
          </w:tcPr>
          <w:p>
            <w:r>
              <w:t>1</w:t>
            </w:r>
          </w:p>
        </w:tc>
        <w:tc>
          <w:tcPr>
            <w:tcW w:type="dxa" w:w="2016"/>
          </w:tcPr>
          <w:p>
            <w:r>
              <w:t>1</w:t>
            </w:r>
          </w:p>
        </w:tc>
        <w:tc>
          <w:tcPr>
            <w:tcW w:type="dxa" w:w="1728"/>
          </w:tcPr>
          <w:p>
            <w:r>
              <w:t>zone faible</w:t>
            </w:r>
          </w:p>
        </w:tc>
      </w:tr>
      <w:tr>
        <w:tc>
          <w:tcPr>
            <w:tcW w:type="dxa" w:w="3168"/>
          </w:tcPr>
          <w:p>
            <w:r>
              <w:rPr>
                <w:color w:val="FF6600"/>
              </w:rPr>
              <w:t>Mémoire de travail</w:t>
            </w:r>
          </w:p>
        </w:tc>
        <w:tc>
          <w:tcPr>
            <w:tcW w:type="dxa" w:w="1296"/>
          </w:tcPr>
          <w:p>
            <w:r>
              <w:rPr>
                <w:color w:val="FF6600"/>
              </w:rPr>
              <w:t>IMT</w:t>
            </w:r>
          </w:p>
        </w:tc>
        <w:tc>
          <w:tcPr>
            <w:tcW w:type="dxa" w:w="1728"/>
          </w:tcPr>
          <w:p>
            <w:r>
              <w:rPr>
                <w:color w:val="FF6600"/>
              </w:rPr>
              <w:t>14</w:t>
            </w:r>
          </w:p>
        </w:tc>
        <w:tc>
          <w:tcPr>
            <w:tcW w:type="dxa" w:w="1728"/>
          </w:tcPr>
          <w:p>
            <w:r>
              <w:rPr>
                <w:color w:val="FF6600"/>
              </w:rPr>
              <w:t>1</w:t>
            </w:r>
          </w:p>
        </w:tc>
        <w:tc>
          <w:tcPr>
            <w:tcW w:type="dxa" w:w="1728"/>
          </w:tcPr>
          <w:p>
            <w:r>
              <w:rPr>
                <w:color w:val="FF6600"/>
              </w:rPr>
              <w:t>14</w:t>
            </w:r>
          </w:p>
        </w:tc>
        <w:tc>
          <w:tcPr>
            <w:tcW w:type="dxa" w:w="2016"/>
          </w:tcPr>
          <w:p>
            <w:r>
              <w:rPr>
                <w:color w:val="FF6600"/>
              </w:rPr>
              <w:t>1</w:t>
            </w:r>
          </w:p>
        </w:tc>
        <w:tc>
          <w:tcPr>
            <w:tcW w:type="dxa" w:w="1728"/>
          </w:tcPr>
          <w:p>
            <w:r>
              <w:rPr>
                <w:color w:val="FF6600"/>
              </w:rPr>
              <w:t>moyenne faible</w:t>
            </w:r>
          </w:p>
        </w:tc>
      </w:tr>
      <w:tr>
        <w:tc>
          <w:tcPr>
            <w:tcW w:type="dxa" w:w="3168"/>
          </w:tcPr>
          <w:p>
            <w:r>
              <w:rPr>
                <w:color w:val="FF6600"/>
              </w:rPr>
              <w:t>Vitesse de traitement</w:t>
            </w:r>
          </w:p>
        </w:tc>
        <w:tc>
          <w:tcPr>
            <w:tcW w:type="dxa" w:w="1296"/>
          </w:tcPr>
          <w:p>
            <w:r>
              <w:rPr>
                <w:color w:val="FF6600"/>
              </w:rPr>
              <w:t>IVT</w:t>
            </w:r>
          </w:p>
        </w:tc>
        <w:tc>
          <w:tcPr>
            <w:tcW w:type="dxa" w:w="1728"/>
          </w:tcPr>
          <w:p>
            <w:r>
              <w:rPr>
                <w:color w:val="FF6600"/>
              </w:rPr>
              <w:t>1</w:t>
            </w:r>
          </w:p>
        </w:tc>
        <w:tc>
          <w:tcPr>
            <w:tcW w:type="dxa" w:w="1728"/>
          </w:tcPr>
          <w:p>
            <w:r>
              <w:rPr>
                <w:color w:val="FF6600"/>
              </w:rPr>
              <w:t>1</w:t>
            </w:r>
          </w:p>
        </w:tc>
        <w:tc>
          <w:tcPr>
            <w:tcW w:type="dxa" w:w="1728"/>
          </w:tcPr>
          <w:p>
            <w:r>
              <w:rPr>
                <w:color w:val="FF6600"/>
              </w:rPr>
              <w:t>1</w:t>
            </w:r>
          </w:p>
        </w:tc>
        <w:tc>
          <w:tcPr>
            <w:tcW w:type="dxa" w:w="2016"/>
          </w:tcPr>
          <w:p>
            <w:r>
              <w:rPr>
                <w:color w:val="FF6600"/>
              </w:rPr>
              <w:t>1</w:t>
            </w:r>
          </w:p>
        </w:tc>
        <w:tc>
          <w:tcPr>
            <w:tcW w:type="dxa" w:w="1728"/>
          </w:tcPr>
          <w:p>
            <w:r>
              <w:rPr>
                <w:color w:val="FF6600"/>
              </w:rPr>
              <w:t>zone faible</w:t>
            </w:r>
          </w:p>
        </w:tc>
      </w:tr>
      <w:tr>
        <w:tc>
          <w:tcPr>
            <w:tcW w:type="dxa" w:w="3168"/>
            <w:shd w:fill="DCE6F1"/>
          </w:tcPr>
          <w:p>
            <w:r>
              <w:t>Échelle Totale</w:t>
            </w:r>
          </w:p>
        </w:tc>
        <w:tc>
          <w:tcPr>
            <w:tcW w:type="dxa" w:w="1296"/>
            <w:shd w:fill="DCE6F1"/>
          </w:tcPr>
          <w:p>
            <w:r>
              <w:t>QIT</w:t>
            </w:r>
          </w:p>
        </w:tc>
        <w:tc>
          <w:tcPr>
            <w:tcW w:type="dxa" w:w="1728"/>
            <w:shd w:fill="DCE6F1"/>
          </w:tcPr>
          <w:p>
            <w:r>
              <w:t>1</w:t>
            </w:r>
          </w:p>
        </w:tc>
        <w:tc>
          <w:tcPr>
            <w:tcW w:type="dxa" w:w="1728"/>
            <w:shd w:fill="DCE6F1"/>
          </w:tcPr>
          <w:p>
            <w:r>
              <w:t>1</w:t>
            </w:r>
          </w:p>
        </w:tc>
        <w:tc>
          <w:tcPr>
            <w:tcW w:type="dxa" w:w="1728"/>
            <w:shd w:fill="DCE6F1"/>
          </w:tcPr>
          <w:p>
            <w:r>
              <w:t>11</w:t>
            </w:r>
          </w:p>
        </w:tc>
        <w:tc>
          <w:tcPr>
            <w:tcW w:type="dxa" w:w="2016"/>
            <w:shd w:fill="DCE6F1"/>
          </w:tcPr>
          <w:p>
            <w:r>
              <w:t>1</w:t>
            </w:r>
          </w:p>
        </w:tc>
        <w:tc>
          <w:tcPr>
            <w:tcW w:type="dxa" w:w="1728"/>
            <w:shd w:fill="DCE6F1"/>
          </w:tcPr>
          <w:p>
            <w:r>
              <w:rPr>
                <w:strike/>
              </w:rPr>
              <w:t>moyenne faible</w:t>
            </w:r>
          </w:p>
        </w:tc>
      </w:tr>
    </w:tbl>
    <w:p>
      <w:pPr>
        <w:jc w:val="left"/>
      </w:pPr>
      <w:r>
        <w:rPr>
          <w:b/>
          <w:sz w:val="24"/>
        </w:rPr>
        <w:t>L'indice complémentaire d'aptitude générale (IAG = 1, RP = 11)</w:t>
      </w:r>
      <w:r>
        <w:rPr>
          <w:b w:val="0"/>
          <w:sz w:val="24"/>
        </w:rPr>
        <w:t xml:space="preserve">, témoigne d'une capacité à raisonner,de facultés de compréhension, situées dans la </w:t>
      </w:r>
      <w:r>
        <w:rPr>
          <w:b/>
          <w:sz w:val="24"/>
        </w:rPr>
        <w:t>moyenne faible</w:t>
      </w:r>
      <w:r>
        <w:rPr>
          <w:b w:val="0"/>
          <w:sz w:val="24"/>
        </w:rPr>
        <w:t xml:space="preserve"> de son âge.</w:t>
      </w:r>
    </w:p>
    <w:p/>
    <w:p>
      <w:pPr>
        <w:jc w:val="left"/>
      </w:pPr>
      <w:r>
        <w:rPr>
          <w:b/>
          <w:sz w:val="24"/>
        </w:rPr>
        <w:t xml:space="preserve">L'indice de compétence cognitive (ICC = 1, RP = 1) </w:t>
      </w:r>
      <w:r>
        <w:rPr>
          <w:b w:val="0"/>
          <w:sz w:val="24"/>
        </w:rPr>
        <w:t xml:space="preserve">relatif aux traitements de bas niveaux (vitesse detraitement et mémoire de travail) se situe dans la </w:t>
      </w:r>
      <w:r>
        <w:rPr>
          <w:b/>
          <w:sz w:val="24"/>
        </w:rPr>
        <w:t>zone faible</w:t>
      </w:r>
      <w:r>
        <w:rPr>
          <w:b w:val="0"/>
          <w:sz w:val="24"/>
        </w:rPr>
        <w:t xml:space="preserve"> de son âge.</w:t>
      </w:r>
    </w:p>
    <w:p/>
    <w:p>
      <w:pPr>
        <w:jc w:val="left"/>
      </w:pPr>
      <w:r>
        <w:rPr>
          <w:b/>
          <w:sz w:val="24"/>
        </w:rPr>
        <w:t xml:space="preserve">L'indice non verbal (INV = 21, RP = 21) </w:t>
      </w:r>
      <w:r>
        <w:rPr>
          <w:b w:val="0"/>
          <w:sz w:val="24"/>
        </w:rPr>
        <w:t xml:space="preserve">relatif aux compétences non verbales se situe dans la </w:t>
      </w:r>
      <w:r>
        <w:rPr>
          <w:b/>
          <w:sz w:val="24"/>
        </w:rPr>
        <w:t>moyenne faible</w:t>
      </w:r>
      <w:r>
        <w:rPr>
          <w:b w:val="0"/>
          <w:sz w:val="24"/>
        </w:rPr>
        <w:t xml:space="preserve"> de son âge.</w:t>
      </w:r>
    </w:p>
    <w:p/>
    <w:p>
      <w:pPr>
        <w:jc w:val="left"/>
      </w:pPr>
      <w:r>
        <w:rPr>
          <w:b/>
          <w:sz w:val="24"/>
        </w:rPr>
      </w:r>
      <w:r>
        <w:rPr>
          <w:b w:val="0"/>
          <w:sz w:val="24"/>
        </w:rPr>
        <w:t>Nous détaillerons, dans les chapitres suivants, les différents domaines cognitifs qui ont été évaluées, et qui permettent d'appréhender de manière plus approfondie le fonctionnement actuel de a.</w:t>
      </w:r>
      <w:r>
        <w:rPr>
          <w:b/>
          <w:sz w:val="24"/>
        </w:rPr>
      </w:r>
    </w:p>
    <w:p>
      <w:r>
        <w:rPr>
          <w:b/>
          <w:color w:val="0064FF"/>
          <w:u w:val="single"/>
        </w:rPr>
        <w:t>Capacités verbales</w:t>
      </w:r>
    </w:p>
    <w:p>
      <w:pPr>
        <w:jc w:val="left"/>
      </w:pPr>
      <w:r>
        <w:rPr>
          <w:b/>
          <w:i/>
          <w:sz w:val="24"/>
        </w:rPr>
        <w:t xml:space="preserve">L'indice de Compréhension Verbale (ICV) </w:t>
      </w:r>
      <w:r>
        <w:rPr>
          <w:b w:val="0"/>
          <w:i/>
          <w:sz w:val="24"/>
        </w:rPr>
        <w:t>mesure les aptitudes verbales en sollicitant le raisonnement, la compréhension, et la catégorisation. Il évalue la formation de concepts verbaux et les connaissances culturelles acquises dans l'environnement de l'enfant.</w:t>
      </w:r>
    </w:p>
    <w:p>
      <w:pPr>
        <w:jc w:val="left"/>
      </w:pPr>
      <w:r>
        <w:rPr>
          <w:b/>
          <w:sz w:val="24"/>
        </w:rPr>
      </w:r>
      <w:r>
        <w:rPr>
          <w:b w:val="0"/>
          <w:sz w:val="24"/>
        </w:rPr>
        <w:t>Sur le plan qualitatif, nous observons que a comprend bien les consignes au décours du bilan. Il n'aura pas eu besoin d'énormément de reformulations ou d'explications supplémentaires. Le discours spontané est fluent, informatif et cohérent.</w:t>
      </w:r>
      <w:r>
        <w:rPr>
          <w:b/>
          <w:sz w:val="24"/>
        </w:rPr>
      </w:r>
    </w:p>
    <w:p>
      <w:pPr>
        <w:jc w:val="left"/>
      </w:pPr>
      <w:r>
        <w:rPr>
          <w:b/>
          <w:sz w:val="24"/>
        </w:rPr>
      </w:r>
      <w:r>
        <w:rPr>
          <w:b w:val="0"/>
          <w:sz w:val="24"/>
        </w:rPr>
        <w:t xml:space="preserve">La note composite de compréhension verbale </w:t>
      </w:r>
      <w:r>
        <w:rPr>
          <w:b/>
          <w:sz w:val="24"/>
        </w:rPr>
        <w:t xml:space="preserve">(ICV = 21, RP = 21) </w:t>
      </w:r>
      <w:r>
        <w:rPr>
          <w:b w:val="0"/>
          <w:sz w:val="24"/>
        </w:rPr>
        <w:t xml:space="preserve">se situe dans la </w:t>
      </w:r>
      <w:r>
        <w:rPr>
          <w:b/>
          <w:sz w:val="24"/>
        </w:rPr>
        <w:t>moyenne faible</w:t>
      </w:r>
      <w:r>
        <w:rPr>
          <w:b w:val="0"/>
          <w:sz w:val="24"/>
        </w:rPr>
        <w:t xml:space="preserve"> comparaison aux enfants du même âge.</w:t>
      </w:r>
    </w:p>
    <w:tbl>
      <w:tblPr>
        <w:tblW w:type="auto" w:w="0"/>
        <w:jc w:val="center"/>
        <w:tblLayout w:type="autofit"/>
        <w:tblLook w:firstColumn="1" w:firstRow="1" w:lastColumn="0" w:lastRow="0" w:noHBand="0" w:noVBand="1" w:val="04A0"/>
      </w:tblPr>
      <w:tblGrid>
        <w:gridCol w:w="2880"/>
        <w:gridCol w:w="2880"/>
        <w:gridCol w:w="2880"/>
      </w:tblGrid>
      <w:tr>
        <w:tc>
          <w:tcPr>
            <w:tcW w:type="dxa" w:w="2880"/>
            <w:vAlign w:val="center"/>
            <w:top w:sz="12" w:val="single" w:color="000000"/>
            <w:bottom w:sz="12" w:val="single" w:color="000000"/>
            <w:start w:sz="12" w:val="single" w:color="000000"/>
            <w:end w:sz="12" w:val="single" w:color="000000"/>
          </w:tcPr>
          <w:p>
            <w:pPr>
              <w:jc w:val="center"/>
            </w:pPr>
            <w:r>
              <w:rPr>
                <w:b/>
              </w:rPr>
              <w:t>Épreuves</w:t>
            </w:r>
          </w:p>
        </w:tc>
        <w:tc>
          <w:tcPr>
            <w:tcW w:type="dxa" w:w="2880"/>
            <w:vAlign w:val="center"/>
            <w:top w:sz="12" w:val="single" w:color="000000"/>
            <w:bottom w:sz="12" w:val="single" w:color="000000"/>
            <w:start w:sz="12" w:val="single" w:color="000000"/>
            <w:end w:sz="12" w:val="single" w:color="000000"/>
          </w:tcPr>
          <w:p>
            <w:pPr>
              <w:jc w:val="center"/>
            </w:pPr>
            <w:r>
              <w:rPr>
                <w:b/>
              </w:rPr>
              <w:t>Notes Standards</w:t>
            </w:r>
          </w:p>
        </w:tc>
        <w:tc>
          <w:tcPr>
            <w:tcW w:type="dxa" w:w="2880"/>
            <w:vAlign w:val="center"/>
            <w:top w:sz="12" w:val="single" w:color="000000"/>
            <w:bottom w:sz="12" w:val="single" w:color="000000"/>
            <w:start w:sz="12" w:val="single" w:color="000000"/>
            <w:end w:sz="12" w:val="single" w:color="000000"/>
          </w:tcPr>
          <w:p>
            <w:pPr>
              <w:jc w:val="center"/>
            </w:pPr>
            <w:r>
              <w:rPr>
                <w:b/>
              </w:rPr>
              <w:t>Rang Percentile</w:t>
            </w:r>
          </w:p>
        </w:tc>
      </w:tr>
      <w:tr>
        <w:tc>
          <w:tcPr>
            <w:tcW w:type="dxa" w:w="2880"/>
            <w:vAlign w:val="center"/>
            <w:top w:sz="12" w:val="single" w:color="000000"/>
            <w:bottom w:sz="12" w:val="single" w:color="000000"/>
            <w:start w:sz="12" w:val="single" w:color="000000"/>
            <w:end w:sz="12" w:val="single" w:color="000000"/>
          </w:tcPr>
          <w:p>
            <w:pPr>
              <w:jc w:val="center"/>
            </w:pPr>
            <w:r>
              <w:rPr>
                <w:sz w:val="24"/>
              </w:rPr>
              <w:t>Similitudes</w:t>
            </w:r>
          </w:p>
        </w:tc>
        <w:tc>
          <w:tcPr>
            <w:tcW w:type="dxa" w:w="2880"/>
            <w:vAlign w:val="center"/>
            <w:top w:sz="12" w:val="single" w:color="000000"/>
            <w:bottom w:sz="12" w:val="single" w:color="000000"/>
            <w:start w:sz="12" w:val="single" w:color="000000"/>
            <w:end w:sz="12" w:val="single" w:color="000000"/>
          </w:tcPr>
          <w:p>
            <w:pPr>
              <w:jc w:val="center"/>
            </w:pPr>
            <w:r>
              <w:rPr>
                <w:sz w:val="24"/>
              </w:rPr>
              <w:t>2</w:t>
            </w:r>
          </w:p>
        </w:tc>
        <w:tc>
          <w:tcPr>
            <w:tcW w:type="dxa" w:w="2880"/>
            <w:vAlign w:val="center"/>
            <w:top w:sz="12" w:val="single" w:color="000000"/>
            <w:bottom w:sz="12" w:val="single" w:color="000000"/>
            <w:start w:sz="12" w:val="single" w:color="000000"/>
            <w:end w:sz="12" w:val="single" w:color="000000"/>
          </w:tcPr>
          <w:p>
            <w:pPr>
              <w:jc w:val="center"/>
            </w:pPr>
            <w:r>
              <w:rPr>
                <w:sz w:val="24"/>
              </w:rPr>
              <w:t>12</w:t>
            </w:r>
          </w:p>
        </w:tc>
      </w:tr>
      <w:tr>
        <w:tc>
          <w:tcPr>
            <w:tcW w:type="dxa" w:w="2880"/>
            <w:vAlign w:val="center"/>
            <w:top w:sz="12" w:val="single" w:color="000000"/>
            <w:bottom w:sz="12" w:val="single" w:color="000000"/>
            <w:start w:sz="12" w:val="single" w:color="000000"/>
            <w:end w:sz="12" w:val="single" w:color="000000"/>
          </w:tcPr>
          <w:p>
            <w:pPr>
              <w:jc w:val="center"/>
            </w:pPr>
            <w:r>
              <w:rPr>
                <w:color w:val="008000"/>
                <w:sz w:val="24"/>
              </w:rPr>
              <w:t>Vocabulaire</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12</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12</w:t>
            </w:r>
          </w:p>
        </w:tc>
      </w:tr>
    </w:tbl>
    <w:p>
      <w:pPr>
        <w:jc w:val="left"/>
      </w:pPr>
      <w:r>
        <w:rPr>
          <w:b/>
          <w:sz w:val="24"/>
        </w:rPr>
      </w:r>
      <w:r>
        <w:rPr>
          <w:b w:val="0"/>
          <w:sz w:val="24"/>
        </w:rPr>
        <w:t xml:space="preserve">Le subtest « </w:t>
      </w:r>
      <w:r>
        <w:rPr>
          <w:b/>
          <w:sz w:val="24"/>
        </w:rPr>
        <w:t xml:space="preserve">Similitudes </w:t>
      </w:r>
      <w:r>
        <w:rPr>
          <w:b w:val="0"/>
          <w:sz w:val="24"/>
        </w:rPr>
        <w:t xml:space="preserve">» permet d'appréhender la qualité du langage oral de a, ses capacités d'abstractionet de raisonnement verbal. a présente des performances dans la </w:t>
      </w:r>
      <w:r>
        <w:rPr>
          <w:b/>
          <w:sz w:val="24"/>
        </w:rPr>
        <w:t>moyenne faible</w:t>
      </w:r>
      <w:r>
        <w:rPr>
          <w:b w:val="0"/>
          <w:sz w:val="24"/>
        </w:rPr>
        <w:t>de son âge. Il montre de bonnes capacités catégorisation et de conceptualisation.</w:t>
      </w:r>
    </w:p>
    <w:p>
      <w:pPr>
        <w:jc w:val="left"/>
      </w:pPr>
      <w:r>
        <w:rPr>
          <w:b/>
          <w:i/>
          <w:sz w:val="24"/>
        </w:rPr>
        <w:t>Exemple : « En quoi le cochon et le mouton se ressemblent ? Qu’est-ce qui fait qu’ils sont pareil ? »</w:t>
      </w:r>
      <w:r>
        <w:rPr>
          <w:b w:val="0"/>
          <w:i/>
          <w:sz w:val="24"/>
        </w:rPr>
      </w:r>
    </w:p>
    <w:p>
      <w:pPr>
        <w:jc w:val="left"/>
      </w:pPr>
      <w:r>
        <w:rPr>
          <w:b/>
          <w:sz w:val="24"/>
        </w:rPr>
      </w:r>
      <w:r>
        <w:rPr>
          <w:b w:val="0"/>
          <w:sz w:val="24"/>
        </w:rPr>
        <w:t>Lors de l'épreuve de «</w:t>
      </w:r>
      <w:r>
        <w:rPr>
          <w:b/>
          <w:sz w:val="24"/>
        </w:rPr>
        <w:t>Vocabulaire</w:t>
      </w:r>
      <w:r>
        <w:rPr>
          <w:b w:val="0"/>
          <w:sz w:val="24"/>
        </w:rPr>
        <w:t xml:space="preserve">», qui fait appel à ses connaissance internalisées (faisant appel à son expérience et des situations de la vie quotidienne), a obtient des résultats dans la </w:t>
      </w:r>
      <w:r>
        <w:rPr>
          <w:b/>
          <w:sz w:val="24"/>
        </w:rPr>
        <w:t>moyenne faible</w:t>
      </w:r>
      <w:r>
        <w:rPr>
          <w:b w:val="0"/>
          <w:sz w:val="24"/>
        </w:rPr>
        <w:t>de son âge. a témoigne d'un bon stock lexical.</w:t>
      </w:r>
    </w:p>
    <w:p>
      <w:pPr>
        <w:jc w:val="left"/>
      </w:pPr>
      <w:r>
        <w:rPr>
          <w:b/>
          <w:i/>
          <w:sz w:val="24"/>
        </w:rPr>
        <w:t>Exemple : « Qu'est-ce qu'une fourchette ? »</w:t>
      </w:r>
      <w:r>
        <w:rPr>
          <w:b w:val="0"/>
          <w:i/>
          <w:sz w:val="24"/>
        </w:rPr>
      </w:r>
    </w:p>
    <w:p/>
    <w:tbl>
      <w:tblPr>
        <w:tblStyle w:val="TableGrid"/>
        <w:tblW w:type="auto" w:w="0"/>
        <w:tblLook w:firstColumn="1" w:firstRow="1" w:lastColumn="0" w:lastRow="0" w:noHBand="0" w:noVBand="1" w:val="04A0"/>
      </w:tblPr>
      <w:tblGrid>
        <w:gridCol w:w="8640"/>
      </w:tblGrid>
      <w:tr>
        <w:tc>
          <w:tcPr>
            <w:tcW w:type="dxa" w:w="8640"/>
          </w:tcPr>
          <w:p/>
          <w:p>
            <w:r>
              <w:rPr>
                <w:b/>
                <w:color w:val="0064FF"/>
              </w:rPr>
              <w:t xml:space="preserve">NOM et PRENOM                                                                                    a  a </w:t>
            </w:r>
          </w:p>
          <w:p>
            <w:r>
              <w:t>Date de naissance                                                                                              a</w:t>
            </w:r>
          </w:p>
          <w:p>
            <w:r>
              <w:t xml:space="preserve">Age au moment de l'évaluation                                                                       a </w:t>
            </w:r>
          </w:p>
          <w:p>
            <w:r>
              <w:t>Latéralité                                                                                                                   a</w:t>
            </w:r>
          </w:p>
          <w:p>
            <w:r>
              <w:t>Date du bilan                                                                                                                     a</w:t>
            </w:r>
            <w:r>
              <w:br/>
            </w:r>
          </w:p>
        </w:tc>
      </w:tr>
    </w:tbl>
    <w:p/>
    <w:p>
      <w:r>
        <w:rPr>
          <w:color w:val="0064FF"/>
        </w:rPr>
        <w:t>INDICATION, PLAINTE PRINCIPALE</w:t>
      </w:r>
    </w:p>
    <w:p>
      <w:r>
        <w:t xml:space="preserve">J’ai rencontré </w:t>
      </w:r>
      <w:r>
        <w:rPr>
          <w:b/>
        </w:rPr>
        <w:t xml:space="preserve">a a </w:t>
      </w:r>
      <w:r>
        <w:t xml:space="preserve">à la demande de la PCO, afin de mieux comprendre son  fonctionnement cognitif.  </w:t>
      </w:r>
    </w:p>
    <w:p>
      <w:r>
        <w:rPr>
          <w:b w:val="0"/>
        </w:rPr>
        <w:t xml:space="preserve">Ce présent bilan a donc pour objectif de définir le profil cognitif et comportemental de a, afin de fournir  des axes de travail et d'accompagnement. </w:t>
      </w:r>
    </w:p>
    <w:p>
      <w:r>
        <w:rPr>
          <w:color w:val="0064FF"/>
        </w:rPr>
        <w:t>SOURCE D'INFORMATION</w:t>
      </w:r>
    </w:p>
    <w:p>
      <w:r>
        <w:rPr>
          <w:b w:val="0"/>
        </w:rPr>
        <w:t xml:space="preserve">Les informations pertinentes ont été recueillies auprès des parents et de a. </w:t>
      </w:r>
    </w:p>
    <w:p>
      <w:r>
        <w:rPr>
          <w:b/>
        </w:rPr>
        <w:t xml:space="preserve">Tests utilisés </w:t>
      </w:r>
      <w:r>
        <w:rPr>
          <w:b w:val="0"/>
        </w:rPr>
        <w:t xml:space="preserve">: WISC-V ; TEA-Ch ; NEPSY-II ; KiTAP ; BROWN ; Young-DIVA </w:t>
      </w:r>
    </w:p>
    <w:tbl>
      <w:tblPr>
        <w:tblW w:type="auto" w:w="0"/>
        <w:tblLook w:firstColumn="1" w:firstRow="1" w:lastColumn="0" w:lastRow="0" w:noHBand="0" w:noVBand="1" w:val="04A0"/>
      </w:tblPr>
      <w:tblGrid>
        <w:gridCol w:w="8640"/>
      </w:tblGrid>
      <w:tr>
        <w:tc>
          <w:tcPr>
            <w:tcW w:type="dxa" w:w="8640"/>
          </w:tcPr>
          <w:p/>
          <w:p>
            <w:pPr>
              <w:jc w:val="center"/>
            </w:pPr>
            <w:r>
              <w:rPr>
                <w:b/>
              </w:rPr>
              <w:t>Fonctionnement intellectuel global (WISC V)</w:t>
            </w:r>
          </w:p>
        </w:tc>
      </w:tr>
    </w:tbl>
    <w:p/>
    <w:p>
      <w:r>
        <w:rPr>
          <w:b/>
          <w:color w:val="0064FF"/>
          <w:u w:val="single"/>
        </w:rPr>
        <w:t xml:space="preserve">Capacités cognitives globales </w:t>
      </w:r>
    </w:p>
    <w:p>
      <w:r>
        <w:rPr>
          <w:i/>
        </w:rPr>
        <w:t xml:space="preserve">Le WISC-V est utilisé pour mesurer les habiletés générales de raisonnement des enfants de 6 à 16 ans. Cette  évaluation fournit un score qui représente la capacité intellectuelle globale de l’enfant (QIT), ainsi que des  scores d’indice qui mesurent les domaines suivants du fonctionnement cognitif : compréhension verbale  (ICV), traitement visuospatial (IVS), raison fluide (IRF), mémoire de travail (IMT) et vitesse de traitement  (IVT). </w:t>
      </w:r>
    </w:p>
    <w:p>
      <w:r>
        <w:t xml:space="preserve">L’évaluation intellectuelle réalisée à l’aide du WISC-V met en évidence un profil présentant des capacités  intellectuelles hétérogènes. En effet, l’hétérogénéité significative de son profil ne nous permet pas de calculer  un QIT chez a. En effet, des différences statistiquement significatives apparaissent entre plusieurs scores  d’indices. Alors, la note d’échelle totale (QIT) – qui représente les aptitudes intellectuelles globales – ne peut  nous permettre de comprendre le fonctionnement de a. L’étude des forces et des faiblesses est préconisée  pour mieux comprendre son profil cognitif. </w:t>
      </w:r>
    </w:p>
    <w:p>
      <w:pPr>
        <w:jc w:val="center"/>
      </w:pPr>
      <w:r>
        <w:rPr>
          <w:i/>
        </w:rPr>
        <w:t>Synthèse des notes composites principales</w:t>
      </w:r>
    </w:p>
    <w:tbl>
      <w:tblPr>
        <w:tblStyle w:val="TableGrid"/>
        <w:tblW w:type="auto" w:w="0"/>
        <w:tblLayout w:type="autofit"/>
        <w:tblLook w:firstColumn="1" w:firstRow="1" w:lastColumn="0" w:lastRow="0" w:noHBand="0" w:noVBand="1" w:val="04A0"/>
      </w:tblPr>
      <w:tblGrid>
        <w:gridCol w:w="1234"/>
        <w:gridCol w:w="1234"/>
        <w:gridCol w:w="1234"/>
        <w:gridCol w:w="1234"/>
        <w:gridCol w:w="1234"/>
        <w:gridCol w:w="1234"/>
        <w:gridCol w:w="1234"/>
      </w:tblGrid>
      <w:tr>
        <w:tc>
          <w:tcPr>
            <w:tcW w:type="dxa" w:w="3168"/>
          </w:tcPr>
          <w:p>
            <w:pPr>
              <w:jc w:val="center"/>
            </w:pPr>
            <w:r>
              <w:rPr>
                <w:b/>
              </w:rPr>
              <w:t>Composite</w:t>
            </w:r>
          </w:p>
        </w:tc>
        <w:tc>
          <w:tcPr>
            <w:tcW w:type="dxa" w:w="1296"/>
          </w:tcPr>
          <w:p>
            <w:pPr>
              <w:jc w:val="center"/>
            </w:pPr>
            <w:r>
              <w:rPr>
                <w:b/>
              </w:rPr>
              <w:t>Indices</w:t>
            </w:r>
          </w:p>
        </w:tc>
        <w:tc>
          <w:tcPr>
            <w:tcW w:type="dxa" w:w="1728"/>
          </w:tcPr>
          <w:p>
            <w:pPr>
              <w:jc w:val="center"/>
            </w:pPr>
            <w:r>
              <w:rPr>
                <w:b/>
              </w:rPr>
              <w:t>Ensemble des Note Standard</w:t>
            </w:r>
          </w:p>
        </w:tc>
        <w:tc>
          <w:tcPr>
            <w:tcW w:type="dxa" w:w="1728"/>
          </w:tcPr>
          <w:p>
            <w:pPr>
              <w:jc w:val="center"/>
            </w:pPr>
            <w:r>
              <w:rPr>
                <w:b/>
              </w:rPr>
              <w:t>Note Composite</w:t>
            </w:r>
          </w:p>
        </w:tc>
        <w:tc>
          <w:tcPr>
            <w:tcW w:type="dxa" w:w="1728"/>
          </w:tcPr>
          <w:p>
            <w:pPr>
              <w:jc w:val="center"/>
            </w:pPr>
            <w:r>
              <w:rPr>
                <w:b/>
              </w:rPr>
              <w:t>Rang Percentile</w:t>
            </w:r>
          </w:p>
        </w:tc>
        <w:tc>
          <w:tcPr>
            <w:tcW w:type="dxa" w:w="2016"/>
          </w:tcPr>
          <w:p>
            <w:pPr>
              <w:jc w:val="center"/>
            </w:pPr>
            <w:r>
              <w:rPr>
                <w:b/>
              </w:rPr>
              <w:t>Intervalle de Confiance</w:t>
            </w:r>
          </w:p>
        </w:tc>
        <w:tc>
          <w:tcPr>
            <w:tcW w:type="dxa" w:w="1728"/>
          </w:tcPr>
          <w:p>
            <w:pPr>
              <w:jc w:val="center"/>
            </w:pPr>
            <w:r>
              <w:rPr>
                <w:b/>
              </w:rPr>
              <w:t>Description qualitative</w:t>
            </w:r>
          </w:p>
        </w:tc>
      </w:tr>
      <w:tr>
        <w:tc>
          <w:tcPr>
            <w:tcW w:type="dxa" w:w="3168"/>
          </w:tcPr>
          <w:p>
            <w:r>
              <w:t>Compréhension Verbale</w:t>
            </w:r>
          </w:p>
        </w:tc>
        <w:tc>
          <w:tcPr>
            <w:tcW w:type="dxa" w:w="1296"/>
          </w:tcPr>
          <w:p>
            <w:r>
              <w:t>ICV</w:t>
            </w:r>
          </w:p>
        </w:tc>
        <w:tc>
          <w:tcPr>
            <w:tcW w:type="dxa" w:w="1728"/>
          </w:tcPr>
          <w:p>
            <w:r>
              <w:t>1</w:t>
            </w:r>
          </w:p>
        </w:tc>
        <w:tc>
          <w:tcPr>
            <w:tcW w:type="dxa" w:w="1728"/>
          </w:tcPr>
          <w:p>
            <w:r>
              <w:t>1</w:t>
            </w:r>
          </w:p>
        </w:tc>
        <w:tc>
          <w:tcPr>
            <w:tcW w:type="dxa" w:w="1728"/>
          </w:tcPr>
          <w:p>
            <w:r>
              <w:t>1</w:t>
            </w:r>
          </w:p>
        </w:tc>
        <w:tc>
          <w:tcPr>
            <w:tcW w:type="dxa" w:w="2016"/>
          </w:tcPr>
          <w:p>
            <w:r>
              <w:t>41</w:t>
            </w:r>
          </w:p>
        </w:tc>
        <w:tc>
          <w:tcPr>
            <w:tcW w:type="dxa" w:w="1728"/>
          </w:tcPr>
          <w:p>
            <w:r>
              <w:t>zone faible</w:t>
            </w:r>
          </w:p>
        </w:tc>
      </w:tr>
      <w:tr>
        <w:tc>
          <w:tcPr>
            <w:tcW w:type="dxa" w:w="3168"/>
          </w:tcPr>
          <w:p>
            <w:r>
              <w:t>Visuospatial</w:t>
            </w:r>
          </w:p>
        </w:tc>
        <w:tc>
          <w:tcPr>
            <w:tcW w:type="dxa" w:w="1296"/>
          </w:tcPr>
          <w:p>
            <w:r>
              <w:t>IVS</w:t>
            </w:r>
          </w:p>
        </w:tc>
        <w:tc>
          <w:tcPr>
            <w:tcW w:type="dxa" w:w="1728"/>
          </w:tcPr>
          <w:p>
            <w:r>
              <w:t>1</w:t>
            </w:r>
          </w:p>
        </w:tc>
        <w:tc>
          <w:tcPr>
            <w:tcW w:type="dxa" w:w="1728"/>
          </w:tcPr>
          <w:p>
            <w:r>
              <w:t>1</w:t>
            </w:r>
          </w:p>
        </w:tc>
        <w:tc>
          <w:tcPr>
            <w:tcW w:type="dxa" w:w="1728"/>
          </w:tcPr>
          <w:p>
            <w:r>
              <w:t>1</w:t>
            </w:r>
          </w:p>
        </w:tc>
        <w:tc>
          <w:tcPr>
            <w:tcW w:type="dxa" w:w="2016"/>
          </w:tcPr>
          <w:p>
            <w:r>
              <w:t>1</w:t>
            </w:r>
          </w:p>
        </w:tc>
        <w:tc>
          <w:tcPr>
            <w:tcW w:type="dxa" w:w="1728"/>
          </w:tcPr>
          <w:p>
            <w:r>
              <w:t>zone faible</w:t>
            </w:r>
          </w:p>
        </w:tc>
      </w:tr>
      <w:tr>
        <w:tc>
          <w:tcPr>
            <w:tcW w:type="dxa" w:w="3168"/>
          </w:tcPr>
          <w:p>
            <w:r>
              <w:t>Raisonnement Fluide</w:t>
            </w:r>
          </w:p>
        </w:tc>
        <w:tc>
          <w:tcPr>
            <w:tcW w:type="dxa" w:w="1296"/>
          </w:tcPr>
          <w:p>
            <w:r>
              <w:t>IRF</w:t>
            </w:r>
          </w:p>
        </w:tc>
        <w:tc>
          <w:tcPr>
            <w:tcW w:type="dxa" w:w="1728"/>
          </w:tcPr>
          <w:p>
            <w:r>
              <w:t>11</w:t>
            </w:r>
          </w:p>
        </w:tc>
        <w:tc>
          <w:tcPr>
            <w:tcW w:type="dxa" w:w="1728"/>
          </w:tcPr>
          <w:p>
            <w:r>
              <w:t>1</w:t>
            </w:r>
          </w:p>
        </w:tc>
        <w:tc>
          <w:tcPr>
            <w:tcW w:type="dxa" w:w="1728"/>
          </w:tcPr>
          <w:p>
            <w:r>
              <w:t>1</w:t>
            </w:r>
          </w:p>
        </w:tc>
        <w:tc>
          <w:tcPr>
            <w:tcW w:type="dxa" w:w="2016"/>
          </w:tcPr>
          <w:p>
            <w:r>
              <w:t>1</w:t>
            </w:r>
          </w:p>
        </w:tc>
        <w:tc>
          <w:tcPr>
            <w:tcW w:type="dxa" w:w="1728"/>
          </w:tcPr>
          <w:p>
            <w:r>
              <w:t>zone faible</w:t>
            </w:r>
          </w:p>
        </w:tc>
      </w:tr>
      <w:tr>
        <w:tc>
          <w:tcPr>
            <w:tcW w:type="dxa" w:w="3168"/>
          </w:tcPr>
          <w:p>
            <w:r>
              <w:rPr>
                <w:color w:val="FF6600"/>
              </w:rPr>
              <w:t>Mémoire de travail</w:t>
            </w:r>
          </w:p>
        </w:tc>
        <w:tc>
          <w:tcPr>
            <w:tcW w:type="dxa" w:w="1296"/>
          </w:tcPr>
          <w:p>
            <w:r>
              <w:rPr>
                <w:color w:val="FF6600"/>
              </w:rPr>
              <w:t>IMT</w:t>
            </w:r>
          </w:p>
        </w:tc>
        <w:tc>
          <w:tcPr>
            <w:tcW w:type="dxa" w:w="1728"/>
          </w:tcPr>
          <w:p>
            <w:r>
              <w:rPr>
                <w:color w:val="FF6600"/>
              </w:rPr>
              <w:t>14</w:t>
            </w:r>
          </w:p>
        </w:tc>
        <w:tc>
          <w:tcPr>
            <w:tcW w:type="dxa" w:w="1728"/>
          </w:tcPr>
          <w:p>
            <w:r>
              <w:rPr>
                <w:color w:val="FF6600"/>
              </w:rPr>
              <w:t>1</w:t>
            </w:r>
          </w:p>
        </w:tc>
        <w:tc>
          <w:tcPr>
            <w:tcW w:type="dxa" w:w="1728"/>
          </w:tcPr>
          <w:p>
            <w:r>
              <w:rPr>
                <w:color w:val="FF6600"/>
              </w:rPr>
              <w:t>14</w:t>
            </w:r>
          </w:p>
        </w:tc>
        <w:tc>
          <w:tcPr>
            <w:tcW w:type="dxa" w:w="2016"/>
          </w:tcPr>
          <w:p>
            <w:r>
              <w:rPr>
                <w:color w:val="FF6600"/>
              </w:rPr>
              <w:t>1</w:t>
            </w:r>
          </w:p>
        </w:tc>
        <w:tc>
          <w:tcPr>
            <w:tcW w:type="dxa" w:w="1728"/>
          </w:tcPr>
          <w:p>
            <w:r>
              <w:rPr>
                <w:color w:val="FF6600"/>
              </w:rPr>
              <w:t>moyenne faible</w:t>
            </w:r>
          </w:p>
        </w:tc>
      </w:tr>
      <w:tr>
        <w:tc>
          <w:tcPr>
            <w:tcW w:type="dxa" w:w="3168"/>
          </w:tcPr>
          <w:p>
            <w:r>
              <w:rPr>
                <w:color w:val="FF6600"/>
              </w:rPr>
              <w:t>Vitesse de traitement</w:t>
            </w:r>
          </w:p>
        </w:tc>
        <w:tc>
          <w:tcPr>
            <w:tcW w:type="dxa" w:w="1296"/>
          </w:tcPr>
          <w:p>
            <w:r>
              <w:rPr>
                <w:color w:val="FF6600"/>
              </w:rPr>
              <w:t>IVT</w:t>
            </w:r>
          </w:p>
        </w:tc>
        <w:tc>
          <w:tcPr>
            <w:tcW w:type="dxa" w:w="1728"/>
          </w:tcPr>
          <w:p>
            <w:r>
              <w:rPr>
                <w:color w:val="FF6600"/>
              </w:rPr>
              <w:t>1</w:t>
            </w:r>
          </w:p>
        </w:tc>
        <w:tc>
          <w:tcPr>
            <w:tcW w:type="dxa" w:w="1728"/>
          </w:tcPr>
          <w:p>
            <w:r>
              <w:rPr>
                <w:color w:val="FF6600"/>
              </w:rPr>
              <w:t>1</w:t>
            </w:r>
          </w:p>
        </w:tc>
        <w:tc>
          <w:tcPr>
            <w:tcW w:type="dxa" w:w="1728"/>
          </w:tcPr>
          <w:p>
            <w:r>
              <w:rPr>
                <w:color w:val="FF6600"/>
              </w:rPr>
              <w:t>1</w:t>
            </w:r>
          </w:p>
        </w:tc>
        <w:tc>
          <w:tcPr>
            <w:tcW w:type="dxa" w:w="2016"/>
          </w:tcPr>
          <w:p>
            <w:r>
              <w:rPr>
                <w:color w:val="FF6600"/>
              </w:rPr>
              <w:t>1</w:t>
            </w:r>
          </w:p>
        </w:tc>
        <w:tc>
          <w:tcPr>
            <w:tcW w:type="dxa" w:w="1728"/>
          </w:tcPr>
          <w:p>
            <w:r>
              <w:rPr>
                <w:color w:val="FF6600"/>
              </w:rPr>
              <w:t>zone faible</w:t>
            </w:r>
          </w:p>
        </w:tc>
      </w:tr>
      <w:tr>
        <w:tc>
          <w:tcPr>
            <w:tcW w:type="dxa" w:w="3168"/>
            <w:shd w:fill="DCE6F1"/>
          </w:tcPr>
          <w:p>
            <w:r>
              <w:t>Échelle Totale</w:t>
            </w:r>
          </w:p>
        </w:tc>
        <w:tc>
          <w:tcPr>
            <w:tcW w:type="dxa" w:w="1296"/>
            <w:shd w:fill="DCE6F1"/>
          </w:tcPr>
          <w:p>
            <w:r>
              <w:t>QIT</w:t>
            </w:r>
          </w:p>
        </w:tc>
        <w:tc>
          <w:tcPr>
            <w:tcW w:type="dxa" w:w="1728"/>
            <w:shd w:fill="DCE6F1"/>
          </w:tcPr>
          <w:p>
            <w:r>
              <w:t>1</w:t>
            </w:r>
          </w:p>
        </w:tc>
        <w:tc>
          <w:tcPr>
            <w:tcW w:type="dxa" w:w="1728"/>
            <w:shd w:fill="DCE6F1"/>
          </w:tcPr>
          <w:p>
            <w:r>
              <w:t>1</w:t>
            </w:r>
          </w:p>
        </w:tc>
        <w:tc>
          <w:tcPr>
            <w:tcW w:type="dxa" w:w="1728"/>
            <w:shd w:fill="DCE6F1"/>
          </w:tcPr>
          <w:p>
            <w:r>
              <w:t>11</w:t>
            </w:r>
          </w:p>
        </w:tc>
        <w:tc>
          <w:tcPr>
            <w:tcW w:type="dxa" w:w="2016"/>
            <w:shd w:fill="DCE6F1"/>
          </w:tcPr>
          <w:p>
            <w:r>
              <w:t>1</w:t>
            </w:r>
          </w:p>
        </w:tc>
        <w:tc>
          <w:tcPr>
            <w:tcW w:type="dxa" w:w="1728"/>
            <w:shd w:fill="DCE6F1"/>
          </w:tcPr>
          <w:p>
            <w:r>
              <w:rPr>
                <w:strike/>
              </w:rPr>
              <w:t>moyenne faible</w:t>
            </w:r>
          </w:p>
        </w:tc>
      </w:tr>
    </w:tbl>
    <w:p>
      <w:pPr>
        <w:jc w:val="left"/>
      </w:pPr>
      <w:r>
        <w:rPr>
          <w:b/>
          <w:sz w:val="24"/>
        </w:rPr>
        <w:t>L'indice complémentaire d'aptitude générale (IAG = 1, RP = 11)</w:t>
      </w:r>
      <w:r>
        <w:rPr>
          <w:b w:val="0"/>
          <w:sz w:val="24"/>
        </w:rPr>
        <w:t xml:space="preserve">, témoigne d'une capacité à raisonner,de facultés de compréhension, situées dans la </w:t>
      </w:r>
      <w:r>
        <w:rPr>
          <w:b/>
          <w:sz w:val="24"/>
        </w:rPr>
        <w:t>moyenne faible</w:t>
      </w:r>
      <w:r>
        <w:rPr>
          <w:b w:val="0"/>
          <w:sz w:val="24"/>
        </w:rPr>
        <w:t xml:space="preserve"> de son âge.</w:t>
      </w:r>
    </w:p>
    <w:p/>
    <w:p>
      <w:pPr>
        <w:jc w:val="left"/>
      </w:pPr>
      <w:r>
        <w:rPr>
          <w:b/>
          <w:sz w:val="24"/>
        </w:rPr>
        <w:t xml:space="preserve">L'indice de compétence cognitive (ICC = 1, RP = 1) </w:t>
      </w:r>
      <w:r>
        <w:rPr>
          <w:b w:val="0"/>
          <w:sz w:val="24"/>
        </w:rPr>
        <w:t xml:space="preserve">relatif aux traitements de bas niveaux (vitesse detraitement et mémoire de travail) se situe dans la </w:t>
      </w:r>
      <w:r>
        <w:rPr>
          <w:b/>
          <w:sz w:val="24"/>
        </w:rPr>
        <w:t>zone faible</w:t>
      </w:r>
      <w:r>
        <w:rPr>
          <w:b w:val="0"/>
          <w:sz w:val="24"/>
        </w:rPr>
        <w:t xml:space="preserve"> de son âge.</w:t>
      </w:r>
    </w:p>
    <w:p/>
    <w:p>
      <w:pPr>
        <w:jc w:val="left"/>
      </w:pPr>
      <w:r>
        <w:rPr>
          <w:b/>
          <w:sz w:val="24"/>
        </w:rPr>
        <w:t xml:space="preserve">L'indice non verbal (INV = 21, RP = 21) </w:t>
      </w:r>
      <w:r>
        <w:rPr>
          <w:b w:val="0"/>
          <w:sz w:val="24"/>
        </w:rPr>
        <w:t xml:space="preserve">relatif aux compétences non verbales se situe dans la </w:t>
      </w:r>
      <w:r>
        <w:rPr>
          <w:b/>
          <w:sz w:val="24"/>
        </w:rPr>
        <w:t>moyenne faible</w:t>
      </w:r>
      <w:r>
        <w:rPr>
          <w:b w:val="0"/>
          <w:sz w:val="24"/>
        </w:rPr>
        <w:t xml:space="preserve"> de son âge.</w:t>
      </w:r>
    </w:p>
    <w:p/>
    <w:p>
      <w:pPr>
        <w:jc w:val="left"/>
      </w:pPr>
      <w:r>
        <w:rPr>
          <w:b/>
          <w:sz w:val="24"/>
        </w:rPr>
      </w:r>
      <w:r>
        <w:rPr>
          <w:b w:val="0"/>
          <w:sz w:val="24"/>
        </w:rPr>
        <w:t>Nous détaillerons, dans les chapitres suivants, les différents domaines cognitifs qui ont été évaluées, et qui permettent d'appréhender de manière plus approfondie le fonctionnement actuel de a.</w:t>
      </w:r>
      <w:r>
        <w:rPr>
          <w:b/>
          <w:sz w:val="24"/>
        </w:rPr>
      </w:r>
    </w:p>
    <w:p>
      <w:r>
        <w:rPr>
          <w:b/>
          <w:color w:val="0064FF"/>
          <w:u w:val="single"/>
        </w:rPr>
        <w:t>Capacités verbales</w:t>
      </w:r>
    </w:p>
    <w:p>
      <w:pPr>
        <w:jc w:val="left"/>
      </w:pPr>
      <w:r>
        <w:rPr>
          <w:b/>
          <w:i/>
          <w:sz w:val="24"/>
        </w:rPr>
        <w:t xml:space="preserve">L'indice de Compréhension Verbale (ICV) </w:t>
      </w:r>
      <w:r>
        <w:rPr>
          <w:b w:val="0"/>
          <w:i/>
          <w:sz w:val="24"/>
        </w:rPr>
        <w:t>mesure les aptitudes verbales en sollicitant le raisonnement, la compréhension, et la catégorisation. Il évalue la formation de concepts verbaux et les connaissances culturelles acquises dans l'environnement de l'enfant.</w:t>
      </w:r>
    </w:p>
    <w:p>
      <w:pPr>
        <w:jc w:val="left"/>
      </w:pPr>
      <w:r>
        <w:rPr>
          <w:b/>
          <w:sz w:val="24"/>
        </w:rPr>
      </w:r>
      <w:r>
        <w:rPr>
          <w:b w:val="0"/>
          <w:sz w:val="24"/>
        </w:rPr>
        <w:t>Sur le plan qualitatif, nous observons que a comprend bien les consignes au décours du bilan. Il n'aura pas eu besoin d'énormément de reformulations ou d'explications supplémentaires. Le discours spontané est fluent, informatif et cohérent.</w:t>
      </w:r>
      <w:r>
        <w:rPr>
          <w:b/>
          <w:sz w:val="24"/>
        </w:rPr>
      </w:r>
    </w:p>
    <w:p>
      <w:pPr>
        <w:jc w:val="left"/>
      </w:pPr>
      <w:r>
        <w:rPr>
          <w:b/>
          <w:sz w:val="24"/>
        </w:rPr>
      </w:r>
      <w:r>
        <w:rPr>
          <w:b w:val="0"/>
          <w:sz w:val="24"/>
        </w:rPr>
        <w:t xml:space="preserve">La note composite de compréhension verbale </w:t>
      </w:r>
      <w:r>
        <w:rPr>
          <w:b/>
          <w:sz w:val="24"/>
        </w:rPr>
        <w:t xml:space="preserve">(ICV = 21, RP = 21) </w:t>
      </w:r>
      <w:r>
        <w:rPr>
          <w:b w:val="0"/>
          <w:sz w:val="24"/>
        </w:rPr>
        <w:t xml:space="preserve">se situe dans la </w:t>
      </w:r>
      <w:r>
        <w:rPr>
          <w:b/>
          <w:sz w:val="24"/>
        </w:rPr>
        <w:t>moyenne faible</w:t>
      </w:r>
      <w:r>
        <w:rPr>
          <w:b w:val="0"/>
          <w:sz w:val="24"/>
        </w:rPr>
        <w:t xml:space="preserve"> comparaison aux enfants du même âge.</w:t>
      </w:r>
    </w:p>
    <w:tbl>
      <w:tblPr>
        <w:tblW w:type="auto" w:w="0"/>
        <w:jc w:val="center"/>
        <w:tblLayout w:type="autofit"/>
        <w:tblLook w:firstColumn="1" w:firstRow="1" w:lastColumn="0" w:lastRow="0" w:noHBand="0" w:noVBand="1" w:val="04A0"/>
      </w:tblPr>
      <w:tblGrid>
        <w:gridCol w:w="2880"/>
        <w:gridCol w:w="2880"/>
        <w:gridCol w:w="2880"/>
      </w:tblGrid>
      <w:tr>
        <w:tc>
          <w:tcPr>
            <w:tcW w:type="dxa" w:w="2880"/>
            <w:vAlign w:val="center"/>
            <w:top w:sz="12" w:val="single" w:color="000000"/>
            <w:bottom w:sz="12" w:val="single" w:color="000000"/>
            <w:start w:sz="12" w:val="single" w:color="000000"/>
            <w:end w:sz="12" w:val="single" w:color="000000"/>
          </w:tcPr>
          <w:p>
            <w:pPr>
              <w:jc w:val="center"/>
            </w:pPr>
            <w:r>
              <w:rPr>
                <w:b/>
              </w:rPr>
              <w:t>Épreuves</w:t>
            </w:r>
          </w:p>
        </w:tc>
        <w:tc>
          <w:tcPr>
            <w:tcW w:type="dxa" w:w="2880"/>
            <w:vAlign w:val="center"/>
            <w:top w:sz="12" w:val="single" w:color="000000"/>
            <w:bottom w:sz="12" w:val="single" w:color="000000"/>
            <w:start w:sz="12" w:val="single" w:color="000000"/>
            <w:end w:sz="12" w:val="single" w:color="000000"/>
          </w:tcPr>
          <w:p>
            <w:pPr>
              <w:jc w:val="center"/>
            </w:pPr>
            <w:r>
              <w:rPr>
                <w:b/>
              </w:rPr>
              <w:t>Notes Standards</w:t>
            </w:r>
          </w:p>
        </w:tc>
        <w:tc>
          <w:tcPr>
            <w:tcW w:type="dxa" w:w="2880"/>
            <w:vAlign w:val="center"/>
            <w:top w:sz="12" w:val="single" w:color="000000"/>
            <w:bottom w:sz="12" w:val="single" w:color="000000"/>
            <w:start w:sz="12" w:val="single" w:color="000000"/>
            <w:end w:sz="12" w:val="single" w:color="000000"/>
          </w:tcPr>
          <w:p>
            <w:pPr>
              <w:jc w:val="center"/>
            </w:pPr>
            <w:r>
              <w:rPr>
                <w:b/>
              </w:rPr>
              <w:t>Rang Percentile</w:t>
            </w:r>
          </w:p>
        </w:tc>
      </w:tr>
      <w:tr>
        <w:tc>
          <w:tcPr>
            <w:tcW w:type="dxa" w:w="2880"/>
            <w:vAlign w:val="center"/>
            <w:top w:sz="12" w:val="single" w:color="000000"/>
            <w:bottom w:sz="12" w:val="single" w:color="000000"/>
            <w:start w:sz="12" w:val="single" w:color="000000"/>
            <w:end w:sz="12" w:val="single" w:color="000000"/>
          </w:tcPr>
          <w:p>
            <w:pPr>
              <w:jc w:val="center"/>
            </w:pPr>
            <w:r>
              <w:rPr>
                <w:sz w:val="24"/>
              </w:rPr>
              <w:t>Similitudes</w:t>
            </w:r>
          </w:p>
        </w:tc>
        <w:tc>
          <w:tcPr>
            <w:tcW w:type="dxa" w:w="2880"/>
            <w:vAlign w:val="center"/>
            <w:top w:sz="12" w:val="single" w:color="000000"/>
            <w:bottom w:sz="12" w:val="single" w:color="000000"/>
            <w:start w:sz="12" w:val="single" w:color="000000"/>
            <w:end w:sz="12" w:val="single" w:color="000000"/>
          </w:tcPr>
          <w:p>
            <w:pPr>
              <w:jc w:val="center"/>
            </w:pPr>
            <w:r>
              <w:rPr>
                <w:sz w:val="24"/>
              </w:rPr>
              <w:t>2</w:t>
            </w:r>
          </w:p>
        </w:tc>
        <w:tc>
          <w:tcPr>
            <w:tcW w:type="dxa" w:w="2880"/>
            <w:vAlign w:val="center"/>
            <w:top w:sz="12" w:val="single" w:color="000000"/>
            <w:bottom w:sz="12" w:val="single" w:color="000000"/>
            <w:start w:sz="12" w:val="single" w:color="000000"/>
            <w:end w:sz="12" w:val="single" w:color="000000"/>
          </w:tcPr>
          <w:p>
            <w:pPr>
              <w:jc w:val="center"/>
            </w:pPr>
            <w:r>
              <w:rPr>
                <w:sz w:val="24"/>
              </w:rPr>
              <w:t>12</w:t>
            </w:r>
          </w:p>
        </w:tc>
      </w:tr>
      <w:tr>
        <w:tc>
          <w:tcPr>
            <w:tcW w:type="dxa" w:w="2880"/>
            <w:vAlign w:val="center"/>
            <w:top w:sz="12" w:val="single" w:color="000000"/>
            <w:bottom w:sz="12" w:val="single" w:color="000000"/>
            <w:start w:sz="12" w:val="single" w:color="000000"/>
            <w:end w:sz="12" w:val="single" w:color="000000"/>
          </w:tcPr>
          <w:p>
            <w:pPr>
              <w:jc w:val="center"/>
            </w:pPr>
            <w:r>
              <w:rPr>
                <w:color w:val="008000"/>
                <w:sz w:val="24"/>
              </w:rPr>
              <w:t>Vocabulaire</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12</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12</w:t>
            </w:r>
          </w:p>
        </w:tc>
      </w:tr>
    </w:tbl>
    <w:p>
      <w:pPr>
        <w:jc w:val="left"/>
      </w:pPr>
      <w:r>
        <w:rPr>
          <w:b/>
          <w:sz w:val="24"/>
        </w:rPr>
      </w:r>
      <w:r>
        <w:rPr>
          <w:b w:val="0"/>
          <w:sz w:val="24"/>
        </w:rPr>
        <w:t xml:space="preserve">Le subtest « </w:t>
      </w:r>
      <w:r>
        <w:rPr>
          <w:b/>
          <w:sz w:val="24"/>
        </w:rPr>
        <w:t xml:space="preserve">Similitudes </w:t>
      </w:r>
      <w:r>
        <w:rPr>
          <w:b w:val="0"/>
          <w:sz w:val="24"/>
        </w:rPr>
        <w:t xml:space="preserve">» permet d'appréhender la qualité du langage oral de a, ses capacités d'abstractionet de raisonnement verbal. a présente des performances dans la </w:t>
      </w:r>
      <w:r>
        <w:rPr>
          <w:b/>
          <w:sz w:val="24"/>
        </w:rPr>
        <w:t>moyenne faible</w:t>
      </w:r>
      <w:r>
        <w:rPr>
          <w:b w:val="0"/>
          <w:sz w:val="24"/>
        </w:rPr>
        <w:t>de son âge. Il montre de bonnes capacités catégorisation et de conceptualisation.</w:t>
      </w:r>
    </w:p>
    <w:p>
      <w:pPr>
        <w:jc w:val="left"/>
      </w:pPr>
      <w:r>
        <w:rPr>
          <w:b/>
          <w:i/>
          <w:sz w:val="24"/>
        </w:rPr>
        <w:t>Exemple : « En quoi le cochon et le mouton se ressemblent ? Qu’est-ce qui fait qu’ils sont pareil ? »</w:t>
      </w:r>
      <w:r>
        <w:rPr>
          <w:b w:val="0"/>
          <w:i/>
          <w:sz w:val="24"/>
        </w:rPr>
      </w:r>
    </w:p>
    <w:p>
      <w:pPr>
        <w:jc w:val="left"/>
      </w:pPr>
      <w:r>
        <w:rPr>
          <w:b/>
          <w:sz w:val="24"/>
        </w:rPr>
      </w:r>
      <w:r>
        <w:rPr>
          <w:b w:val="0"/>
          <w:sz w:val="24"/>
        </w:rPr>
        <w:t>Lors de l'épreuve de «</w:t>
      </w:r>
      <w:r>
        <w:rPr>
          <w:b/>
          <w:sz w:val="24"/>
        </w:rPr>
        <w:t>Vocabulaire</w:t>
      </w:r>
      <w:r>
        <w:rPr>
          <w:b w:val="0"/>
          <w:sz w:val="24"/>
        </w:rPr>
        <w:t xml:space="preserve">», qui fait appel à ses connaissance internalisées (faisant appel à son expérience et des situations de la vie quotidienne), a obtient des résultats dans la </w:t>
      </w:r>
      <w:r>
        <w:rPr>
          <w:b/>
          <w:sz w:val="24"/>
        </w:rPr>
        <w:t>moyenne faible</w:t>
      </w:r>
      <w:r>
        <w:rPr>
          <w:b w:val="0"/>
          <w:sz w:val="24"/>
        </w:rPr>
        <w:t>de son âge. a témoigne d'un bon stock lexical.</w:t>
      </w:r>
    </w:p>
    <w:p>
      <w:pPr>
        <w:jc w:val="left"/>
      </w:pPr>
      <w:r>
        <w:rPr>
          <w:b/>
          <w:i/>
          <w:sz w:val="24"/>
        </w:rPr>
        <w:t>Exemple : « Qu'est-ce qu'une fourchette ? »</w:t>
      </w:r>
      <w:r>
        <w:rPr>
          <w:b w:val="0"/>
          <w:i/>
          <w:sz w:val="24"/>
        </w:rP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