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Tom</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21</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212</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12</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Tom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Tom,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Tom.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Tom. En effet, des différences statistiquement significatives apparaissent entre plusieurs scores  d’indices. Alors, la note d’échelle totale (QIT) – qui représente les aptitudes intellectuelles globales – ne peut  nous permettre de comprendre le fonctionnement de Tom.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Visuospatial</w:t>
            </w:r>
          </w:p>
        </w:tc>
        <w:tc>
          <w:tcPr>
            <w:tcW w:type="dxa" w:w="1296"/>
          </w:tcPr>
          <w:p>
            <w:pPr>
              <w:jc w:val="center"/>
            </w:pPr>
            <w:r>
              <w:rPr>
                <w:rFonts w:ascii="Times New Roman" w:hAnsi="Times New Roman"/>
                <w:color w:val="FF2929"/>
                <w:sz w:val="22"/>
              </w:rPr>
              <w:t>IVS</w:t>
            </w:r>
          </w:p>
        </w:tc>
        <w:tc>
          <w:tcPr>
            <w:tcW w:type="dxa" w:w="1728"/>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2</w:t>
            </w:r>
          </w:p>
        </w:tc>
        <w:tc>
          <w:tcPr>
            <w:tcW w:type="dxa" w:w="2016"/>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Raisonnement Fluide</w:t>
            </w:r>
          </w:p>
        </w:tc>
        <w:tc>
          <w:tcPr>
            <w:tcW w:type="dxa" w:w="1296"/>
          </w:tcPr>
          <w:p>
            <w:pPr>
              <w:jc w:val="center"/>
            </w:pPr>
            <w:r>
              <w:rPr>
                <w:rFonts w:ascii="Times New Roman" w:hAnsi="Times New Roman"/>
                <w:color w:val="FF6929"/>
                <w:sz w:val="22"/>
              </w:rPr>
              <w:t>IRF</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Mémoire de travail</w:t>
            </w:r>
          </w:p>
        </w:tc>
        <w:tc>
          <w:tcPr>
            <w:tcW w:type="dxa" w:w="1296"/>
          </w:tcPr>
          <w:p>
            <w:pPr>
              <w:jc w:val="center"/>
            </w:pPr>
            <w:r>
              <w:rPr>
                <w:rFonts w:ascii="Times New Roman" w:hAnsi="Times New Roman"/>
                <w:color w:val="FF2929"/>
                <w:sz w:val="22"/>
              </w:rPr>
              <w:t>IMT</w:t>
            </w:r>
          </w:p>
        </w:tc>
        <w:tc>
          <w:tcPr>
            <w:tcW w:type="dxa" w:w="1728"/>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1</w:t>
            </w:r>
          </w:p>
        </w:tc>
        <w:tc>
          <w:tcPr>
            <w:tcW w:type="dxa" w:w="2016"/>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Vitesse de traitement</w:t>
            </w:r>
          </w:p>
        </w:tc>
        <w:tc>
          <w:tcPr>
            <w:tcW w:type="dxa" w:w="1296"/>
          </w:tcPr>
          <w:p>
            <w:pPr>
              <w:jc w:val="center"/>
            </w:pPr>
            <w:r>
              <w:rPr>
                <w:rFonts w:ascii="Times New Roman" w:hAnsi="Times New Roman"/>
                <w:color w:val="FF6929"/>
                <w:sz w:val="22"/>
              </w:rPr>
              <w:t>IVT</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Échelle Totale</w:t>
            </w:r>
          </w:p>
        </w:tc>
        <w:tc>
          <w:tcPr>
            <w:tcW w:type="dxa" w:w="1296"/>
          </w:tcPr>
          <w:p>
            <w:pPr>
              <w:jc w:val="center"/>
            </w:pPr>
            <w:r>
              <w:rPr>
                <w:rFonts w:ascii="Times New Roman" w:hAnsi="Times New Roman"/>
                <w:color w:val="FF6929"/>
                <w:sz w:val="22"/>
              </w:rPr>
              <w:t>QIT</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strike/>
                <w:color w:val="FF6929"/>
                <w:sz w:val="22"/>
              </w:rPr>
              <w:t>moyenne faible</w:t>
            </w:r>
          </w:p>
        </w:tc>
      </w:tr>
    </w:tbl>
    <w:p>
      <w:pPr>
        <w:jc w:val="both"/>
      </w:pPr>
    </w:p>
    <w:p>
      <w:pPr>
        <w:jc w:val="both"/>
      </w:pPr>
      <w:r>
        <w:rPr>
          <w:rFonts w:ascii="Times New Roman" w:hAnsi="Times New Roman"/>
          <w:b/>
          <w:sz w:val="22"/>
        </w:rPr>
        <w:t>L'indice complémentaire d'aptitude générale (IAG = 1, RP = 21)</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21, RP = 21)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2, RP = 12) </w:t>
      </w:r>
      <w:r>
        <w:rPr>
          <w:rFonts w:ascii="Times New Roman" w:hAnsi="Times New Roman"/>
          <w:b w:val="0"/>
          <w:sz w:val="22"/>
        </w:rPr>
        <w:t xml:space="preserve">relatif aux compétences non verbales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Tom.</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Tom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12, RP = 12) </w:t>
      </w:r>
      <w:r>
        <w:rPr>
          <w:rFonts w:ascii="Times New Roman" w:hAnsi="Times New Roman"/>
          <w:b w:val="0"/>
          <w:sz w:val="22"/>
        </w:rPr>
        <w:t xml:space="preserve">se situe dans la </w:t>
      </w:r>
      <w:r>
        <w:rPr>
          <w:rFonts w:ascii="Times New Roman" w:hAnsi="Times New Roman"/>
          <w:b/>
          <w:sz w:val="22"/>
        </w:rPr>
        <w:t>moyenne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Tom, ses capacités d'abstractionet de raisonnement verbal. Tom présente des performances dans la </w:t>
      </w:r>
      <w:r>
        <w:rPr>
          <w:rFonts w:ascii="Times New Roman" w:hAnsi="Times New Roman"/>
          <w:b/>
          <w:sz w:val="22"/>
        </w:rPr>
        <w:t>moyenne faible</w:t>
      </w:r>
      <w:r>
        <w:rPr>
          <w:rFonts w:ascii="Times New Roman" w:hAnsi="Times New Roman"/>
          <w:b w:val="0"/>
          <w:sz w:val="22"/>
        </w:rPr>
        <w:t xml:space="preserve"> de son âge. Il montre des fragilités dans la catégorisation et la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Tom obtient des résultats dans la </w:t>
      </w:r>
      <w:r>
        <w:rPr>
          <w:rFonts w:ascii="Times New Roman" w:hAnsi="Times New Roman"/>
          <w:b/>
          <w:sz w:val="22"/>
        </w:rPr>
        <w:t>moyenne faible</w:t>
      </w:r>
      <w:r>
        <w:rPr>
          <w:rFonts w:ascii="Times New Roman" w:hAnsi="Times New Roman"/>
          <w:b w:val="0"/>
          <w:sz w:val="22"/>
        </w:rPr>
        <w:t xml:space="preserve"> de son âge. Tom témoigne d’un stock lexical fragile.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2, RP = 12) </w:t>
      </w:r>
      <w:r>
        <w:rPr>
          <w:rFonts w:ascii="Times New Roman" w:hAnsi="Times New Roman"/>
          <w:b w:val="0"/>
          <w:sz w:val="22"/>
        </w:rPr>
        <w:t xml:space="preserve">Tom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moyenne faible</w:t>
            </w:r>
            <w:r>
              <w:rPr>
                <w:rFonts w:ascii="Times New Roman" w:hAnsi="Times New Roman"/>
                <w:sz w:val="22"/>
              </w:rPr>
              <w:t xml:space="preserve"> de son âge. Tom présente des fragilités dans l’organisation spatiale des modèles et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371600" cy="1766170"/>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371600" cy="176617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Tom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12, RP = 12)</w:t>
      </w:r>
      <w:r>
        <w:rPr>
          <w:rFonts w:ascii="Times New Roman" w:hAnsi="Times New Roman"/>
          <w:b w:val="0"/>
          <w:sz w:val="22"/>
        </w:rPr>
        <w:t xml:space="preserve"> telles que mesurées par le WISC-V, apparaissent ce jour, dans la </w:t>
      </w:r>
      <w:r>
        <w:rPr>
          <w:rFonts w:ascii="Times New Roman" w:hAnsi="Times New Roman"/>
          <w:b/>
          <w:sz w:val="22"/>
        </w:rPr>
        <w:t>moyenne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Matrices</w:t>
            </w:r>
            <w:r>
              <w:rPr>
                <w:rFonts w:ascii="Times New Roman" w:hAnsi="Times New Roman"/>
                <w:sz w:val="22"/>
              </w:rPr>
              <w:t>Balances</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r>
              <w:rPr>
                <w:rFonts w:ascii="Times New Roman" w:hAnsi="Times New Roman"/>
                <w:color w:val="FF6929"/>
                <w:sz w:val="22"/>
              </w:rPr>
              <w:t>21</w:t>
            </w:r>
          </w:p>
        </w:tc>
      </w:tr>
      <w:tr>
        <w:tc>
          <w:tcPr>
            <w:tcW w:type="dxa" w:w="2880"/>
          </w:tcPr>
          <w:p/>
        </w:tc>
        <w:tc>
          <w:tcPr>
            <w:tcW w:type="dxa" w:w="2880"/>
          </w:tcPr>
          <w:p/>
        </w:tc>
        <w:tc>
          <w:tcPr>
            <w:tcW w:type="dxa" w:w="2880"/>
          </w:tcP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Tom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21, RP = 21</w:t>
      </w:r>
      <w:r>
        <w:rPr>
          <w:rFonts w:ascii="Times New Roman" w:hAnsi="Times New Roman"/>
          <w:b w:val="0"/>
          <w:sz w:val="22"/>
        </w:rPr>
        <w:t xml:space="preserve">) témoigne d’une mémoire de travail dans la </w:t>
      </w:r>
      <w:r>
        <w:rPr>
          <w:rFonts w:ascii="Times New Roman" w:hAnsi="Times New Roman"/>
          <w:b/>
          <w:sz w:val="22"/>
        </w:rPr>
        <w:t>moyenne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de son âge. Tom présente de légères difficulté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Tom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1, RP = 21</w:t>
      </w:r>
      <w:r>
        <w:rPr>
          <w:rFonts w:ascii="Times New Roman" w:hAnsi="Times New Roman"/>
          <w:b w:val="0"/>
          <w:sz w:val="22"/>
        </w:rPr>
        <w:t xml:space="preserve">), telle que mesurée par le WISC-V, apparaissent ce jour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Tom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Tom se situe dans la </w:t>
            </w:r>
            <w:r>
              <w:rPr>
                <w:rFonts w:ascii="Times New Roman" w:hAnsi="Times New Roman"/>
                <w:b/>
                <w:sz w:val="22"/>
              </w:rPr>
              <w:t>zone faible</w:t>
            </w:r>
            <w:r>
              <w:rPr>
                <w:rFonts w:ascii="Times New Roman" w:hAnsi="Times New Roman"/>
                <w:sz w:val="22"/>
              </w:rPr>
              <w:t xml:space="preserve"> de son âge, suggérant une vitesse de traitement lente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