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14" w:space="6"/>
        </w:pBdr>
        <w:spacing w:after="0" w:before="1200"/>
        <w:jc w:val="left"/>
      </w:pPr>
      <w:r>
        <w:rPr>
          <w:b/>
          <w:bCs/>
          <w:color w:val="2E75B6"/>
          <w:sz w:val="28"/>
          <w:szCs w:val="28"/>
        </w:rPr>
        <w:t xml:space="preserve">ESTUDIO DE MERCADO</w:t>
      </w:r>
    </w:p>
    <w:p>
      <w:pPr>
        <w:spacing w:after="80" w:before="360"/>
      </w:pPr>
      <w:r>
        <w:rPr>
          <w:b/>
          <w:bCs/>
          <w:color w:val="1F3864"/>
          <w:sz w:val="52"/>
          <w:szCs w:val="52"/>
        </w:rPr>
        <w:t xml:space="preserve">Benchmarking competitivo:</w:t>
      </w:r>
    </w:p>
    <w:p>
      <w:pPr>
        <w:spacing w:after="240"/>
      </w:pPr>
      <w:r>
        <w:rPr>
          <w:b/>
          <w:bCs/>
          <w:color w:val="1F3864"/>
          <w:sz w:val="52"/>
          <w:szCs w:val="52"/>
        </w:rPr>
        <w:t xml:space="preserve">UNIGIS frente a Booster AI</w:t>
      </w:r>
    </w:p>
    <w:p>
      <w:pPr>
        <w:spacing w:after="120" w:line="276"/>
      </w:pPr>
      <w:r>
        <w:rPr>
          <w:color w:val="595959"/>
          <w:sz w:val="24"/>
          <w:szCs w:val="24"/>
        </w:rPr>
        <w:t xml:space="preserve">Análisis de posicionamiento, solapamiento y diferenciación en cuatro ejes: tecnología/producto, modelo de negocio/pricing, huella de carbono/ESG y marketplace/matching.</w:t>
      </w:r>
    </w:p>
    <w:p>
      <w:pPr>
        <w:spacing w:after="40" w:before="600"/>
      </w:pPr>
      <w:r>
        <w:rPr>
          <w:b/>
          <w:bCs/>
        </w:rPr>
        <w:t xml:space="preserve">Preparado para: </w:t>
      </w:r>
      <w:r>
        <w:t xml:space="preserve">Felipe Vicencio — Product Owner, Booster AI</w:t>
      </w:r>
    </w:p>
    <w:p>
      <w:pPr>
        <w:spacing w:after="40"/>
      </w:pPr>
      <w:r>
        <w:rPr>
          <w:b/>
          <w:bCs/>
        </w:rPr>
        <w:t xml:space="preserve">Fecha: </w:t>
      </w:r>
      <w:r>
        <w:t xml:space="preserve">15 de junio de 2026</w:t>
      </w:r>
    </w:p>
    <w:p>
      <w:pPr>
        <w:spacing w:after="40"/>
      </w:pPr>
      <w:r>
        <w:rPr>
          <w:b/>
          <w:bCs/>
        </w:rPr>
        <w:t xml:space="preserve">Alcance: </w:t>
      </w:r>
      <w:r>
        <w:t xml:space="preserve">Investigación de fuentes públicas. Solo lectura — sin cambios en el repositorio.</w:t>
      </w:r>
    </w:p>
    <w:p>
      <w:pPr>
        <w:spacing w:before="500"/>
      </w:pPr>
      <w:r>
        <w:rPr>
          <w:b/>
          <w:bCs/>
          <w:color w:val="2E7D32"/>
          <w:sz w:val="18"/>
          <w:szCs w:val="18"/>
        </w:rPr>
        <w:t xml:space="preserve">[Seguro] </w:t>
      </w:r>
      <w:r>
        <w:rPr>
          <w:color w:val="595959"/>
          <w:sz w:val="18"/>
          <w:szCs w:val="18"/>
        </w:rPr>
        <w:t xml:space="preserve">evidencia sólida   </w:t>
      </w:r>
      <w:r>
        <w:rPr>
          <w:b/>
          <w:bCs/>
          <w:color w:val="B07000"/>
          <w:sz w:val="18"/>
          <w:szCs w:val="18"/>
        </w:rPr>
        <w:t xml:space="preserve">[Probable] </w:t>
      </w:r>
      <w:r>
        <w:rPr>
          <w:color w:val="595959"/>
          <w:sz w:val="18"/>
          <w:szCs w:val="18"/>
        </w:rPr>
        <w:t xml:space="preserve">inferencia fuerte   </w:t>
      </w:r>
      <w:r>
        <w:rPr>
          <w:b/>
          <w:bCs/>
          <w:color w:val="B00020"/>
          <w:sz w:val="18"/>
          <w:szCs w:val="18"/>
        </w:rPr>
        <w:t xml:space="preserve">[Suposición] </w:t>
      </w:r>
      <w:r>
        <w:rPr>
          <w:color w:val="595959"/>
          <w:sz w:val="18"/>
          <w:szCs w:val="18"/>
        </w:rPr>
        <w:t xml:space="preserve">completando información faltante</w:t>
      </w:r>
    </w:p>
    <w:p>
      <w:r>
        <w:br w:type="page"/>
      </w:r>
    </w:p>
    <w:p>
      <w:pPr>
        <w:pStyle w:val="Heading1"/>
      </w:pPr>
      <w:r>
        <w:t xml:space="preserve">Contenido</w:t>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Conclusión incómoda primero</w:t>
      </w:r>
    </w:p>
    <w:p>
      <w:pPr>
        <w:spacing w:after="120" w:line="276"/>
      </w:pPr>
      <w:r>
        <w:rPr>
          <w:b/>
          <w:bCs/>
        </w:rPr>
        <w:t xml:space="preserve">UNIGIS no es un competidor directo de Booster, y tratarlo como tal en una sola tabla “nosotros vs. ellos” distorsiona el análisis. </w:t>
      </w:r>
      <w:r>
        <w:t xml:space="preserve">Son dos categorías de producto distintas que se tocan en un borde. UNIGIS es un </w:t>
      </w:r>
      <w:r>
        <w:rPr>
          <w:b/>
          <w:bCs/>
        </w:rPr>
        <w:t xml:space="preserve">TMS (Transportation Management System)</w:t>
      </w:r>
      <w:r>
        <w:t xml:space="preserve">: software de ejecución que una empresa o un operador 3PL/4PL instala para gestionar y optimizar </w:t>
      </w:r>
      <w:r>
        <w:rPr>
          <w:i/>
          <w:iCs/>
        </w:rPr>
        <w:t xml:space="preserve">su propia</w:t>
      </w:r>
      <w:r>
        <w:t xml:space="preserve"> operación de distribución y última milla. Booster es un </w:t>
      </w:r>
      <w:r>
        <w:rPr>
          <w:b/>
          <w:bCs/>
        </w:rPr>
        <w:t xml:space="preserve">marketplace B2B de dos lados</w:t>
      </w:r>
      <w:r>
        <w:t xml:space="preserve"> que conecta generadores de carga con transportistas externos, monetiza el matching de retornos vacíos y diferencia por certificación de huella de carbono e instrumentos financieros.</w:t>
      </w:r>
    </w:p>
    <w:p>
      <w:pPr>
        <w:spacing w:after="120" w:line="276"/>
      </w:pPr>
      <w:r>
        <w:rPr>
          <w:b/>
          <w:bCs/>
          <w:color w:val="B07000"/>
          <w:sz w:val="18"/>
          <w:szCs w:val="18"/>
        </w:rPr>
        <w:t xml:space="preserve">[Probable] </w:t>
      </w:r>
      <w:r>
        <w:t xml:space="preserve">La relación dominante entre ambos es de </w:t>
      </w:r>
      <w:r>
        <w:rPr>
          <w:b/>
          <w:bCs/>
        </w:rPr>
        <w:t xml:space="preserve">adyacencia y complementariedad</w:t>
      </w:r>
      <w:r>
        <w:t xml:space="preserve">, no de rivalidad frontal. El solapamiento real es parcial y se concentra en la capa de “gestión de transporte” (tarifas, contratos, seguimiento, prueba de entrega). El verdadero competidor de Booster son los </w:t>
      </w:r>
      <w:r>
        <w:rPr>
          <w:b/>
          <w:bCs/>
        </w:rPr>
        <w:t xml:space="preserve">marketplaces de carga / load boards</w:t>
      </w:r>
      <w:r>
        <w:t xml:space="preserve"> y las plataformas de freight-matching, no un TMS de planificación de rutas.</w:t>
      </w:r>
    </w:p>
    <w:p>
      <w:pPr>
        <w:spacing w:after="120" w:line="276"/>
      </w:pPr>
      <w:r>
        <w:rPr>
          <w:b/>
          <w:bCs/>
          <w:color w:val="2E7D32"/>
          <w:sz w:val="18"/>
          <w:szCs w:val="18"/>
        </w:rPr>
        <w:t xml:space="preserve">[Seguro] </w:t>
      </w:r>
      <w:r>
        <w:rPr>
          <w:b/>
          <w:bCs/>
        </w:rPr>
        <w:t xml:space="preserve">Implicancia estratégica: </w:t>
      </w:r>
      <w:r>
        <w:t xml:space="preserve">UNIGIS es más interesante para Booster como posible </w:t>
      </w:r>
      <w:r>
        <w:rPr>
          <w:b/>
          <w:bCs/>
        </w:rPr>
        <w:t xml:space="preserve">integración o socio de la capa operativa</w:t>
      </w:r>
      <w:r>
        <w:t xml:space="preserve"> (o como sustituto parcial al que un cliente ya esté amarrado) que como amenaza directa. El riesgo de UNIGIS no es que “haga lo mismo”, sino que ocupe el presupuesto de TI logístico del cliente y la relación con el área de operaciones antes que Booster.</w:t>
      </w:r>
    </w:p>
    <w:p>
      <w:r>
        <w:br w:type="page"/>
      </w:r>
    </w:p>
    <w:p>
      <w:pPr>
        <w:pStyle w:val="Heading1"/>
      </w:pPr>
      <w:r>
        <w:t xml:space="preserve">1. Metodología y limitaciones</w:t>
      </w:r>
    </w:p>
    <w:p>
      <w:pPr>
        <w:pStyle w:val="ListParagraph"/>
        <w:numPr>
          <w:ilvl w:val="0"/>
          <w:numId w:val="2"/>
        </w:numPr>
        <w:spacing w:after="60" w:line="264"/>
      </w:pPr>
      <w:r>
        <w:t xml:space="preserve">Fuentes: sitio oficial unigis.com (páginas de soluciones y de gestión de transporte), perfiles en Capterra/TrustRadius, prensa logística regional y LinkedIn. Para Booster: contrato de trabajo del repositorio (CLAUDE.md) y estructura del monorepo, en modo solo lectura.</w:t>
      </w:r>
    </w:p>
    <w:p>
      <w:pPr>
        <w:pStyle w:val="ListParagraph"/>
        <w:numPr>
          <w:ilvl w:val="0"/>
          <w:numId w:val="2"/>
        </w:numPr>
        <w:spacing w:after="60" w:line="264"/>
      </w:pPr>
      <w:r>
        <w:rPr>
          <w:b/>
          <w:bCs/>
          <w:color w:val="B00020"/>
          <w:sz w:val="18"/>
          <w:szCs w:val="18"/>
        </w:rPr>
        <w:t xml:space="preserve">[Suposición] </w:t>
      </w:r>
      <w:r>
        <w:t xml:space="preserve">Datos no publicados por UNIGIS —pricing exacto, número de clientes, certificaciones formales— se marcan como suposición. UNIGIS no publica precios; opera con venta enterprise y cotización a demanda.</w:t>
      </w:r>
    </w:p>
    <w:p>
      <w:pPr>
        <w:pStyle w:val="ListParagraph"/>
        <w:numPr>
          <w:ilvl w:val="0"/>
          <w:numId w:val="2"/>
        </w:numPr>
        <w:spacing w:after="60" w:line="264"/>
      </w:pPr>
      <w:r>
        <w:rPr>
          <w:b/>
          <w:bCs/>
          <w:color w:val="B07000"/>
          <w:sz w:val="18"/>
          <w:szCs w:val="18"/>
        </w:rPr>
        <w:t xml:space="preserve">[Probable] </w:t>
      </w:r>
      <w:r>
        <w:t xml:space="preserve">Booster está en estado pre-comercial / en desarrollo (objetivo declarado TRL 10). La comparación contrasta un producto maduro y desplegado (UNIGIS, ~20 años) contra una plataforma greenfield en construcción. Esto sesga cualquier comparación de tracción a favor de UNIGIS y de arquitectura/modernidad a favor de Booster.</w:t>
      </w:r>
    </w:p>
    <w:p>
      <w:pPr>
        <w:pStyle w:val="ListParagraph"/>
        <w:numPr>
          <w:ilvl w:val="0"/>
          <w:numId w:val="2"/>
        </w:numPr>
        <w:spacing w:after="60" w:line="264"/>
      </w:pPr>
      <w:r>
        <w:t xml:space="preserve">Aclaración de marca: “UNIGIS” también designa una red académica internacional de educación en SIG (sin relación). Este informe se refiere exclusivamente al TMS comercial de unigis.com (marca “Smart Logistics”), presente en Chile vía Unigis Chile SpA / Unisolutions.</w:t>
      </w:r>
    </w:p>
    <w:p>
      <w:pPr>
        <w:pStyle w:val="Heading1"/>
      </w:pPr>
      <w:r>
        <w:t xml:space="preserve">2. Perfil de UNIGIS</w:t>
      </w:r>
    </w:p>
    <w:p>
      <w:pPr>
        <w:spacing w:after="120" w:line="276"/>
      </w:pPr>
      <w:r>
        <w:rPr>
          <w:b/>
          <w:bCs/>
          <w:color w:val="2E7D32"/>
          <w:sz w:val="18"/>
          <w:szCs w:val="18"/>
        </w:rPr>
        <w:t xml:space="preserve">[Seguro] </w:t>
      </w:r>
      <w:r>
        <w:t xml:space="preserve">Plataforma cloud TMS para la gestión integral de distribución y transporte, de extremo a extremo: desde la orden de venta hasta la entrega final, incluyendo la evidencia de cada paso. Se integra con el back-office del cliente (ERP/OMS/WMS) y permite construir reportes y dashboards. Aproximadamente 20 años en el mercado, con presencia en México, Chile, Argentina, Brasil y otros países de la región; interfaz en español, portugués e inglés.</w:t>
      </w:r>
    </w:p>
    <w:p>
      <w:pPr>
        <w:pStyle w:val="Heading2"/>
      </w:pPr>
      <w:r>
        <w:t xml:space="preserve">2.1 Módulos / soluciones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b/>
                <w:bCs/>
                <w:color w:val="FFFFFF"/>
                <w:sz w:val="19"/>
                <w:szCs w:val="19"/>
              </w:rPr>
              <w:t xml:space="preserve">Módulo</w:t>
            </w:r>
          </w:p>
        </w:tc>
        <w:tc>
          <w:tcPr>
            <w:tcW w:type="dxa" w:w="676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b/>
                <w:bCs/>
                <w:color w:val="FFFFFF"/>
                <w:sz w:val="19"/>
                <w:szCs w:val="19"/>
              </w:rPr>
              <w:t xml:space="preserve">Qué hace</w:t>
            </w:r>
          </w:p>
        </w:tc>
      </w:tr>
      <w:tr>
        <w:trPr>
          <w:tblHeader w:val="false"/>
        </w:trPr>
        <w:tc>
          <w:tcPr>
            <w:tcW w:type="dxa" w:w="26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jc w:val="left"/>
            </w:pPr>
            <w:r>
              <w:rPr>
                <w:b/>
                <w:bCs/>
                <w:color w:val="000000"/>
                <w:sz w:val="19"/>
                <w:szCs w:val="19"/>
              </w:rPr>
              <w:t xml:space="preserve">Administración de Pedidos</w:t>
            </w:r>
          </w:p>
        </w:tc>
        <w:tc>
          <w:tcPr>
            <w:tcW w:type="dxa" w:w="67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000000"/>
                <w:sz w:val="19"/>
                <w:szCs w:val="19"/>
              </w:rPr>
              <w:t xml:space="preserve">Captura y gestión de órdenes; integración con sistemas del cliente (OMS).</w:t>
            </w:r>
          </w:p>
        </w:tc>
      </w:tr>
      <w:tr>
        <w:trPr>
          <w:tblHeader w:val="false"/>
        </w:trPr>
        <w:tc>
          <w:tcPr>
            <w:tcW w:type="dxa" w:w="26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jc w:val="left"/>
            </w:pPr>
            <w:r>
              <w:rPr>
                <w:b/>
                <w:bCs/>
                <w:color w:val="000000"/>
                <w:sz w:val="19"/>
                <w:szCs w:val="19"/>
              </w:rPr>
              <w:t xml:space="preserve">Planeación Inteligente (Smart Planning)</w:t>
            </w:r>
          </w:p>
        </w:tc>
        <w:tc>
          <w:tcPr>
            <w:tcW w:type="dxa" w:w="67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000000"/>
                <w:sz w:val="19"/>
                <w:szCs w:val="19"/>
              </w:rPr>
              <w:t xml:space="preserve">Ruteo y planificación de la distribución; consolidación de carga, cubicaje, optimización de capacidad de vehículos.</w:t>
            </w:r>
          </w:p>
        </w:tc>
      </w:tr>
      <w:tr>
        <w:trPr>
          <w:tblHeader w:val="false"/>
        </w:trPr>
        <w:tc>
          <w:tcPr>
            <w:tcW w:type="dxa" w:w="26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jc w:val="left"/>
            </w:pPr>
            <w:r>
              <w:rPr>
                <w:b/>
                <w:bCs/>
                <w:color w:val="000000"/>
                <w:sz w:val="19"/>
                <w:szCs w:val="19"/>
              </w:rPr>
              <w:t xml:space="preserve">Monitoreo Logístico (Smart Tracking)</w:t>
            </w:r>
          </w:p>
        </w:tc>
        <w:tc>
          <w:tcPr>
            <w:tcW w:type="dxa" w:w="67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000000"/>
                <w:sz w:val="19"/>
                <w:szCs w:val="19"/>
              </w:rPr>
              <w:t xml:space="preserve">Visibilidad y trazabilidad en tiempo real; alertas y notificaciones de desvíos.</w:t>
            </w:r>
          </w:p>
        </w:tc>
      </w:tr>
      <w:tr>
        <w:trPr>
          <w:tblHeader w:val="false"/>
        </w:trPr>
        <w:tc>
          <w:tcPr>
            <w:tcW w:type="dxa" w:w="26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jc w:val="left"/>
            </w:pPr>
            <w:r>
              <w:rPr>
                <w:b/>
                <w:bCs/>
                <w:color w:val="000000"/>
                <w:sz w:val="19"/>
                <w:szCs w:val="19"/>
              </w:rPr>
              <w:t xml:space="preserve">Control de Entregas / Movilidad</w:t>
            </w:r>
          </w:p>
        </w:tc>
        <w:tc>
          <w:tcPr>
            <w:tcW w:type="dxa" w:w="67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000000"/>
                <w:sz w:val="19"/>
                <w:szCs w:val="19"/>
              </w:rPr>
              <w:t xml:space="preserve">App móvil para conductores: prueba de entrega, gestión de incidencias, logística inversa.</w:t>
            </w:r>
          </w:p>
        </w:tc>
      </w:tr>
      <w:tr>
        <w:trPr>
          <w:tblHeader w:val="false"/>
        </w:trPr>
        <w:tc>
          <w:tcPr>
            <w:tcW w:type="dxa" w:w="26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jc w:val="left"/>
            </w:pPr>
            <w:r>
              <w:rPr>
                <w:b/>
                <w:bCs/>
                <w:color w:val="000000"/>
                <w:sz w:val="19"/>
                <w:szCs w:val="19"/>
              </w:rPr>
              <w:t xml:space="preserve">Gestión Integral del Transporte</w:t>
            </w:r>
          </w:p>
        </w:tc>
        <w:tc>
          <w:tcPr>
            <w:tcW w:type="dxa" w:w="67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000000"/>
                <w:sz w:val="19"/>
                <w:szCs w:val="19"/>
              </w:rPr>
              <w:t xml:space="preserve">Contratos y SLA, tarifas y costos configurables, liquidación de fletes; administra operadores 3PL/4PL con múltiples clientes.</w:t>
            </w:r>
          </w:p>
        </w:tc>
      </w:tr>
      <w:tr>
        <w:trPr>
          <w:tblHeader w:val="false"/>
        </w:trPr>
        <w:tc>
          <w:tcPr>
            <w:tcW w:type="dxa" w:w="26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jc w:val="left"/>
            </w:pPr>
            <w:r>
              <w:rPr>
                <w:b/>
                <w:bCs/>
                <w:color w:val="000000"/>
                <w:sz w:val="19"/>
                <w:szCs w:val="19"/>
              </w:rPr>
              <w:t xml:space="preserve">E-Commerce / Dashboards</w:t>
            </w:r>
          </w:p>
        </w:tc>
        <w:tc>
          <w:tcPr>
            <w:tcW w:type="dxa" w:w="67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000000"/>
                <w:sz w:val="19"/>
                <w:szCs w:val="19"/>
              </w:rPr>
              <w:t xml:space="preserve">Portales colaborativos B2B/B2C, indicadores y estadísticas.</w:t>
            </w:r>
          </w:p>
        </w:tc>
      </w:tr>
    </w:tbl>
    <w:p>
      <w:pPr>
        <w:pStyle w:val="Heading2"/>
      </w:pPr>
      <w:r>
        <w:t xml:space="preserve">2.2 Caracterización</w:t>
      </w:r>
    </w:p>
    <w:p>
      <w:pPr>
        <w:pStyle w:val="ListParagraph"/>
        <w:numPr>
          <w:ilvl w:val="0"/>
          <w:numId w:val="2"/>
        </w:numPr>
        <w:spacing w:after="60" w:line="264"/>
      </w:pPr>
      <w:r>
        <w:t xml:space="preserve">Categoría: software de ejecución logística (TMS), agnóstico de industria (consumo masivo, retail/e-commerce, manufactura, operadores logísticos).</w:t>
      </w:r>
    </w:p>
    <w:p>
      <w:pPr>
        <w:pStyle w:val="ListParagraph"/>
        <w:numPr>
          <w:ilvl w:val="0"/>
          <w:numId w:val="2"/>
        </w:numPr>
        <w:spacing w:after="60" w:line="264"/>
      </w:pPr>
      <w:r>
        <w:t xml:space="preserve">Cliente objetivo: empresa con operación de distribución propia, o un operador 3PL/4PL que gestiona flota y clientes.</w:t>
      </w:r>
    </w:p>
    <w:p>
      <w:pPr>
        <w:pStyle w:val="ListParagraph"/>
        <w:numPr>
          <w:ilvl w:val="0"/>
          <w:numId w:val="2"/>
        </w:numPr>
        <w:spacing w:after="60" w:line="264"/>
      </w:pPr>
      <w:r>
        <w:rPr>
          <w:b/>
          <w:bCs/>
          <w:color w:val="B07000"/>
          <w:sz w:val="18"/>
          <w:szCs w:val="18"/>
        </w:rPr>
        <w:t xml:space="preserve">[Probable] </w:t>
      </w:r>
      <w:r>
        <w:t xml:space="preserve">Modelo: SaaS por suscripción con implementación/servicios profesionales; pricing no público (venta enterprise, cotización por proyecto). Sin versión gratuita ni trial.</w:t>
      </w:r>
    </w:p>
    <w:p>
      <w:pPr>
        <w:pStyle w:val="ListParagraph"/>
        <w:numPr>
          <w:ilvl w:val="0"/>
          <w:numId w:val="2"/>
        </w:numPr>
        <w:spacing w:after="60" w:line="264"/>
      </w:pPr>
      <w:r>
        <w:rPr>
          <w:b/>
          <w:bCs/>
          <w:color w:val="B07000"/>
          <w:sz w:val="18"/>
          <w:szCs w:val="18"/>
        </w:rPr>
        <w:t xml:space="preserve">[Probable] </w:t>
      </w:r>
      <w:r>
        <w:t xml:space="preserve">Tecnología declarada: IoT, IA/Machine Learning, cloud, Big Data, mapas digitales integrados, motor de reglas de negocio configurable.</w:t>
      </w:r>
    </w:p>
    <w:p>
      <w:pPr>
        <w:pStyle w:val="Heading1"/>
      </w:pPr>
      <w:r>
        <w:t xml:space="preserve">3. Perfil de Booster AI (según repositorio)</w:t>
      </w:r>
    </w:p>
    <w:p>
      <w:pPr>
        <w:spacing w:after="120" w:line="276"/>
      </w:pPr>
      <w:r>
        <w:rPr>
          <w:b/>
          <w:bCs/>
          <w:color w:val="2E7D32"/>
          <w:sz w:val="18"/>
          <w:szCs w:val="18"/>
        </w:rPr>
        <w:t xml:space="preserve">[Seguro] </w:t>
      </w:r>
      <w:r>
        <w:t xml:space="preserve">Marketplace B2B de logística sostenible que conecta generadores de carga con transportistas, optimizando retornos vacíos (empty-leg matching) y certificando huella de carbono bajo GLEC v3.0 / GHG Protocol / ISO 14064. Arquitectura greenfield, cero deuda técnica, foco en mercado chileno (cumplimiento SII/DTE, Carta Porte, Ley 19.628).</w:t>
      </w:r>
    </w:p>
    <w:p>
      <w:pPr>
        <w:pStyle w:val="Heading2"/>
      </w:pPr>
      <w:r>
        <w:t xml:space="preserve">3.1 Capacidades en el monorepo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b/>
                <w:bCs/>
                <w:color w:val="FFFFFF"/>
                <w:sz w:val="19"/>
                <w:szCs w:val="19"/>
              </w:rPr>
              <w:t xml:space="preserve">Componente</w:t>
            </w:r>
          </w:p>
        </w:tc>
        <w:tc>
          <w:tcPr>
            <w:tcW w:type="dxa" w:w="636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b/>
                <w:bCs/>
                <w:color w:val="FFFFFF"/>
                <w:sz w:val="19"/>
                <w:szCs w:val="19"/>
              </w:rPr>
              <w:t xml:space="preserve">Función</w:t>
            </w:r>
          </w:p>
        </w:tc>
      </w:tr>
      <w:tr>
        <w:trPr>
          <w:tblHeader w:val="false"/>
        </w:trPr>
        <w:tc>
          <w:tcPr>
            <w:tcW w:type="dxa" w:w="30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jc w:val="left"/>
            </w:pPr>
            <w:r>
              <w:rPr>
                <w:b/>
                <w:bCs/>
                <w:color w:val="000000"/>
                <w:sz w:val="19"/>
                <w:szCs w:val="19"/>
              </w:rPr>
              <w:t xml:space="preserve">matching-engine + matching-algorithm</w:t>
            </w:r>
          </w:p>
        </w:tc>
        <w:tc>
          <w:tcPr>
            <w:tcW w:type="dxa" w:w="63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000000"/>
                <w:sz w:val="19"/>
                <w:szCs w:val="19"/>
              </w:rPr>
              <w:t xml:space="preserve">Emparejamiento carrier-based de carga y retornos vacíos: el corazón del marketplace.</w:t>
            </w:r>
          </w:p>
        </w:tc>
      </w:tr>
      <w:tr>
        <w:trPr>
          <w:tblHeader w:val="false"/>
        </w:trPr>
        <w:tc>
          <w:tcPr>
            <w:tcW w:type="dxa" w:w="30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jc w:val="left"/>
            </w:pPr>
            <w:r>
              <w:rPr>
                <w:b/>
                <w:bCs/>
                <w:color w:val="000000"/>
                <w:sz w:val="19"/>
                <w:szCs w:val="19"/>
              </w:rPr>
              <w:t xml:space="preserve">carbon-calculator + certificate-generator</w:t>
            </w:r>
          </w:p>
        </w:tc>
        <w:tc>
          <w:tcPr>
            <w:tcW w:type="dxa" w:w="63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000000"/>
                <w:sz w:val="19"/>
                <w:szCs w:val="19"/>
              </w:rPr>
              <w:t xml:space="preserve">Cálculo y certificación de huella bajo estándares internacionales (GLEC/GHG/ISO 14064).</w:t>
            </w:r>
          </w:p>
        </w:tc>
      </w:tr>
      <w:tr>
        <w:trPr>
          <w:tblHeader w:val="false"/>
        </w:trPr>
        <w:tc>
          <w:tcPr>
            <w:tcW w:type="dxa" w:w="30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jc w:val="left"/>
            </w:pPr>
            <w:r>
              <w:rPr>
                <w:b/>
                <w:bCs/>
                <w:color w:val="000000"/>
                <w:sz w:val="19"/>
                <w:szCs w:val="19"/>
              </w:rPr>
              <w:t xml:space="preserve">factoring-engine + pricing-engine</w:t>
            </w:r>
          </w:p>
        </w:tc>
        <w:tc>
          <w:tcPr>
            <w:tcW w:type="dxa" w:w="63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000000"/>
                <w:sz w:val="19"/>
                <w:szCs w:val="19"/>
              </w:rPr>
              <w:t xml:space="preserve">Instrumentos financieros (factoring de fletes) y motor de precios.</w:t>
            </w:r>
          </w:p>
        </w:tc>
      </w:tr>
      <w:tr>
        <w:trPr>
          <w:tblHeader w:val="false"/>
        </w:trPr>
        <w:tc>
          <w:tcPr>
            <w:tcW w:type="dxa" w:w="30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jc w:val="left"/>
            </w:pPr>
            <w:r>
              <w:rPr>
                <w:b/>
                <w:bCs/>
                <w:color w:val="000000"/>
                <w:sz w:val="19"/>
                <w:szCs w:val="19"/>
              </w:rPr>
              <w:t xml:space="preserve">document-service (DTE, Carta Porte, OCR)</w:t>
            </w:r>
          </w:p>
        </w:tc>
        <w:tc>
          <w:tcPr>
            <w:tcW w:type="dxa" w:w="63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000000"/>
                <w:sz w:val="19"/>
                <w:szCs w:val="19"/>
              </w:rPr>
              <w:t xml:space="preserve">Documentos tributarios electrónicos chilenos y carta de porte.</w:t>
            </w:r>
          </w:p>
        </w:tc>
      </w:tr>
      <w:tr>
        <w:trPr>
          <w:tblHeader w:val="false"/>
        </w:trPr>
        <w:tc>
          <w:tcPr>
            <w:tcW w:type="dxa" w:w="30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jc w:val="left"/>
            </w:pPr>
            <w:r>
              <w:rPr>
                <w:b/>
                <w:bCs/>
                <w:color w:val="000000"/>
                <w:sz w:val="19"/>
                <w:szCs w:val="19"/>
              </w:rPr>
              <w:t xml:space="preserve">telemetry-tcp-gateway + telemetry-processor</w:t>
            </w:r>
          </w:p>
        </w:tc>
        <w:tc>
          <w:tcPr>
            <w:tcW w:type="dxa" w:w="63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000000"/>
                <w:sz w:val="19"/>
                <w:szCs w:val="19"/>
              </w:rPr>
              <w:t xml:space="preserve">Ingesta de telemetría GPS (Teltonika/Codec8) para trazabilidad y datos de emisiones reales.</w:t>
            </w:r>
          </w:p>
        </w:tc>
      </w:tr>
      <w:tr>
        <w:trPr>
          <w:tblHeader w:val="false"/>
        </w:trPr>
        <w:tc>
          <w:tcPr>
            <w:tcW w:type="dxa" w:w="30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jc w:val="left"/>
            </w:pPr>
            <w:r>
              <w:rPr>
                <w:b/>
                <w:bCs/>
                <w:color w:val="000000"/>
                <w:sz w:val="19"/>
                <w:szCs w:val="19"/>
              </w:rPr>
              <w:t xml:space="preserve">web (PWA multi-rol) + whatsapp-bot</w:t>
            </w:r>
          </w:p>
        </w:tc>
        <w:tc>
          <w:tcPr>
            <w:tcW w:type="dxa" w:w="63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000000"/>
                <w:sz w:val="19"/>
                <w:szCs w:val="19"/>
              </w:rPr>
              <w:t xml:space="preserve">App para shipper/carrier/driver/admin/stakeholder; bot WhatsApp con NLU.</w:t>
            </w:r>
          </w:p>
        </w:tc>
      </w:tr>
      <w:tr>
        <w:trPr>
          <w:tblHeader w:val="false"/>
        </w:trPr>
        <w:tc>
          <w:tcPr>
            <w:tcW w:type="dxa" w:w="30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jc w:val="left"/>
            </w:pPr>
            <w:r>
              <w:rPr>
                <w:b/>
                <w:bCs/>
                <w:color w:val="000000"/>
                <w:sz w:val="19"/>
                <w:szCs w:val="19"/>
              </w:rPr>
              <w:t xml:space="preserve">driver-scoring + coaching-generator</w:t>
            </w:r>
          </w:p>
        </w:tc>
        <w:tc>
          <w:tcPr>
            <w:tcW w:type="dxa" w:w="63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000000"/>
                <w:sz w:val="19"/>
                <w:szCs w:val="19"/>
              </w:rPr>
              <w:t xml:space="preserve">Puntuación de conductores y coaching (eficiencia/seguridad).</w:t>
            </w:r>
          </w:p>
        </w:tc>
      </w:tr>
    </w:tbl>
    <w:p>
      <w:r>
        <w:br w:type="page"/>
      </w:r>
    </w:p>
    <w:p>
      <w:pPr>
        <w:pStyle w:val="Heading1"/>
      </w:pPr>
      <w:r>
        <w:t xml:space="preserve">4. Comparación por eje</w:t>
      </w:r>
    </w:p>
    <w:p>
      <w:pPr>
        <w:pStyle w:val="Heading2"/>
      </w:pPr>
      <w:r>
        <w:t xml:space="preserve">4.1 Naturaleza del producto (resumen)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b/>
                <w:bCs/>
                <w:color w:val="FFFFFF"/>
                <w:sz w:val="19"/>
                <w:szCs w:val="19"/>
              </w:rPr>
              <w:t xml:space="preserve">Dimensión</w:t>
            </w:r>
          </w:p>
        </w:tc>
        <w:tc>
          <w:tcPr>
            <w:tcW w:type="dxa" w:w="358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b/>
                <w:bCs/>
                <w:color w:val="FFFFFF"/>
                <w:sz w:val="19"/>
                <w:szCs w:val="19"/>
              </w:rPr>
              <w:t xml:space="preserve">UNIGIS</w:t>
            </w:r>
          </w:p>
        </w:tc>
        <w:tc>
          <w:tcPr>
            <w:tcW w:type="dxa" w:w="358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b/>
                <w:bCs/>
                <w:color w:val="FFFFFF"/>
                <w:sz w:val="19"/>
                <w:szCs w:val="19"/>
              </w:rPr>
              <w:t xml:space="preserve">Booster AI</w:t>
            </w:r>
          </w:p>
        </w:tc>
      </w:tr>
      <w:tr>
        <w:trPr>
          <w:tblHeader w:val="false"/>
        </w:trPr>
        <w:tc>
          <w:tcPr>
            <w:tcW w:type="dxa" w:w="22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jc w:val="left"/>
            </w:pPr>
            <w:r>
              <w:rPr>
                <w:b/>
                <w:bCs/>
                <w:color w:val="000000"/>
                <w:sz w:val="19"/>
                <w:szCs w:val="19"/>
              </w:rPr>
              <w:t xml:space="preserve">Categoría</w:t>
            </w:r>
          </w:p>
        </w:tc>
        <w:tc>
          <w:tcPr>
            <w:tcW w:type="dxa" w:w="35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000000"/>
                <w:sz w:val="19"/>
                <w:szCs w:val="19"/>
              </w:rPr>
              <w:t xml:space="preserve">TMS de ejecución / última milla</w:t>
            </w:r>
          </w:p>
        </w:tc>
        <w:tc>
          <w:tcPr>
            <w:tcW w:type="dxa" w:w="35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000000"/>
                <w:sz w:val="19"/>
                <w:szCs w:val="19"/>
              </w:rPr>
              <w:t xml:space="preserve">Marketplace B2B + matching de retornos</w:t>
            </w:r>
          </w:p>
        </w:tc>
      </w:tr>
      <w:tr>
        <w:trPr>
          <w:tblHeader w:val="false"/>
        </w:trPr>
        <w:tc>
          <w:tcPr>
            <w:tcW w:type="dxa" w:w="22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jc w:val="left"/>
            </w:pPr>
            <w:r>
              <w:rPr>
                <w:b/>
                <w:bCs/>
                <w:color w:val="000000"/>
                <w:sz w:val="19"/>
                <w:szCs w:val="19"/>
              </w:rPr>
              <w:t xml:space="preserve">Lados del mercado</w:t>
            </w:r>
          </w:p>
        </w:tc>
        <w:tc>
          <w:tcPr>
            <w:tcW w:type="dxa" w:w="35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000000"/>
                <w:sz w:val="19"/>
                <w:szCs w:val="19"/>
              </w:rPr>
              <w:t xml:space="preserve">Un lado: el cliente gestiona su propia operación / sus clientes</w:t>
            </w:r>
          </w:p>
        </w:tc>
        <w:tc>
          <w:tcPr>
            <w:tcW w:type="dxa" w:w="35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000000"/>
                <w:sz w:val="19"/>
                <w:szCs w:val="19"/>
              </w:rPr>
              <w:t xml:space="preserve">Dos lados: red de cargadores y transportistas</w:t>
            </w:r>
          </w:p>
        </w:tc>
      </w:tr>
      <w:tr>
        <w:trPr>
          <w:tblHeader w:val="false"/>
        </w:trPr>
        <w:tc>
          <w:tcPr>
            <w:tcW w:type="dxa" w:w="22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jc w:val="left"/>
            </w:pPr>
            <w:r>
              <w:rPr>
                <w:b/>
                <w:bCs/>
                <w:color w:val="000000"/>
                <w:sz w:val="19"/>
                <w:szCs w:val="19"/>
              </w:rPr>
              <w:t xml:space="preserve">Crea liquidez de carga</w:t>
            </w:r>
          </w:p>
        </w:tc>
        <w:tc>
          <w:tcPr>
            <w:tcW w:type="dxa" w:w="35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000000"/>
                <w:sz w:val="19"/>
                <w:szCs w:val="19"/>
              </w:rPr>
              <w:t xml:space="preserve">No: organiza la carga que el cliente ya tiene</w:t>
            </w:r>
          </w:p>
        </w:tc>
        <w:tc>
          <w:tcPr>
            <w:tcW w:type="dxa" w:w="35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000000"/>
                <w:sz w:val="19"/>
                <w:szCs w:val="19"/>
              </w:rPr>
              <w:t xml:space="preserve">Sí: agrega oferta y demanda de terceros</w:t>
            </w:r>
          </w:p>
        </w:tc>
      </w:tr>
      <w:tr>
        <w:trPr>
          <w:tblHeader w:val="false"/>
        </w:trPr>
        <w:tc>
          <w:tcPr>
            <w:tcW w:type="dxa" w:w="22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jc w:val="left"/>
            </w:pPr>
            <w:r>
              <w:rPr>
                <w:b/>
                <w:bCs/>
                <w:color w:val="000000"/>
                <w:sz w:val="19"/>
                <w:szCs w:val="19"/>
              </w:rPr>
              <w:t xml:space="preserve">Madurez</w:t>
            </w:r>
          </w:p>
        </w:tc>
        <w:tc>
          <w:tcPr>
            <w:tcW w:type="dxa" w:w="35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000000"/>
                <w:sz w:val="19"/>
                <w:szCs w:val="19"/>
              </w:rPr>
              <w:t xml:space="preserve">~20 años, desplegado, multi-país</w:t>
            </w:r>
          </w:p>
        </w:tc>
        <w:tc>
          <w:tcPr>
            <w:tcW w:type="dxa" w:w="35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000000"/>
                <w:sz w:val="19"/>
                <w:szCs w:val="19"/>
              </w:rPr>
              <w:t xml:space="preserve">Greenfield, pre-comercial (objetivo TRL 10)</w:t>
            </w:r>
          </w:p>
        </w:tc>
      </w:tr>
      <w:tr>
        <w:trPr>
          <w:tblHeader w:val="false"/>
        </w:trPr>
        <w:tc>
          <w:tcPr>
            <w:tcW w:type="dxa" w:w="22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jc w:val="left"/>
            </w:pPr>
            <w:r>
              <w:rPr>
                <w:b/>
                <w:bCs/>
                <w:color w:val="000000"/>
                <w:sz w:val="19"/>
                <w:szCs w:val="19"/>
              </w:rPr>
              <w:t xml:space="preserve">Geografía</w:t>
            </w:r>
          </w:p>
        </w:tc>
        <w:tc>
          <w:tcPr>
            <w:tcW w:type="dxa" w:w="35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000000"/>
                <w:sz w:val="19"/>
                <w:szCs w:val="19"/>
              </w:rPr>
              <w:t xml:space="preserve">Regional LatAm (MX, CL, AR, BR…)</w:t>
            </w:r>
          </w:p>
        </w:tc>
        <w:tc>
          <w:tcPr>
            <w:tcW w:type="dxa" w:w="35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000000"/>
                <w:sz w:val="19"/>
                <w:szCs w:val="19"/>
              </w:rPr>
              <w:t xml:space="preserve">Chile-first (DTE/Carta Porte/Ley 19.628)</w:t>
            </w:r>
          </w:p>
        </w:tc>
      </w:tr>
      <w:tr>
        <w:trPr>
          <w:tblHeader w:val="false"/>
        </w:trPr>
        <w:tc>
          <w:tcPr>
            <w:tcW w:type="dxa" w:w="22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jc w:val="left"/>
            </w:pPr>
            <w:r>
              <w:rPr>
                <w:b/>
                <w:bCs/>
                <w:color w:val="000000"/>
                <w:sz w:val="19"/>
                <w:szCs w:val="19"/>
              </w:rPr>
              <w:t xml:space="preserve">Foco</w:t>
            </w:r>
          </w:p>
        </w:tc>
        <w:tc>
          <w:tcPr>
            <w:tcW w:type="dxa" w:w="35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000000"/>
                <w:sz w:val="19"/>
                <w:szCs w:val="19"/>
              </w:rPr>
              <w:t xml:space="preserve">Eficiencia operativa de distribución</w:t>
            </w:r>
          </w:p>
        </w:tc>
        <w:tc>
          <w:tcPr>
            <w:tcW w:type="dxa" w:w="35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000000"/>
                <w:sz w:val="19"/>
                <w:szCs w:val="19"/>
              </w:rPr>
              <w:t xml:space="preserve">Optimizar retornos vacíos + certificar CO₂</w:t>
            </w:r>
          </w:p>
        </w:tc>
      </w:tr>
    </w:tbl>
    <w:p>
      <w:pPr>
        <w:pStyle w:val="Heading2"/>
      </w:pPr>
      <w:r>
        <w:t xml:space="preserve">4.2 Tecnología y producto</w:t>
      </w:r>
    </w:p>
    <w:p>
      <w:pPr>
        <w:pStyle w:val="Heading3"/>
      </w:pPr>
      <w:r>
        <w:t xml:space="preserve">Pros de UNIGIS</w:t>
      </w:r>
    </w:p>
    <w:p>
      <w:pPr>
        <w:pStyle w:val="ListParagraph"/>
        <w:numPr>
          <w:ilvl w:val="0"/>
          <w:numId w:val="2"/>
        </w:numPr>
        <w:spacing w:after="60" w:line="264"/>
      </w:pPr>
      <w:r>
        <w:rPr>
          <w:b/>
          <w:bCs/>
          <w:color w:val="2E7D32"/>
          <w:sz w:val="18"/>
          <w:szCs w:val="18"/>
        </w:rPr>
        <w:t xml:space="preserve">[Seguro] </w:t>
      </w:r>
      <w:r>
        <w:t xml:space="preserve">Suite madura y de amplitud funcional probada: OMS, ruteo, tracking en tiempo real, app de entregas, liquidación de fletes, dashboards — todo en producción y con casos reales.</w:t>
      </w:r>
    </w:p>
    <w:p>
      <w:pPr>
        <w:pStyle w:val="ListParagraph"/>
        <w:numPr>
          <w:ilvl w:val="0"/>
          <w:numId w:val="2"/>
        </w:numPr>
        <w:spacing w:after="60" w:line="264"/>
      </w:pPr>
      <w:r>
        <w:rPr>
          <w:b/>
          <w:bCs/>
          <w:color w:val="B07000"/>
          <w:sz w:val="18"/>
          <w:szCs w:val="18"/>
        </w:rPr>
        <w:t xml:space="preserve">[Probable] </w:t>
      </w:r>
      <w:r>
        <w:t xml:space="preserve">Motor de reglas configurable y soporte explícito a operaciones 3PL/4PL multi-cliente; agnóstico de industria.</w:t>
      </w:r>
    </w:p>
    <w:p>
      <w:pPr>
        <w:pStyle w:val="ListParagraph"/>
        <w:numPr>
          <w:ilvl w:val="0"/>
          <w:numId w:val="2"/>
        </w:numPr>
        <w:spacing w:after="60" w:line="264"/>
      </w:pPr>
      <w:r>
        <w:rPr>
          <w:b/>
          <w:bCs/>
          <w:color w:val="B07000"/>
          <w:sz w:val="18"/>
          <w:szCs w:val="18"/>
        </w:rPr>
        <w:t xml:space="preserve">[Probable] </w:t>
      </w:r>
      <w:r>
        <w:t xml:space="preserve">Integraciones back-office (ERP/OMS/WMS) ya resueltas, reduciendo el tiempo a valor para empresas con sistemas legados.</w:t>
      </w:r>
    </w:p>
    <w:p>
      <w:pPr>
        <w:pStyle w:val="Heading3"/>
      </w:pPr>
      <w:r>
        <w:t xml:space="preserve">Contras de UNIGIS</w:t>
      </w:r>
    </w:p>
    <w:p>
      <w:pPr>
        <w:pStyle w:val="ListParagraph"/>
        <w:numPr>
          <w:ilvl w:val="0"/>
          <w:numId w:val="2"/>
        </w:numPr>
        <w:spacing w:after="60" w:line="264"/>
      </w:pPr>
      <w:r>
        <w:rPr>
          <w:b/>
          <w:bCs/>
          <w:color w:val="B07000"/>
          <w:sz w:val="18"/>
          <w:szCs w:val="18"/>
        </w:rPr>
        <w:t xml:space="preserve">[Probable] </w:t>
      </w:r>
      <w:r>
        <w:t xml:space="preserve">Plataforma establecida = previsible carga de personalización, implementación pesada y posible deuda técnica acumulada en ~20 años.</w:t>
      </w:r>
    </w:p>
    <w:p>
      <w:pPr>
        <w:pStyle w:val="ListParagraph"/>
        <w:numPr>
          <w:ilvl w:val="0"/>
          <w:numId w:val="2"/>
        </w:numPr>
        <w:spacing w:after="60" w:line="264"/>
      </w:pPr>
      <w:r>
        <w:rPr>
          <w:b/>
          <w:bCs/>
          <w:color w:val="B00020"/>
          <w:sz w:val="18"/>
          <w:szCs w:val="18"/>
        </w:rPr>
        <w:t xml:space="preserve">[Suposición] </w:t>
      </w:r>
      <w:r>
        <w:t xml:space="preserve">No expone capacidades de telemetría a nivel de dispositivo (GPS/Codec8) ni scoring de conductores como producto diferenciado; el foco es planificación y control, no datos crudos del vehículo.</w:t>
      </w:r>
    </w:p>
    <w:p>
      <w:pPr>
        <w:pStyle w:val="Heading3"/>
      </w:pPr>
      <w:r>
        <w:t xml:space="preserve">Pros de Booster</w:t>
      </w:r>
    </w:p>
    <w:p>
      <w:pPr>
        <w:pStyle w:val="ListParagraph"/>
        <w:numPr>
          <w:ilvl w:val="0"/>
          <w:numId w:val="2"/>
        </w:numPr>
        <w:spacing w:after="60" w:line="264"/>
      </w:pPr>
      <w:r>
        <w:rPr>
          <w:b/>
          <w:bCs/>
          <w:color w:val="2E7D32"/>
          <w:sz w:val="18"/>
          <w:szCs w:val="18"/>
        </w:rPr>
        <w:t xml:space="preserve">[Seguro] </w:t>
      </w:r>
      <w:r>
        <w:t xml:space="preserve">Arquitectura moderna greenfield, cero deuda técnica por diseño, type-safety end-to-end, observabilidad obligatoria (OTel), telemetría TCP nativa (Teltonika) e IA de matching como núcleo.</w:t>
      </w:r>
    </w:p>
    <w:p>
      <w:pPr>
        <w:pStyle w:val="ListParagraph"/>
        <w:numPr>
          <w:ilvl w:val="0"/>
          <w:numId w:val="2"/>
        </w:numPr>
        <w:spacing w:after="60" w:line="264"/>
      </w:pPr>
      <w:r>
        <w:rPr>
          <w:b/>
          <w:bCs/>
          <w:color w:val="2E7D32"/>
          <w:sz w:val="18"/>
          <w:szCs w:val="18"/>
        </w:rPr>
        <w:t xml:space="preserve">[Seguro] </w:t>
      </w:r>
      <w:r>
        <w:t xml:space="preserve">Pila vertical chilena: DTE/Carta Porte/OCR y factoring integrados — algo que un TMS regional genérico no trae de fábrica.</w:t>
      </w:r>
    </w:p>
    <w:p>
      <w:pPr>
        <w:pStyle w:val="Heading3"/>
      </w:pPr>
      <w:r>
        <w:t xml:space="preserve">Contras de Booster</w:t>
      </w:r>
    </w:p>
    <w:p>
      <w:pPr>
        <w:pStyle w:val="ListParagraph"/>
        <w:numPr>
          <w:ilvl w:val="0"/>
          <w:numId w:val="2"/>
        </w:numPr>
        <w:spacing w:after="60" w:line="264"/>
      </w:pPr>
      <w:r>
        <w:rPr>
          <w:b/>
          <w:bCs/>
          <w:color w:val="B07000"/>
          <w:sz w:val="18"/>
          <w:szCs w:val="18"/>
        </w:rPr>
        <w:t xml:space="preserve">[Probable] </w:t>
      </w:r>
      <w:r>
        <w:t xml:space="preserve">Sin despliegue comercial probado todavía: la amplitud funcional de un TMS maduro (liquidación, SLA, logística inversa, portales B2B/B2C) aún no está demostrada en producción.</w:t>
      </w:r>
    </w:p>
    <w:p>
      <w:pPr>
        <w:pStyle w:val="ListParagraph"/>
        <w:numPr>
          <w:ilvl w:val="0"/>
          <w:numId w:val="2"/>
        </w:numPr>
        <w:spacing w:after="60" w:line="264"/>
      </w:pPr>
      <w:r>
        <w:rPr>
          <w:b/>
          <w:bCs/>
          <w:color w:val="B07000"/>
          <w:sz w:val="18"/>
          <w:szCs w:val="18"/>
        </w:rPr>
        <w:t xml:space="preserve">[Probable] </w:t>
      </w:r>
      <w:r>
        <w:t xml:space="preserve">Riesgo de alcance: cubrir marketplace + carbono + factoring + telemetría + documentos es mucha superficie para una sola plataforma joven.</w:t>
      </w:r>
    </w:p>
    <w:p>
      <w:pPr>
        <w:pStyle w:val="Heading2"/>
      </w:pPr>
      <w:r>
        <w:t xml:space="preserve">4.3 Modelo de negocio y pricing</w:t>
      </w:r>
    </w:p>
    <w:p>
      <w:pPr>
        <w:pStyle w:val="ListParagraph"/>
        <w:numPr>
          <w:ilvl w:val="0"/>
          <w:numId w:val="2"/>
        </w:numPr>
        <w:spacing w:after="60" w:line="264"/>
      </w:pPr>
      <w:r>
        <w:rPr>
          <w:b/>
          <w:bCs/>
          <w:color w:val="B07000"/>
          <w:sz w:val="18"/>
          <w:szCs w:val="18"/>
        </w:rPr>
        <w:t xml:space="preserve">[Probable] </w:t>
      </w:r>
      <w:r>
        <w:rPr>
          <w:b/>
          <w:bCs/>
        </w:rPr>
        <w:t xml:space="preserve">UNIGIS — pro: </w:t>
      </w:r>
      <w:r>
        <w:t xml:space="preserve">modelo SaaS+servicios conocido y aceptado por áreas de TI/operaciones; ingreso recurrente predecible por licencia.</w:t>
      </w:r>
    </w:p>
    <w:p>
      <w:pPr>
        <w:pStyle w:val="ListParagraph"/>
        <w:numPr>
          <w:ilvl w:val="0"/>
          <w:numId w:val="2"/>
        </w:numPr>
        <w:spacing w:after="60" w:line="264"/>
      </w:pPr>
      <w:r>
        <w:rPr>
          <w:b/>
          <w:bCs/>
          <w:color w:val="B07000"/>
          <w:sz w:val="18"/>
          <w:szCs w:val="18"/>
        </w:rPr>
        <w:t xml:space="preserve">[Probable] </w:t>
      </w:r>
      <w:r>
        <w:rPr>
          <w:b/>
          <w:bCs/>
        </w:rPr>
        <w:t xml:space="preserve">UNIGIS — contra: </w:t>
      </w:r>
      <w:r>
        <w:t xml:space="preserve">cobra por gestionar costos; no captura valor del flete en sí. No genera ingreso por transacción de carga ni por liquidez de red.</w:t>
      </w:r>
    </w:p>
    <w:p>
      <w:pPr>
        <w:pStyle w:val="ListParagraph"/>
        <w:numPr>
          <w:ilvl w:val="0"/>
          <w:numId w:val="2"/>
        </w:numPr>
        <w:spacing w:after="60" w:line="264"/>
      </w:pPr>
      <w:r>
        <w:rPr>
          <w:b/>
          <w:bCs/>
          <w:color w:val="B07000"/>
          <w:sz w:val="18"/>
          <w:szCs w:val="18"/>
        </w:rPr>
        <w:t xml:space="preserve">[Probable] </w:t>
      </w:r>
      <w:r>
        <w:rPr>
          <w:b/>
          <w:bCs/>
        </w:rPr>
        <w:t xml:space="preserve">Booster — pro: </w:t>
      </w:r>
      <w:r>
        <w:t xml:space="preserve">monetización transaccional (take-rate del matching) + factoring + venta de certificación/datos ESG: múltiples vetas de ingreso ligadas al volumen de carga, no solo a licencias.</w:t>
      </w:r>
    </w:p>
    <w:p>
      <w:pPr>
        <w:pStyle w:val="ListParagraph"/>
        <w:numPr>
          <w:ilvl w:val="0"/>
          <w:numId w:val="2"/>
        </w:numPr>
        <w:spacing w:after="60" w:line="264"/>
      </w:pPr>
      <w:r>
        <w:rPr>
          <w:b/>
          <w:bCs/>
          <w:color w:val="2E7D32"/>
          <w:sz w:val="18"/>
          <w:szCs w:val="18"/>
        </w:rPr>
        <w:t xml:space="preserve">[Seguro] </w:t>
      </w:r>
      <w:r>
        <w:rPr>
          <w:b/>
          <w:bCs/>
        </w:rPr>
        <w:t xml:space="preserve">Booster — contra: </w:t>
      </w:r>
      <w:r>
        <w:t xml:space="preserve">el modelo marketplace exige resolver el problema del huevo y la gallina (liquidez de ambos lados) antes de monetizar; un TMS vende valor desde el primer cliente sin necesidad de red.</w:t>
      </w:r>
    </w:p>
    <w:p>
      <w:pPr>
        <w:pStyle w:val="Heading2"/>
      </w:pPr>
      <w:r>
        <w:t xml:space="preserve">4.4 Huella de carbono y ESG</w:t>
      </w:r>
    </w:p>
    <w:p>
      <w:pPr>
        <w:spacing w:after="120" w:line="276"/>
      </w:pPr>
      <w:r>
        <w:rPr>
          <w:b/>
          <w:bCs/>
          <w:color w:val="2E7D32"/>
          <w:sz w:val="18"/>
          <w:szCs w:val="18"/>
        </w:rPr>
        <w:t xml:space="preserve">[Seguro] </w:t>
      </w:r>
      <w:r>
        <w:rPr>
          <w:b/>
          <w:bCs/>
        </w:rPr>
        <w:t xml:space="preserve">Esta es la mayor brecha a favor de Booster. </w:t>
      </w:r>
      <w:r>
        <w:t xml:space="preserve">UNIGIS trata la sostenibilidad como un beneficio colateral de optimizar rutas (menos kilómetros → menos CO₂), no como un producto. Su contenido ambiental es divulgación de blog (2020), no un módulo de contabilidad de emisiones.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b/>
                <w:bCs/>
                <w:color w:val="FFFFFF"/>
                <w:sz w:val="19"/>
                <w:szCs w:val="19"/>
              </w:rPr>
              <w:t xml:space="preserve">Aspecto ESG</w:t>
            </w:r>
          </w:p>
        </w:tc>
        <w:tc>
          <w:tcPr>
            <w:tcW w:type="dxa" w:w="338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b/>
                <w:bCs/>
                <w:color w:val="FFFFFF"/>
                <w:sz w:val="19"/>
                <w:szCs w:val="19"/>
              </w:rPr>
              <w:t xml:space="preserve">UNIGIS</w:t>
            </w:r>
          </w:p>
        </w:tc>
        <w:tc>
          <w:tcPr>
            <w:tcW w:type="dxa" w:w="338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b/>
                <w:bCs/>
                <w:color w:val="FFFFFF"/>
                <w:sz w:val="19"/>
                <w:szCs w:val="19"/>
              </w:rPr>
              <w:t xml:space="preserve">Booster AI</w:t>
            </w:r>
          </w:p>
        </w:tc>
      </w:tr>
      <w:tr>
        <w:trPr>
          <w:tblHeader w:val="false"/>
        </w:trPr>
        <w:tc>
          <w:tcPr>
            <w:tcW w:type="dxa" w:w="26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jc w:val="left"/>
            </w:pPr>
            <w:r>
              <w:rPr>
                <w:b/>
                <w:bCs/>
                <w:color w:val="000000"/>
                <w:sz w:val="19"/>
                <w:szCs w:val="19"/>
              </w:rPr>
              <w:t xml:space="preserve">Reducción de CO₂</w:t>
            </w:r>
          </w:p>
        </w:tc>
        <w:tc>
          <w:tcPr>
            <w:tcW w:type="dxa" w:w="33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000000"/>
                <w:sz w:val="19"/>
                <w:szCs w:val="19"/>
              </w:rPr>
              <w:t xml:space="preserve">Indirecta, vía optimización de rutas</w:t>
            </w:r>
          </w:p>
        </w:tc>
        <w:tc>
          <w:tcPr>
            <w:tcW w:type="dxa" w:w="33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000000"/>
                <w:sz w:val="19"/>
                <w:szCs w:val="19"/>
              </w:rPr>
              <w:t xml:space="preserve">Estructural: el modelo elimina retornos vacíos</w:t>
            </w:r>
          </w:p>
        </w:tc>
      </w:tr>
      <w:tr>
        <w:trPr>
          <w:tblHeader w:val="false"/>
        </w:trPr>
        <w:tc>
          <w:tcPr>
            <w:tcW w:type="dxa" w:w="26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jc w:val="left"/>
            </w:pPr>
            <w:r>
              <w:rPr>
                <w:b/>
                <w:bCs/>
                <w:color w:val="000000"/>
                <w:sz w:val="19"/>
                <w:szCs w:val="19"/>
              </w:rPr>
              <w:t xml:space="preserve">Medición de huella</w:t>
            </w:r>
          </w:p>
        </w:tc>
        <w:tc>
          <w:tcPr>
            <w:tcW w:type="dxa" w:w="33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bCs/>
                <w:color w:val="B00020"/>
                <w:sz w:val="18"/>
                <w:szCs w:val="18"/>
              </w:rPr>
              <w:t xml:space="preserve">[Suposición] </w:t>
            </w:r>
            <w:r>
              <w:t xml:space="preserve">Sin módulo formal evidente</w:t>
            </w:r>
          </w:p>
        </w:tc>
        <w:tc>
          <w:tcPr>
            <w:tcW w:type="dxa" w:w="33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000000"/>
                <w:sz w:val="19"/>
                <w:szCs w:val="19"/>
              </w:rPr>
              <w:t xml:space="preserve">Cálculo dedicado (carbon-calculator)</w:t>
            </w:r>
          </w:p>
        </w:tc>
      </w:tr>
      <w:tr>
        <w:trPr>
          <w:tblHeader w:val="false"/>
        </w:trPr>
        <w:tc>
          <w:tcPr>
            <w:tcW w:type="dxa" w:w="26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jc w:val="left"/>
            </w:pPr>
            <w:r>
              <w:rPr>
                <w:b/>
                <w:bCs/>
                <w:color w:val="000000"/>
                <w:sz w:val="19"/>
                <w:szCs w:val="19"/>
              </w:rPr>
              <w:t xml:space="preserve">Estándares</w:t>
            </w:r>
          </w:p>
        </w:tc>
        <w:tc>
          <w:tcPr>
            <w:tcW w:type="dxa" w:w="33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bCs/>
                <w:color w:val="B00020"/>
                <w:sz w:val="18"/>
                <w:szCs w:val="18"/>
              </w:rPr>
              <w:t xml:space="preserve">[Suposición] </w:t>
            </w:r>
            <w:r>
              <w:t xml:space="preserve">No declara GLEC/ISO/GHG</w:t>
            </w:r>
          </w:p>
        </w:tc>
        <w:tc>
          <w:tcPr>
            <w:tcW w:type="dxa" w:w="33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000000"/>
                <w:sz w:val="19"/>
                <w:szCs w:val="19"/>
              </w:rPr>
              <w:t xml:space="preserve">GLEC v3.0, GHG Protocol, ISO 14064</w:t>
            </w:r>
          </w:p>
        </w:tc>
      </w:tr>
      <w:tr>
        <w:trPr>
          <w:tblHeader w:val="false"/>
        </w:trPr>
        <w:tc>
          <w:tcPr>
            <w:tcW w:type="dxa" w:w="26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jc w:val="left"/>
            </w:pPr>
            <w:r>
              <w:rPr>
                <w:b/>
                <w:bCs/>
                <w:color w:val="000000"/>
                <w:sz w:val="19"/>
                <w:szCs w:val="19"/>
              </w:rPr>
              <w:t xml:space="preserve">Certificación</w:t>
            </w:r>
          </w:p>
        </w:tc>
        <w:tc>
          <w:tcPr>
            <w:tcW w:type="dxa" w:w="33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000000"/>
                <w:sz w:val="19"/>
                <w:szCs w:val="19"/>
              </w:rPr>
              <w:t xml:space="preserve">No es un entregable del producto</w:t>
            </w:r>
          </w:p>
        </w:tc>
        <w:tc>
          <w:tcPr>
            <w:tcW w:type="dxa" w:w="33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000000"/>
                <w:sz w:val="19"/>
                <w:szCs w:val="19"/>
              </w:rPr>
              <w:t xml:space="preserve">Certificados verificables (producto)</w:t>
            </w:r>
          </w:p>
        </w:tc>
      </w:tr>
    </w:tbl>
    <w:p>
      <w:pPr>
        <w:pStyle w:val="ListParagraph"/>
        <w:numPr>
          <w:ilvl w:val="0"/>
          <w:numId w:val="2"/>
        </w:numPr>
        <w:spacing w:after="60" w:line="264"/>
      </w:pPr>
      <w:r>
        <w:rPr>
          <w:b/>
          <w:bCs/>
          <w:color w:val="B07000"/>
          <w:sz w:val="18"/>
          <w:szCs w:val="18"/>
        </w:rPr>
        <w:t xml:space="preserve">[Probable] </w:t>
      </w:r>
      <w:r>
        <w:rPr>
          <w:b/>
          <w:bCs/>
        </w:rPr>
        <w:t xml:space="preserve">Contra para Booster: </w:t>
      </w:r>
      <w:r>
        <w:t xml:space="preserve">la certificación solo vale si está auditada/acreditada por un tercero. “Implementar ISO 14064 en código” no equivale a estar certificado; la credibilidad ante el cliente final depende de verificación externa, no del cálculo interno.</w:t>
      </w:r>
    </w:p>
    <w:p>
      <w:pPr>
        <w:pStyle w:val="Heading2"/>
      </w:pPr>
      <w:r>
        <w:t xml:space="preserve">4.5 Marketplace y matching</w:t>
      </w:r>
    </w:p>
    <w:p>
      <w:pPr>
        <w:pStyle w:val="ListParagraph"/>
        <w:numPr>
          <w:ilvl w:val="0"/>
          <w:numId w:val="2"/>
        </w:numPr>
        <w:spacing w:after="60" w:line="264"/>
      </w:pPr>
      <w:r>
        <w:rPr>
          <w:b/>
          <w:bCs/>
          <w:color w:val="2E7D32"/>
          <w:sz w:val="18"/>
          <w:szCs w:val="18"/>
        </w:rPr>
        <w:t xml:space="preserve">[Seguro] </w:t>
      </w:r>
      <w:r>
        <w:rPr>
          <w:b/>
          <w:bCs/>
        </w:rPr>
        <w:t xml:space="preserve">Diferencia categórica: </w:t>
      </w:r>
      <w:r>
        <w:t xml:space="preserve">UNIGIS optimiza la carga que el cliente ya tiene (ruteo, consolidación, cubicaje); no agrega oferta/demanda de transportistas de terceros ni crea un mercado. Booster sí: su valor central es la liquidez de red y el emparejamiento de retornos vacíos entre empresas distintas.</w:t>
      </w:r>
    </w:p>
    <w:p>
      <w:pPr>
        <w:pStyle w:val="ListParagraph"/>
        <w:numPr>
          <w:ilvl w:val="0"/>
          <w:numId w:val="2"/>
        </w:numPr>
        <w:spacing w:after="60" w:line="264"/>
      </w:pPr>
      <w:r>
        <w:rPr>
          <w:b/>
          <w:bCs/>
          <w:color w:val="B07000"/>
          <w:sz w:val="18"/>
          <w:szCs w:val="18"/>
        </w:rPr>
        <w:t xml:space="preserve">[Probable] </w:t>
      </w:r>
      <w:r>
        <w:rPr>
          <w:b/>
          <w:bCs/>
        </w:rPr>
        <w:t xml:space="preserve">Pro UNIGIS: </w:t>
      </w:r>
      <w:r>
        <w:t xml:space="preserve">para un dueño de flota que solo quiere eficiencia interna, el matching de red de Booster es irrelevante; UNIGIS entrega valor sin depender de que exista una red.</w:t>
      </w:r>
    </w:p>
    <w:p>
      <w:pPr>
        <w:pStyle w:val="ListParagraph"/>
        <w:numPr>
          <w:ilvl w:val="0"/>
          <w:numId w:val="2"/>
        </w:numPr>
        <w:spacing w:after="60" w:line="264"/>
      </w:pPr>
      <w:r>
        <w:rPr>
          <w:b/>
          <w:bCs/>
          <w:color w:val="B07000"/>
          <w:sz w:val="18"/>
          <w:szCs w:val="18"/>
        </w:rPr>
        <w:t xml:space="preserve">[Probable] </w:t>
      </w:r>
      <w:r>
        <w:rPr>
          <w:b/>
          <w:bCs/>
        </w:rPr>
        <w:t xml:space="preserve">Pro Booster: </w:t>
      </w:r>
      <w:r>
        <w:t xml:space="preserve">captura un valor que UNIGIS estructuralmente no puede ofrecer —ingresos de backhaul para el transportista y capacidad más barata para el cargador— porque requiere intermediar entre múltiples actores.</w:t>
      </w:r>
    </w:p>
    <w:p>
      <w:pPr>
        <w:pStyle w:val="ListParagraph"/>
        <w:numPr>
          <w:ilvl w:val="0"/>
          <w:numId w:val="2"/>
        </w:numPr>
        <w:spacing w:after="60" w:line="264"/>
      </w:pPr>
      <w:r>
        <w:rPr>
          <w:b/>
          <w:bCs/>
          <w:color w:val="2E7D32"/>
          <w:sz w:val="18"/>
          <w:szCs w:val="18"/>
        </w:rPr>
        <w:t xml:space="preserve">[Seguro] </w:t>
      </w:r>
      <w:r>
        <w:rPr>
          <w:b/>
          <w:bCs/>
        </w:rPr>
        <w:t xml:space="preserve">Contra Booster: </w:t>
      </w:r>
      <w:r>
        <w:t xml:space="preserve">sin masa crítica de ambos lados, el matching no funciona. UNIGIS no enfrenta ese riesgo de arranque.</w:t>
      </w:r>
    </w:p>
    <w:p>
      <w:r>
        <w:br w:type="page"/>
      </w:r>
    </w:p>
    <w:p>
      <w:pPr>
        <w:pStyle w:val="Heading1"/>
      </w:pPr>
      <w:r>
        <w:t xml:space="preserve">5. Mapa de solapamiento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80"/>
        <w:gridCol w:w="2980"/>
      </w:tblGrid>
      <w:tr>
        <w:trPr>
          <w:tblHeader/>
        </w:trPr>
        <w:tc>
          <w:tcPr>
            <w:tcW w:type="dxa" w:w="34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b/>
                <w:bCs/>
                <w:color w:val="FFFFFF"/>
                <w:sz w:val="19"/>
                <w:szCs w:val="19"/>
              </w:rPr>
              <w:t xml:space="preserve">Capacidad</w:t>
            </w:r>
          </w:p>
        </w:tc>
        <w:tc>
          <w:tcPr>
            <w:tcW w:type="dxa" w:w="298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b/>
                <w:bCs/>
                <w:color w:val="FFFFFF"/>
                <w:sz w:val="19"/>
                <w:szCs w:val="19"/>
              </w:rPr>
              <w:t xml:space="preserve">UNIGIS</w:t>
            </w:r>
          </w:p>
        </w:tc>
        <w:tc>
          <w:tcPr>
            <w:tcW w:type="dxa" w:w="298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b/>
                <w:bCs/>
                <w:color w:val="FFFFFF"/>
                <w:sz w:val="19"/>
                <w:szCs w:val="19"/>
              </w:rPr>
              <w:t xml:space="preserve">Booster</w:t>
            </w:r>
          </w:p>
        </w:tc>
      </w:tr>
      <w:tr>
        <w:trPr>
          <w:tblHeader w:val="false"/>
        </w:trPr>
        <w:tc>
          <w:tcPr>
            <w:tcW w:type="dxa" w:w="34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jc w:val="left"/>
            </w:pPr>
            <w:r>
              <w:rPr>
                <w:b/>
                <w:bCs/>
                <w:color w:val="000000"/>
                <w:sz w:val="19"/>
                <w:szCs w:val="19"/>
              </w:rPr>
              <w:t xml:space="preserve">Ruteo / planificación distribución</w:t>
            </w:r>
          </w:p>
        </w:tc>
        <w:tc>
          <w:tcPr>
            <w:tcW w:type="dxa" w:w="2980"/>
            <w:tcBorders>
              <w:top w:val="single" w:color="BBBBBB" w:sz="1"/>
              <w:left w:val="single" w:color="BBBBBB" w:sz="1"/>
              <w:bottom w:val="single" w:color="BBBBBB" w:sz="1"/>
              <w:right w:val="single" w:color="BBBBBB" w:sz="1"/>
            </w:tcBorders>
            <w:shd w:fill="DDEBD8" w:val="clear"/>
            <w:tcMar>
              <w:top w:type="dxa" w:w="70"/>
              <w:left w:type="dxa" w:w="110"/>
              <w:bottom w:type="dxa" w:w="70"/>
              <w:right w:type="dxa" w:w="110"/>
            </w:tcMar>
            <w:vAlign w:val="center"/>
          </w:tcPr>
          <w:p>
            <w:pPr>
              <w:jc w:val="left"/>
            </w:pPr>
            <w:r>
              <w:rPr>
                <w:b w:val="false"/>
                <w:bCs w:val="false"/>
                <w:color w:val="000000"/>
                <w:sz w:val="19"/>
                <w:szCs w:val="19"/>
              </w:rPr>
              <w:t xml:space="preserve">Fuerte (core)</w:t>
            </w:r>
          </w:p>
        </w:tc>
        <w:tc>
          <w:tcPr>
            <w:tcW w:type="dxa" w:w="2980"/>
            <w:tcBorders>
              <w:top w:val="single" w:color="BBBBBB" w:sz="1"/>
              <w:left w:val="single" w:color="BBBBBB" w:sz="1"/>
              <w:bottom w:val="single" w:color="BBBBBB" w:sz="1"/>
              <w:right w:val="single" w:color="BBBBBB" w:sz="1"/>
            </w:tcBorders>
            <w:shd w:fill="FBE7C6" w:val="clear"/>
            <w:tcMar>
              <w:top w:type="dxa" w:w="70"/>
              <w:left w:type="dxa" w:w="110"/>
              <w:bottom w:type="dxa" w:w="70"/>
              <w:right w:type="dxa" w:w="110"/>
            </w:tcMar>
            <w:vAlign w:val="center"/>
          </w:tcPr>
          <w:p>
            <w:pPr>
              <w:jc w:val="left"/>
            </w:pPr>
            <w:r>
              <w:rPr>
                <w:b w:val="false"/>
                <w:bCs w:val="false"/>
                <w:color w:val="000000"/>
                <w:sz w:val="19"/>
                <w:szCs w:val="19"/>
              </w:rPr>
              <w:t xml:space="preserve">Parcial / no declarado como core</w:t>
            </w:r>
          </w:p>
        </w:tc>
      </w:tr>
      <w:tr>
        <w:trPr>
          <w:tblHeader w:val="false"/>
        </w:trPr>
        <w:tc>
          <w:tcPr>
            <w:tcW w:type="dxa" w:w="34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jc w:val="left"/>
            </w:pPr>
            <w:r>
              <w:rPr>
                <w:b/>
                <w:bCs/>
                <w:color w:val="000000"/>
                <w:sz w:val="19"/>
                <w:szCs w:val="19"/>
              </w:rPr>
              <w:t xml:space="preserve">Tracking GPS en tiempo real</w:t>
            </w:r>
          </w:p>
        </w:tc>
        <w:tc>
          <w:tcPr>
            <w:tcW w:type="dxa" w:w="2980"/>
            <w:tcBorders>
              <w:top w:val="single" w:color="BBBBBB" w:sz="1"/>
              <w:left w:val="single" w:color="BBBBBB" w:sz="1"/>
              <w:bottom w:val="single" w:color="BBBBBB" w:sz="1"/>
              <w:right w:val="single" w:color="BBBBBB" w:sz="1"/>
            </w:tcBorders>
            <w:shd w:fill="DDEBD8" w:val="clear"/>
            <w:tcMar>
              <w:top w:type="dxa" w:w="70"/>
              <w:left w:type="dxa" w:w="110"/>
              <w:bottom w:type="dxa" w:w="70"/>
              <w:right w:type="dxa" w:w="110"/>
            </w:tcMar>
            <w:vAlign w:val="center"/>
          </w:tcPr>
          <w:p>
            <w:pPr>
              <w:jc w:val="left"/>
            </w:pPr>
            <w:r>
              <w:rPr>
                <w:b w:val="false"/>
                <w:bCs w:val="false"/>
                <w:color w:val="000000"/>
                <w:sz w:val="19"/>
                <w:szCs w:val="19"/>
              </w:rPr>
              <w:t xml:space="preserve">Sí</w:t>
            </w:r>
          </w:p>
        </w:tc>
        <w:tc>
          <w:tcPr>
            <w:tcW w:type="dxa" w:w="2980"/>
            <w:tcBorders>
              <w:top w:val="single" w:color="BBBBBB" w:sz="1"/>
              <w:left w:val="single" w:color="BBBBBB" w:sz="1"/>
              <w:bottom w:val="single" w:color="BBBBBB" w:sz="1"/>
              <w:right w:val="single" w:color="BBBBBB" w:sz="1"/>
            </w:tcBorders>
            <w:shd w:fill="DDEBD8" w:val="clear"/>
            <w:tcMar>
              <w:top w:type="dxa" w:w="70"/>
              <w:left w:type="dxa" w:w="110"/>
              <w:bottom w:type="dxa" w:w="70"/>
              <w:right w:type="dxa" w:w="110"/>
            </w:tcMar>
            <w:vAlign w:val="center"/>
          </w:tcPr>
          <w:p>
            <w:pPr>
              <w:jc w:val="left"/>
            </w:pPr>
            <w:r>
              <w:rPr>
                <w:b w:val="false"/>
                <w:bCs w:val="false"/>
                <w:color w:val="000000"/>
                <w:sz w:val="19"/>
                <w:szCs w:val="19"/>
              </w:rPr>
              <w:t xml:space="preserve">Sí (telemetría nativa)</w:t>
            </w:r>
          </w:p>
        </w:tc>
      </w:tr>
      <w:tr>
        <w:trPr>
          <w:tblHeader w:val="false"/>
        </w:trPr>
        <w:tc>
          <w:tcPr>
            <w:tcW w:type="dxa" w:w="34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jc w:val="left"/>
            </w:pPr>
            <w:r>
              <w:rPr>
                <w:b/>
                <w:bCs/>
                <w:color w:val="000000"/>
                <w:sz w:val="19"/>
                <w:szCs w:val="19"/>
              </w:rPr>
              <w:t xml:space="preserve">App de conductor / prueba entrega</w:t>
            </w:r>
          </w:p>
        </w:tc>
        <w:tc>
          <w:tcPr>
            <w:tcW w:type="dxa" w:w="2980"/>
            <w:tcBorders>
              <w:top w:val="single" w:color="BBBBBB" w:sz="1"/>
              <w:left w:val="single" w:color="BBBBBB" w:sz="1"/>
              <w:bottom w:val="single" w:color="BBBBBB" w:sz="1"/>
              <w:right w:val="single" w:color="BBBBBB" w:sz="1"/>
            </w:tcBorders>
            <w:shd w:fill="DDEBD8" w:val="clear"/>
            <w:tcMar>
              <w:top w:type="dxa" w:w="70"/>
              <w:left w:type="dxa" w:w="110"/>
              <w:bottom w:type="dxa" w:w="70"/>
              <w:right w:type="dxa" w:w="110"/>
            </w:tcMar>
            <w:vAlign w:val="center"/>
          </w:tcPr>
          <w:p>
            <w:pPr>
              <w:jc w:val="left"/>
            </w:pPr>
            <w:r>
              <w:rPr>
                <w:b w:val="false"/>
                <w:bCs w:val="false"/>
                <w:color w:val="000000"/>
                <w:sz w:val="19"/>
                <w:szCs w:val="19"/>
              </w:rPr>
              <w:t xml:space="preserve">Sí</w:t>
            </w:r>
          </w:p>
        </w:tc>
        <w:tc>
          <w:tcPr>
            <w:tcW w:type="dxa" w:w="2980"/>
            <w:tcBorders>
              <w:top w:val="single" w:color="BBBBBB" w:sz="1"/>
              <w:left w:val="single" w:color="BBBBBB" w:sz="1"/>
              <w:bottom w:val="single" w:color="BBBBBB" w:sz="1"/>
              <w:right w:val="single" w:color="BBBBBB" w:sz="1"/>
            </w:tcBorders>
            <w:shd w:fill="DDEBD8" w:val="clear"/>
            <w:tcMar>
              <w:top w:type="dxa" w:w="70"/>
              <w:left w:type="dxa" w:w="110"/>
              <w:bottom w:type="dxa" w:w="70"/>
              <w:right w:type="dxa" w:w="110"/>
            </w:tcMar>
            <w:vAlign w:val="center"/>
          </w:tcPr>
          <w:p>
            <w:pPr>
              <w:jc w:val="left"/>
            </w:pPr>
            <w:r>
              <w:rPr>
                <w:b w:val="false"/>
                <w:bCs w:val="false"/>
                <w:color w:val="000000"/>
                <w:sz w:val="19"/>
                <w:szCs w:val="19"/>
              </w:rPr>
              <w:t xml:space="preserve">Sí (rol driver)</w:t>
            </w:r>
          </w:p>
        </w:tc>
      </w:tr>
      <w:tr>
        <w:trPr>
          <w:tblHeader w:val="false"/>
        </w:trPr>
        <w:tc>
          <w:tcPr>
            <w:tcW w:type="dxa" w:w="34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jc w:val="left"/>
            </w:pPr>
            <w:r>
              <w:rPr>
                <w:b/>
                <w:bCs/>
                <w:color w:val="000000"/>
                <w:sz w:val="19"/>
                <w:szCs w:val="19"/>
              </w:rPr>
              <w:t xml:space="preserve">Tarifas / liquidación de fletes</w:t>
            </w:r>
          </w:p>
        </w:tc>
        <w:tc>
          <w:tcPr>
            <w:tcW w:type="dxa" w:w="2980"/>
            <w:tcBorders>
              <w:top w:val="single" w:color="BBBBBB" w:sz="1"/>
              <w:left w:val="single" w:color="BBBBBB" w:sz="1"/>
              <w:bottom w:val="single" w:color="BBBBBB" w:sz="1"/>
              <w:right w:val="single" w:color="BBBBBB" w:sz="1"/>
            </w:tcBorders>
            <w:shd w:fill="DDEBD8" w:val="clear"/>
            <w:tcMar>
              <w:top w:type="dxa" w:w="70"/>
              <w:left w:type="dxa" w:w="110"/>
              <w:bottom w:type="dxa" w:w="70"/>
              <w:right w:type="dxa" w:w="110"/>
            </w:tcMar>
            <w:vAlign w:val="center"/>
          </w:tcPr>
          <w:p>
            <w:pPr>
              <w:jc w:val="left"/>
            </w:pPr>
            <w:r>
              <w:rPr>
                <w:b w:val="false"/>
                <w:bCs w:val="false"/>
                <w:color w:val="000000"/>
                <w:sz w:val="19"/>
                <w:szCs w:val="19"/>
              </w:rPr>
              <w:t xml:space="preserve">Sí (core)</w:t>
            </w:r>
          </w:p>
        </w:tc>
        <w:tc>
          <w:tcPr>
            <w:tcW w:type="dxa" w:w="2980"/>
            <w:tcBorders>
              <w:top w:val="single" w:color="BBBBBB" w:sz="1"/>
              <w:left w:val="single" w:color="BBBBBB" w:sz="1"/>
              <w:bottom w:val="single" w:color="BBBBBB" w:sz="1"/>
              <w:right w:val="single" w:color="BBBBBB" w:sz="1"/>
            </w:tcBorders>
            <w:shd w:fill="DDEBD8" w:val="clear"/>
            <w:tcMar>
              <w:top w:type="dxa" w:w="70"/>
              <w:left w:type="dxa" w:w="110"/>
              <w:bottom w:type="dxa" w:w="70"/>
              <w:right w:type="dxa" w:w="110"/>
            </w:tcMar>
            <w:vAlign w:val="center"/>
          </w:tcPr>
          <w:p>
            <w:pPr>
              <w:jc w:val="left"/>
            </w:pPr>
            <w:r>
              <w:rPr>
                <w:b w:val="false"/>
                <w:bCs w:val="false"/>
                <w:color w:val="000000"/>
                <w:sz w:val="19"/>
                <w:szCs w:val="19"/>
              </w:rPr>
              <w:t xml:space="preserve">Pricing + factoring</w:t>
            </w:r>
          </w:p>
        </w:tc>
      </w:tr>
      <w:tr>
        <w:trPr>
          <w:tblHeader w:val="false"/>
        </w:trPr>
        <w:tc>
          <w:tcPr>
            <w:tcW w:type="dxa" w:w="34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jc w:val="left"/>
            </w:pPr>
            <w:r>
              <w:rPr>
                <w:b/>
                <w:bCs/>
                <w:color w:val="000000"/>
                <w:sz w:val="19"/>
                <w:szCs w:val="19"/>
              </w:rPr>
              <w:t xml:space="preserve">Marketplace de carga (2 lados)</w:t>
            </w:r>
          </w:p>
        </w:tc>
        <w:tc>
          <w:tcPr>
            <w:tcW w:type="dxa" w:w="2980"/>
            <w:tcBorders>
              <w:top w:val="single" w:color="BBBBBB" w:sz="1"/>
              <w:left w:val="single" w:color="BBBBBB" w:sz="1"/>
              <w:bottom w:val="single" w:color="BBBBBB" w:sz="1"/>
              <w:right w:val="single" w:color="BBBBBB" w:sz="1"/>
            </w:tcBorders>
            <w:shd w:fill="F6C9C9" w:val="clear"/>
            <w:tcMar>
              <w:top w:type="dxa" w:w="70"/>
              <w:left w:type="dxa" w:w="110"/>
              <w:bottom w:type="dxa" w:w="70"/>
              <w:right w:type="dxa" w:w="110"/>
            </w:tcMar>
            <w:vAlign w:val="center"/>
          </w:tcPr>
          <w:p>
            <w:pPr>
              <w:jc w:val="left"/>
            </w:pPr>
            <w:r>
              <w:rPr>
                <w:b w:val="false"/>
                <w:bCs w:val="false"/>
                <w:color w:val="000000"/>
                <w:sz w:val="19"/>
                <w:szCs w:val="19"/>
              </w:rPr>
              <w:t xml:space="preserve">No</w:t>
            </w:r>
          </w:p>
        </w:tc>
        <w:tc>
          <w:tcPr>
            <w:tcW w:type="dxa" w:w="2980"/>
            <w:tcBorders>
              <w:top w:val="single" w:color="BBBBBB" w:sz="1"/>
              <w:left w:val="single" w:color="BBBBBB" w:sz="1"/>
              <w:bottom w:val="single" w:color="BBBBBB" w:sz="1"/>
              <w:right w:val="single" w:color="BBBBBB" w:sz="1"/>
            </w:tcBorders>
            <w:shd w:fill="DDEBD8" w:val="clear"/>
            <w:tcMar>
              <w:top w:type="dxa" w:w="70"/>
              <w:left w:type="dxa" w:w="110"/>
              <w:bottom w:type="dxa" w:w="70"/>
              <w:right w:type="dxa" w:w="110"/>
            </w:tcMar>
            <w:vAlign w:val="center"/>
          </w:tcPr>
          <w:p>
            <w:pPr>
              <w:jc w:val="left"/>
            </w:pPr>
            <w:r>
              <w:rPr>
                <w:b w:val="false"/>
                <w:bCs w:val="false"/>
                <w:color w:val="000000"/>
                <w:sz w:val="19"/>
                <w:szCs w:val="19"/>
              </w:rPr>
              <w:t xml:space="preserve">Sí (core)</w:t>
            </w:r>
          </w:p>
        </w:tc>
      </w:tr>
      <w:tr>
        <w:trPr>
          <w:tblHeader w:val="false"/>
        </w:trPr>
        <w:tc>
          <w:tcPr>
            <w:tcW w:type="dxa" w:w="34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jc w:val="left"/>
            </w:pPr>
            <w:r>
              <w:rPr>
                <w:b/>
                <w:bCs/>
                <w:color w:val="000000"/>
                <w:sz w:val="19"/>
                <w:szCs w:val="19"/>
              </w:rPr>
              <w:t xml:space="preserve">Matching de retornos vacíos</w:t>
            </w:r>
          </w:p>
        </w:tc>
        <w:tc>
          <w:tcPr>
            <w:tcW w:type="dxa" w:w="2980"/>
            <w:tcBorders>
              <w:top w:val="single" w:color="BBBBBB" w:sz="1"/>
              <w:left w:val="single" w:color="BBBBBB" w:sz="1"/>
              <w:bottom w:val="single" w:color="BBBBBB" w:sz="1"/>
              <w:right w:val="single" w:color="BBBBBB" w:sz="1"/>
            </w:tcBorders>
            <w:shd w:fill="F6C9C9" w:val="clear"/>
            <w:tcMar>
              <w:top w:type="dxa" w:w="70"/>
              <w:left w:type="dxa" w:w="110"/>
              <w:bottom w:type="dxa" w:w="70"/>
              <w:right w:type="dxa" w:w="110"/>
            </w:tcMar>
            <w:vAlign w:val="center"/>
          </w:tcPr>
          <w:p>
            <w:pPr>
              <w:jc w:val="left"/>
            </w:pPr>
            <w:r>
              <w:rPr>
                <w:b w:val="false"/>
                <w:bCs w:val="false"/>
                <w:color w:val="000000"/>
                <w:sz w:val="19"/>
                <w:szCs w:val="19"/>
              </w:rPr>
              <w:t xml:space="preserve">No</w:t>
            </w:r>
          </w:p>
        </w:tc>
        <w:tc>
          <w:tcPr>
            <w:tcW w:type="dxa" w:w="2980"/>
            <w:tcBorders>
              <w:top w:val="single" w:color="BBBBBB" w:sz="1"/>
              <w:left w:val="single" w:color="BBBBBB" w:sz="1"/>
              <w:bottom w:val="single" w:color="BBBBBB" w:sz="1"/>
              <w:right w:val="single" w:color="BBBBBB" w:sz="1"/>
            </w:tcBorders>
            <w:shd w:fill="DDEBD8" w:val="clear"/>
            <w:tcMar>
              <w:top w:type="dxa" w:w="70"/>
              <w:left w:type="dxa" w:w="110"/>
              <w:bottom w:type="dxa" w:w="70"/>
              <w:right w:type="dxa" w:w="110"/>
            </w:tcMar>
            <w:vAlign w:val="center"/>
          </w:tcPr>
          <w:p>
            <w:pPr>
              <w:jc w:val="left"/>
            </w:pPr>
            <w:r>
              <w:rPr>
                <w:b w:val="false"/>
                <w:bCs w:val="false"/>
                <w:color w:val="000000"/>
                <w:sz w:val="19"/>
                <w:szCs w:val="19"/>
              </w:rPr>
              <w:t xml:space="preserve">Sí (core)</w:t>
            </w:r>
          </w:p>
        </w:tc>
      </w:tr>
      <w:tr>
        <w:trPr>
          <w:tblHeader w:val="false"/>
        </w:trPr>
        <w:tc>
          <w:tcPr>
            <w:tcW w:type="dxa" w:w="34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jc w:val="left"/>
            </w:pPr>
            <w:r>
              <w:rPr>
                <w:b/>
                <w:bCs/>
                <w:color w:val="000000"/>
                <w:sz w:val="19"/>
                <w:szCs w:val="19"/>
              </w:rPr>
              <w:t xml:space="preserve">Certificación de huella CO₂</w:t>
            </w:r>
          </w:p>
        </w:tc>
        <w:tc>
          <w:tcPr>
            <w:tcW w:type="dxa" w:w="2980"/>
            <w:tcBorders>
              <w:top w:val="single" w:color="BBBBBB" w:sz="1"/>
              <w:left w:val="single" w:color="BBBBBB" w:sz="1"/>
              <w:bottom w:val="single" w:color="BBBBBB" w:sz="1"/>
              <w:right w:val="single" w:color="BBBBBB" w:sz="1"/>
            </w:tcBorders>
            <w:shd w:fill="F6C9C9" w:val="clear"/>
            <w:tcMar>
              <w:top w:type="dxa" w:w="70"/>
              <w:left w:type="dxa" w:w="110"/>
              <w:bottom w:type="dxa" w:w="70"/>
              <w:right w:type="dxa" w:w="110"/>
            </w:tcMar>
            <w:vAlign w:val="center"/>
          </w:tcPr>
          <w:p>
            <w:pPr>
              <w:jc w:val="left"/>
            </w:pPr>
            <w:r>
              <w:rPr>
                <w:b w:val="false"/>
                <w:bCs w:val="false"/>
                <w:color w:val="000000"/>
                <w:sz w:val="19"/>
                <w:szCs w:val="19"/>
              </w:rPr>
              <w:t xml:space="preserve">No</w:t>
            </w:r>
          </w:p>
        </w:tc>
        <w:tc>
          <w:tcPr>
            <w:tcW w:type="dxa" w:w="2980"/>
            <w:tcBorders>
              <w:top w:val="single" w:color="BBBBBB" w:sz="1"/>
              <w:left w:val="single" w:color="BBBBBB" w:sz="1"/>
              <w:bottom w:val="single" w:color="BBBBBB" w:sz="1"/>
              <w:right w:val="single" w:color="BBBBBB" w:sz="1"/>
            </w:tcBorders>
            <w:shd w:fill="DDEBD8" w:val="clear"/>
            <w:tcMar>
              <w:top w:type="dxa" w:w="70"/>
              <w:left w:type="dxa" w:w="110"/>
              <w:bottom w:type="dxa" w:w="70"/>
              <w:right w:type="dxa" w:w="110"/>
            </w:tcMar>
            <w:vAlign w:val="center"/>
          </w:tcPr>
          <w:p>
            <w:pPr>
              <w:jc w:val="left"/>
            </w:pPr>
            <w:r>
              <w:rPr>
                <w:b w:val="false"/>
                <w:bCs w:val="false"/>
                <w:color w:val="000000"/>
                <w:sz w:val="19"/>
                <w:szCs w:val="19"/>
              </w:rPr>
              <w:t xml:space="preserve">Sí (core)</w:t>
            </w:r>
          </w:p>
        </w:tc>
      </w:tr>
      <w:tr>
        <w:trPr>
          <w:tblHeader w:val="false"/>
        </w:trPr>
        <w:tc>
          <w:tcPr>
            <w:tcW w:type="dxa" w:w="34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jc w:val="left"/>
            </w:pPr>
            <w:r>
              <w:rPr>
                <w:b/>
                <w:bCs/>
                <w:color w:val="000000"/>
                <w:sz w:val="19"/>
                <w:szCs w:val="19"/>
              </w:rPr>
              <w:t xml:space="preserve">Documentos tributarios CL (DTE/Carta Porte)</w:t>
            </w:r>
          </w:p>
        </w:tc>
        <w:tc>
          <w:tcPr>
            <w:tcW w:type="dxa" w:w="2980"/>
            <w:tcBorders>
              <w:top w:val="single" w:color="BBBBBB" w:sz="1"/>
              <w:left w:val="single" w:color="BBBBBB" w:sz="1"/>
              <w:bottom w:val="single" w:color="BBBBBB" w:sz="1"/>
              <w:right w:val="single" w:color="BBBBBB" w:sz="1"/>
            </w:tcBorders>
            <w:shd w:fill="FBE7C6" w:val="clear"/>
            <w:tcMar>
              <w:top w:type="dxa" w:w="70"/>
              <w:left w:type="dxa" w:w="110"/>
              <w:bottom w:type="dxa" w:w="70"/>
              <w:right w:type="dxa" w:w="110"/>
            </w:tcMar>
            <w:vAlign w:val="center"/>
          </w:tcPr>
          <w:p>
            <w:pPr>
              <w:jc w:val="left"/>
            </w:pPr>
            <w:r>
              <w:rPr>
                <w:b/>
                <w:bCs/>
                <w:color w:val="B00020"/>
                <w:sz w:val="18"/>
                <w:szCs w:val="18"/>
              </w:rPr>
              <w:t xml:space="preserve">[Suposición] </w:t>
            </w:r>
            <w:r>
              <w:t xml:space="preserve">No evidente</w:t>
            </w:r>
          </w:p>
        </w:tc>
        <w:tc>
          <w:tcPr>
            <w:tcW w:type="dxa" w:w="2980"/>
            <w:tcBorders>
              <w:top w:val="single" w:color="BBBBBB" w:sz="1"/>
              <w:left w:val="single" w:color="BBBBBB" w:sz="1"/>
              <w:bottom w:val="single" w:color="BBBBBB" w:sz="1"/>
              <w:right w:val="single" w:color="BBBBBB" w:sz="1"/>
            </w:tcBorders>
            <w:shd w:fill="DDEBD8" w:val="clear"/>
            <w:tcMar>
              <w:top w:type="dxa" w:w="70"/>
              <w:left w:type="dxa" w:w="110"/>
              <w:bottom w:type="dxa" w:w="70"/>
              <w:right w:type="dxa" w:w="110"/>
            </w:tcMar>
            <w:vAlign w:val="center"/>
          </w:tcPr>
          <w:p>
            <w:pPr>
              <w:jc w:val="left"/>
            </w:pPr>
            <w:r>
              <w:rPr>
                <w:b w:val="false"/>
                <w:bCs w:val="false"/>
                <w:color w:val="000000"/>
                <w:sz w:val="19"/>
                <w:szCs w:val="19"/>
              </w:rPr>
              <w:t xml:space="preserve">Sí</w:t>
            </w:r>
          </w:p>
        </w:tc>
      </w:tr>
      <w:tr>
        <w:trPr>
          <w:tblHeader w:val="false"/>
        </w:trPr>
        <w:tc>
          <w:tcPr>
            <w:tcW w:type="dxa" w:w="34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jc w:val="left"/>
            </w:pPr>
            <w:r>
              <w:rPr>
                <w:b/>
                <w:bCs/>
                <w:color w:val="000000"/>
                <w:sz w:val="19"/>
                <w:szCs w:val="19"/>
              </w:rPr>
              <w:t xml:space="preserve">Madurez / despliegue comercial</w:t>
            </w:r>
          </w:p>
        </w:tc>
        <w:tc>
          <w:tcPr>
            <w:tcW w:type="dxa" w:w="2980"/>
            <w:tcBorders>
              <w:top w:val="single" w:color="BBBBBB" w:sz="1"/>
              <w:left w:val="single" w:color="BBBBBB" w:sz="1"/>
              <w:bottom w:val="single" w:color="BBBBBB" w:sz="1"/>
              <w:right w:val="single" w:color="BBBBBB" w:sz="1"/>
            </w:tcBorders>
            <w:shd w:fill="DDEBD8" w:val="clear"/>
            <w:tcMar>
              <w:top w:type="dxa" w:w="70"/>
              <w:left w:type="dxa" w:w="110"/>
              <w:bottom w:type="dxa" w:w="70"/>
              <w:right w:type="dxa" w:w="110"/>
            </w:tcMar>
            <w:vAlign w:val="center"/>
          </w:tcPr>
          <w:p>
            <w:pPr>
              <w:jc w:val="left"/>
            </w:pPr>
            <w:r>
              <w:rPr>
                <w:b w:val="false"/>
                <w:bCs w:val="false"/>
                <w:color w:val="000000"/>
                <w:sz w:val="19"/>
                <w:szCs w:val="19"/>
              </w:rPr>
              <w:t xml:space="preserve">Alta</w:t>
            </w:r>
          </w:p>
        </w:tc>
        <w:tc>
          <w:tcPr>
            <w:tcW w:type="dxa" w:w="2980"/>
            <w:tcBorders>
              <w:top w:val="single" w:color="BBBBBB" w:sz="1"/>
              <w:left w:val="single" w:color="BBBBBB" w:sz="1"/>
              <w:bottom w:val="single" w:color="BBBBBB" w:sz="1"/>
              <w:right w:val="single" w:color="BBBBBB" w:sz="1"/>
            </w:tcBorders>
            <w:shd w:fill="F6C9C9" w:val="clear"/>
            <w:tcMar>
              <w:top w:type="dxa" w:w="70"/>
              <w:left w:type="dxa" w:w="110"/>
              <w:bottom w:type="dxa" w:w="70"/>
              <w:right w:type="dxa" w:w="110"/>
            </w:tcMar>
            <w:vAlign w:val="center"/>
          </w:tcPr>
          <w:p>
            <w:pPr>
              <w:jc w:val="left"/>
            </w:pPr>
            <w:r>
              <w:rPr>
                <w:b w:val="false"/>
                <w:bCs w:val="false"/>
                <w:color w:val="000000"/>
                <w:sz w:val="19"/>
                <w:szCs w:val="19"/>
              </w:rPr>
              <w:t xml:space="preserve">Baja (en desarrollo)</w:t>
            </w:r>
          </w:p>
        </w:tc>
      </w:tr>
    </w:tbl>
    <w:p>
      <w:pPr>
        <w:spacing w:after="120" w:line="276"/>
      </w:pPr>
      <w:r>
        <w:rPr>
          <w:b/>
          <w:bCs/>
        </w:rPr>
        <w:t xml:space="preserve">Lectura: </w:t>
      </w:r>
      <w:r>
        <w:t xml:space="preserve">el solapamiento se concentra en las cuatro primeras filas (capa de ejecución/operación). Las filas de marketplace, retornos vacíos y carbono son territorio exclusivo de Booster; la madurez es territorio exclusivo de UNIGIS.</w:t>
      </w:r>
    </w:p>
    <w:p>
      <w:pPr>
        <w:pStyle w:val="Heading1"/>
      </w:pPr>
      <w:r>
        <w:t xml:space="preserve">6. Pros y contras netos para Booster</w:t>
      </w:r>
    </w:p>
    <w:p>
      <w:pPr>
        <w:pStyle w:val="Heading2"/>
      </w:pPr>
      <w:r>
        <w:t xml:space="preserve">A favor de Booster (dónde gana)</w:t>
      </w:r>
    </w:p>
    <w:p>
      <w:pPr>
        <w:pStyle w:val="ListParagraph"/>
        <w:numPr>
          <w:ilvl w:val="0"/>
          <w:numId w:val="2"/>
        </w:numPr>
        <w:spacing w:after="60" w:line="264"/>
      </w:pPr>
      <w:r>
        <w:t xml:space="preserve">Modelo de negocio defendible que UNIGIS no puede copiar sin convertirse en otra empresa: red de dos lados + monetización transaccional.</w:t>
      </w:r>
    </w:p>
    <w:p>
      <w:pPr>
        <w:pStyle w:val="ListParagraph"/>
        <w:numPr>
          <w:ilvl w:val="0"/>
          <w:numId w:val="2"/>
        </w:numPr>
        <w:spacing w:after="60" w:line="264"/>
      </w:pPr>
      <w:r>
        <w:t xml:space="preserve">Carbono/ESG como producto de primera clase, no como folleto: ventana real frente a un incumbente que lo trata como subproducto.</w:t>
      </w:r>
    </w:p>
    <w:p>
      <w:pPr>
        <w:pStyle w:val="ListParagraph"/>
        <w:numPr>
          <w:ilvl w:val="0"/>
          <w:numId w:val="2"/>
        </w:numPr>
        <w:spacing w:after="60" w:line="264"/>
      </w:pPr>
      <w:r>
        <w:t xml:space="preserve">Stack vertical chileno (DTE, Carta Porte, factoring) que un TMS regional genérico no trae integrado.</w:t>
      </w:r>
    </w:p>
    <w:p>
      <w:pPr>
        <w:pStyle w:val="ListParagraph"/>
        <w:numPr>
          <w:ilvl w:val="0"/>
          <w:numId w:val="2"/>
        </w:numPr>
        <w:spacing w:after="60" w:line="264"/>
      </w:pPr>
      <w:r>
        <w:t xml:space="preserve">Arquitectura moderna sin deuda técnica: ventaja de velocidad de iteración a mediano plazo.</w:t>
      </w:r>
    </w:p>
    <w:p>
      <w:pPr>
        <w:pStyle w:val="Heading2"/>
      </w:pPr>
      <w:r>
        <w:t xml:space="preserve">En contra de Booster (dónde pierde o se arriesga)</w:t>
      </w:r>
    </w:p>
    <w:p>
      <w:pPr>
        <w:pStyle w:val="ListParagraph"/>
        <w:numPr>
          <w:ilvl w:val="0"/>
          <w:numId w:val="2"/>
        </w:numPr>
        <w:spacing w:after="60" w:line="264"/>
      </w:pPr>
      <w:r>
        <w:t xml:space="preserve">Madurez y tracción: UNIGIS ya está en producción con clientes; Booster aún no. En una venta a operaciones, “funciona hoy” vence a “mejor arquitectura”.</w:t>
      </w:r>
    </w:p>
    <w:p>
      <w:pPr>
        <w:pStyle w:val="ListParagraph"/>
        <w:numPr>
          <w:ilvl w:val="0"/>
          <w:numId w:val="2"/>
        </w:numPr>
        <w:spacing w:after="60" w:line="264"/>
      </w:pPr>
      <w:r>
        <w:t xml:space="preserve">Profundidad operativa del TMS (SLA, liquidación, logística inversa, portales B2B/B2C maduros) que Booster tendrá que construir y probar.</w:t>
      </w:r>
    </w:p>
    <w:p>
      <w:pPr>
        <w:pStyle w:val="ListParagraph"/>
        <w:numPr>
          <w:ilvl w:val="0"/>
          <w:numId w:val="2"/>
        </w:numPr>
        <w:spacing w:after="60" w:line="264"/>
      </w:pPr>
      <w:r>
        <w:t xml:space="preserve">Riesgo del marketplace: sin liquidez de ambos lados, la propuesta central no funciona; UNIGIS entrega valor desde el primer cliente.</w:t>
      </w:r>
    </w:p>
    <w:p>
      <w:pPr>
        <w:pStyle w:val="ListParagraph"/>
        <w:numPr>
          <w:ilvl w:val="0"/>
          <w:numId w:val="2"/>
        </w:numPr>
        <w:spacing w:after="60" w:line="264"/>
      </w:pPr>
      <w:r>
        <w:rPr>
          <w:b/>
          <w:bCs/>
          <w:color w:val="B07000"/>
          <w:sz w:val="18"/>
          <w:szCs w:val="18"/>
        </w:rPr>
        <w:t xml:space="preserve">[Probable] </w:t>
      </w:r>
      <w:r>
        <w:t xml:space="preserve">Riesgo de credibilidad ESG: la certificación necesita verificación de tercero acreditado para valer ante el cliente; el cálculo interno no basta.</w:t>
      </w:r>
    </w:p>
    <w:p>
      <w:pPr>
        <w:pStyle w:val="Heading1"/>
      </w:pPr>
      <w:r>
        <w:t xml:space="preserve">7. Recomendaciones</w:t>
      </w:r>
    </w:p>
    <w:p>
      <w:pPr>
        <w:pStyle w:val="ListParagraph"/>
        <w:numPr>
          <w:ilvl w:val="0"/>
          <w:numId w:val="2"/>
        </w:numPr>
        <w:spacing w:after="60" w:line="264"/>
      </w:pPr>
      <w:r>
        <w:rPr>
          <w:b/>
          <w:bCs/>
        </w:rPr>
        <w:t xml:space="preserve">No posicionar a UNIGIS como rival frontal. </w:t>
      </w:r>
      <w:r>
        <w:t xml:space="preserve">Posicionar a Booster como capa de red + sostenibilidad sobre/junto a la operación, no como “TMS mejor”. Pelear en el terreno del TMS maduro es pelear donde el incumbente es más fuerte.</w:t>
      </w:r>
    </w:p>
    <w:p>
      <w:pPr>
        <w:pStyle w:val="ListParagraph"/>
        <w:numPr>
          <w:ilvl w:val="0"/>
          <w:numId w:val="2"/>
        </w:numPr>
        <w:spacing w:after="60" w:line="264"/>
      </w:pPr>
      <w:r>
        <w:rPr>
          <w:b/>
          <w:bCs/>
        </w:rPr>
        <w:t xml:space="preserve">Explorar integración antes que sustitución. </w:t>
      </w:r>
      <w:r>
        <w:t xml:space="preserve">Un cliente con UNIGIS desplegado es candidato a conectar su carga al marketplace de Booster sin arrancar su TMS. Definir una estrategia de coexistencia/API.</w:t>
      </w:r>
    </w:p>
    <w:p>
      <w:pPr>
        <w:pStyle w:val="ListParagraph"/>
        <w:numPr>
          <w:ilvl w:val="0"/>
          <w:numId w:val="2"/>
        </w:numPr>
        <w:spacing w:after="60" w:line="264"/>
      </w:pPr>
      <w:r>
        <w:rPr>
          <w:b/>
          <w:bCs/>
        </w:rPr>
        <w:t xml:space="preserve">Blindar el diferenciador ESG. </w:t>
      </w:r>
      <w:r>
        <w:t xml:space="preserve">Asegurar verificación por tercero acreditado (no solo cálculo interno) para que la certificación sea un activo vendible, no una afirmación.</w:t>
      </w:r>
    </w:p>
    <w:p>
      <w:pPr>
        <w:pStyle w:val="ListParagraph"/>
        <w:numPr>
          <w:ilvl w:val="0"/>
          <w:numId w:val="2"/>
        </w:numPr>
        <w:spacing w:after="60" w:line="264"/>
      </w:pPr>
      <w:r>
        <w:rPr>
          <w:b/>
          <w:bCs/>
        </w:rPr>
        <w:t xml:space="preserve">Atacar primero el lado más escaso del marketplace </w:t>
      </w:r>
      <w:r>
        <w:t xml:space="preserve">para resolver liquidez antes de competir en amplitud funcional con TMS establecidos.</w:t>
      </w:r>
    </w:p>
    <w:p>
      <w:pPr>
        <w:pStyle w:val="ListParagraph"/>
        <w:numPr>
          <w:ilvl w:val="0"/>
          <w:numId w:val="2"/>
        </w:numPr>
        <w:spacing w:after="60" w:line="264"/>
      </w:pPr>
      <w:r>
        <w:rPr>
          <w:b/>
          <w:bCs/>
        </w:rPr>
        <w:t xml:space="preserve">Revisar al competidor correcto. </w:t>
      </w:r>
      <w:r>
        <w:t xml:space="preserve">El siguiente benchmark debería ser contra marketplaces de carga / freight-matching regionales, no contra otro TMS. Ahí está la amenaza real al modelo de Booster.</w:t>
      </w:r>
    </w:p>
    <w:p>
      <w:pPr>
        <w:pBdr>
          <w:top w:val="single" w:color="BBBBBB" w:sz="6" w:space="6"/>
        </w:pBdr>
        <w:spacing w:after="60" w:before="240"/>
      </w:pPr>
      <w:r>
        <w:rPr>
          <w:b/>
          <w:bCs/>
          <w:color w:val="1F3864"/>
          <w:sz w:val="22"/>
          <w:szCs w:val="22"/>
        </w:rPr>
        <w:t xml:space="preserve">Fuentes</w:t>
      </w:r>
    </w:p>
    <w:p>
      <w:pPr>
        <w:pStyle w:val="ListParagraph"/>
        <w:numPr>
          <w:ilvl w:val="0"/>
          <w:numId w:val="2"/>
        </w:numPr>
        <w:spacing w:after="40"/>
      </w:pPr>
      <w:hyperlink w:history="1" r:id="rIdacbgwiguefvyd25dnqf0s">
        <w:r>
          <w:rPr>
            <w:rStyle w:val="Hyperlink"/>
          </w:rPr>
          <w:t xml:space="preserve">UNIGIS — Gestión Integral del Transporte (EN)</w:t>
        </w:r>
      </w:hyperlink>
    </w:p>
    <w:p>
      <w:pPr>
        <w:pStyle w:val="ListParagraph"/>
        <w:numPr>
          <w:ilvl w:val="0"/>
          <w:numId w:val="2"/>
        </w:numPr>
        <w:spacing w:after="40"/>
      </w:pPr>
      <w:hyperlink w:history="1" r:id="rId9daool7lec-cvq4cvzenr">
        <w:r>
          <w:rPr>
            <w:rStyle w:val="Hyperlink"/>
          </w:rPr>
          <w:t xml:space="preserve">UNIGIS — Soluciones</w:t>
        </w:r>
      </w:hyperlink>
    </w:p>
    <w:p>
      <w:pPr>
        <w:pStyle w:val="ListParagraph"/>
        <w:numPr>
          <w:ilvl w:val="0"/>
          <w:numId w:val="2"/>
        </w:numPr>
        <w:spacing w:after="40"/>
      </w:pPr>
      <w:hyperlink w:history="1" r:id="rIdtfyn76vglwucgqakvumlp">
        <w:r>
          <w:rPr>
            <w:rStyle w:val="Hyperlink"/>
          </w:rPr>
          <w:t xml:space="preserve">UNIGIS — Última Milla, Tecnología y Medio Ambiente</w:t>
        </w:r>
      </w:hyperlink>
    </w:p>
    <w:p>
      <w:pPr>
        <w:pStyle w:val="ListParagraph"/>
        <w:numPr>
          <w:ilvl w:val="0"/>
          <w:numId w:val="2"/>
        </w:numPr>
        <w:spacing w:after="40"/>
      </w:pPr>
      <w:hyperlink w:history="1" r:id="rIddtplug_f5qaz3oo54ahkj">
        <w:r>
          <w:rPr>
            <w:rStyle w:val="Hyperlink"/>
          </w:rPr>
          <w:t xml:space="preserve">Unigis Chile — Revista Logistec</w:t>
        </w:r>
      </w:hyperlink>
    </w:p>
    <w:p>
      <w:pPr>
        <w:pStyle w:val="ListParagraph"/>
        <w:numPr>
          <w:ilvl w:val="0"/>
          <w:numId w:val="2"/>
        </w:numPr>
        <w:spacing w:after="40"/>
      </w:pPr>
      <w:hyperlink w:history="1" r:id="rIdil4rqt4c5nnmxumhsqojx">
        <w:r>
          <w:rPr>
            <w:rStyle w:val="Hyperlink"/>
          </w:rPr>
          <w:t xml:space="preserve">UNIGIS — Capterra (pricing/SaaS)</w:t>
        </w:r>
      </w:hyperlink>
    </w:p>
    <w:p>
      <w:pPr>
        <w:pStyle w:val="ListParagraph"/>
        <w:numPr>
          <w:ilvl w:val="0"/>
          <w:numId w:val="2"/>
        </w:numPr>
        <w:spacing w:after="40"/>
      </w:pPr>
      <w:r>
        <w:t xml:space="preserve">Booster AI — CLAUDE.md (repositorio, solo lectura)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Confidencial · Booster AI · </w:t>
    </w:r>
    <w:r>
      <w:rPr>
        <w:color w:val="595959"/>
        <w:sz w:val="16"/>
        <w:szCs w:val="16"/>
      </w:rPr>
      <w:t xml:space="preserve">Página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595959"/>
        <w:sz w:val="16"/>
        <w:szCs w:val="16"/>
      </w:rPr>
      <w:t xml:space="preserve">Estudio de Mercado · UNIGIS vs. Booster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4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acbgwiguefvyd25dnqf0s" Type="http://schemas.openxmlformats.org/officeDocument/2006/relationships/hyperlink" Target="https://www.unigis.com/en/transportation-management/" TargetMode="External"/><Relationship Id="rId9daool7lec-cvq4cvzenr" Type="http://schemas.openxmlformats.org/officeDocument/2006/relationships/hyperlink" Target="https://www.unigis.com/soluciones/" TargetMode="External"/><Relationship Id="rIdtfyn76vglwucgqakvumlp" Type="http://schemas.openxmlformats.org/officeDocument/2006/relationships/hyperlink" Target="https://www.unigis.com/ultima-milla-tecnologia-y-medio-ambiente/" TargetMode="External"/><Relationship Id="rIddtplug_f5qaz3oo54ahkj" Type="http://schemas.openxmlformats.org/officeDocument/2006/relationships/hyperlink" Target="https://www.revistalogistec.com/digital/road-show/3328-unigis-chile-gestion-integral-del-transporte-y-distribucion" TargetMode="External"/><Relationship Id="rIdil4rqt4c5nnmxumhsqojx" Type="http://schemas.openxmlformats.org/officeDocument/2006/relationships/hyperlink" Target="https://www.capterra.com/p/220211/Unigis/"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2026-06-15T21:35:31.441Z</dcterms:created>
  <dcterms:modified xsi:type="dcterms:W3CDTF">2026-06-15T21:35:31.441Z</dcterms:modified>
</cp:coreProperties>
</file>

<file path=docProps/custom.xml><?xml version="1.0" encoding="utf-8"?>
<Properties xmlns="http://schemas.openxmlformats.org/officeDocument/2006/custom-properties" xmlns:vt="http://schemas.openxmlformats.org/officeDocument/2006/docPropsVTypes"/>
</file>