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F4E9C"/>
          <w:sz w:val="20"/>
          <w:szCs w:val="20"/>
        </w:rPr>
        <w:t xml:space="preserve">DIVE 2026 글로벌 데이터 해커톤</w:t>
      </w:r>
    </w:p>
    <w:p>
      <w:pPr>
        <w:spacing w:after="300"/>
      </w:pPr>
      <w:r>
        <w:rPr>
          <w:color w:val="5A5A5A"/>
          <w:sz w:val="20"/>
          <w:szCs w:val="20"/>
        </w:rPr>
        <w:t xml:space="preserve">부산교통공사 × 짐캐리 트랙</w:t>
      </w:r>
    </w:p>
    <w:p>
      <w:pPr>
        <w:spacing w:after="200"/>
      </w:pPr>
      <w:r>
        <w:rPr>
          <w:b/>
          <w:bCs/>
          <w:color w:val="0F1B3D"/>
          <w:sz w:val="40"/>
          <w:szCs w:val="40"/>
        </w:rPr>
        <w:t xml:space="preserve">짐 없는 여정, 막힘 없는 부산</w:t>
      </w:r>
    </w:p>
    <w:p>
      <w:pPr>
        <w:spacing w:after="400"/>
      </w:pPr>
      <w:r>
        <w:rPr>
          <w:b/>
          <w:bCs/>
          <w:color w:val="1F4E9C"/>
          <w:sz w:val="24"/>
          <w:szCs w:val="24"/>
        </w:rPr>
        <w:t xml:space="preserve">AI 기반 No-Carrier 스마트 여행 어시스턴트 기획 제안서</w:t>
      </w:r>
    </w:p>
    <w:p>
      <w:pPr>
        <w:pBdr>
          <w:top w:val="single" w:color="0F1B3D" w:sz="6" w:space="8"/>
        </w:pBdr>
        <w:spacing w:before="200"/>
      </w:pPr>
      <w:r>
        <w:t xml:space="preserve"/>
      </w:r>
    </w:p>
    <w:p>
      <w:pPr>
        <w:spacing w:after="120" w:line="300"/>
      </w:pPr>
      <w:r>
        <w:rPr>
          <w:color w:val="222222"/>
          <w:sz w:val="20"/>
          <w:szCs w:val="20"/>
        </w:rPr>
        <w:t xml:space="preserve">본 제안서는 부산교통공사(공공 · 도시철도 운영)와 ㈜짐캐리(민간 · 여행 짐 보관·배송)가 제공한 11종 데이터를 기반으로, 관광객의 이동 편의성을 향상시키는 AI 서비스를 기획한 문서입니다. 팀이 수행 중인 ETRI 제주관광데이터 활용 과제에서 축적한 관광객 세분화·동선 분석 역량을 결합하여, 부산 도시철도와 짐 물류 데이터를 융합한 서비스 모델을 제안합니다.</w:t>
      </w:r>
    </w:p>
    <w:p>
      <w:r>
        <w:br w:type="page"/>
      </w:r>
    </w:p>
    <w:p>
      <w:pPr>
        <w:pStyle w:val="Heading1"/>
        <w:pBdr>
          <w:bottom w:val="single" w:color="0F1B3D" w:sz="12" w:space="4"/>
        </w:pBdr>
        <w:spacing w:after="200" w:before="400"/>
      </w:pPr>
      <w:r>
        <w:rPr>
          <w:b/>
          <w:bCs/>
          <w:color w:val="1F4E9C"/>
          <w:sz w:val="30"/>
          <w:szCs w:val="30"/>
        </w:rPr>
        <w:t xml:space="preserve">1. </w:t>
      </w:r>
      <w:r>
        <w:rPr>
          <w:b/>
          <w:bCs/>
          <w:color w:val="0F1B3D"/>
          <w:sz w:val="30"/>
          <w:szCs w:val="30"/>
        </w:rPr>
        <w:t xml:space="preserve">배경 및 문제 정의</w:t>
      </w:r>
    </w:p>
    <w:p>
      <w:pPr>
        <w:pStyle w:val="Heading2"/>
        <w:spacing w:after="120" w:before="260"/>
      </w:pPr>
      <w:r>
        <w:rPr>
          <w:b/>
          <w:bCs/>
          <w:color w:val="1F4E9C"/>
          <w:sz w:val="24"/>
          <w:szCs w:val="24"/>
        </w:rPr>
        <w:t xml:space="preserve">1.1 프로젝트 배경</w:t>
      </w:r>
    </w:p>
    <w:p>
      <w:pPr>
        <w:spacing w:after="120" w:line="300"/>
      </w:pPr>
      <w:r>
        <w:rPr>
          <w:color w:val="222222"/>
          <w:sz w:val="20"/>
          <w:szCs w:val="20"/>
        </w:rPr>
        <w:t xml:space="preserve">부산교통공사는 도시철도 1~4호선 114개 역사와 이동편의 인프라를 운영해온 공공기관이며, ㈜짐캐리는 2014년부터 전국 주요 거점에서 여행 짐 보관·배송 서비스를 운영해온 민간기업입니다. 양 기관은 DIVE 2026 해커톤을 통해 공공데이터와 민간데이터를 융합하여 부산을 찾는 관광객의 여정을 개선할 아이디어를 발굴하고자 합니다.</w:t>
      </w:r>
    </w:p>
    <w:p>
      <w:pPr>
        <w:spacing w:after="120" w:line="300"/>
      </w:pPr>
      <w:r>
        <w:rPr>
          <w:color w:val="222222"/>
          <w:sz w:val="20"/>
          <w:szCs w:val="20"/>
        </w:rPr>
        <w:t xml:space="preserve">발제사가 제시한 미션은 다음과 같습니다.</w:t>
      </w:r>
    </w:p>
    <w:p>
      <w:pPr>
        <w:pBdr>
          <w:top w:val="single" w:color="1F4E9C" w:sz="12" w:space="8"/>
          <w:bottom w:val="single" w:color="1F4E9C" w:sz="12" w:space="8"/>
          <w:left w:val="single" w:color="1F4E9C" w:sz="12" w:space="8"/>
          <w:right w:val="single" w:color="1F4E9C" w:sz="12" w:space="8"/>
        </w:pBdr>
        <w:shd w:fill="F2F4F8" w:val="clear"/>
        <w:spacing w:after="200" w:before="100"/>
        <w:ind w:left="200" w:right="200"/>
      </w:pPr>
      <w:r>
        <w:rPr>
          <w:b/>
          <w:bCs/>
          <w:color w:val="0F1B3D"/>
          <w:sz w:val="22"/>
          <w:szCs w:val="22"/>
        </w:rPr>
        <w:t xml:space="preserve">관광객 이동 불편 해소를 위한 AI 기반 스마트 여행 어시스턴트 개발</w:t>
      </w:r>
    </w:p>
    <w:p>
      <w:pPr>
        <w:pStyle w:val="Heading2"/>
        <w:spacing w:after="120" w:before="260"/>
      </w:pPr>
      <w:r>
        <w:rPr>
          <w:b/>
          <w:bCs/>
          <w:color w:val="1F4E9C"/>
          <w:sz w:val="24"/>
          <w:szCs w:val="24"/>
        </w:rPr>
        <w:t xml:space="preserve">1.2 문제 정의: 짐이 주는 무게, 이동의 한계</w:t>
      </w:r>
    </w:p>
    <w:p>
      <w:pPr>
        <w:spacing w:after="120" w:line="300"/>
      </w:pPr>
      <w:r>
        <w:rPr>
          <w:color w:val="222222"/>
          <w:sz w:val="20"/>
          <w:szCs w:val="20"/>
        </w:rPr>
        <w:t xml:space="preserve">발제사 자료는 여행자가 실제로 겪는 불편을 세 가지로 짚고 있습니다.</w:t>
      </w:r>
    </w:p>
    <w:p>
      <w:pPr>
        <w:pStyle w:val="ListParagraph"/>
        <w:numPr>
          <w:ilvl w:val="0"/>
          <w:numId w:val="2"/>
        </w:numPr>
        <w:spacing w:after="60" w:line="280"/>
      </w:pPr>
      <w:r>
        <w:rPr>
          <w:color w:val="222222"/>
          <w:sz w:val="20"/>
          <w:szCs w:val="20"/>
        </w:rPr>
        <w:t xml:space="preserve">대형 수하물 이동 — 수하물 소지로 인한 물리적 제약 및 신체적 피로 누적</w:t>
      </w:r>
    </w:p>
    <w:p>
      <w:pPr>
        <w:pStyle w:val="ListParagraph"/>
        <w:numPr>
          <w:ilvl w:val="0"/>
          <w:numId w:val="2"/>
        </w:numPr>
        <w:spacing w:after="60" w:line="280"/>
      </w:pPr>
      <w:r>
        <w:rPr>
          <w:color w:val="222222"/>
          <w:sz w:val="20"/>
          <w:szCs w:val="20"/>
        </w:rPr>
        <w:t xml:space="preserve">역사 내 이동 및 환승 — 낯선 역사 내부 구조와 복잡한 환승 동선으로 인한 이동 시간 지연</w:t>
      </w:r>
    </w:p>
    <w:p>
      <w:pPr>
        <w:pStyle w:val="ListParagraph"/>
        <w:numPr>
          <w:ilvl w:val="0"/>
          <w:numId w:val="2"/>
        </w:numPr>
        <w:spacing w:after="60" w:line="280"/>
      </w:pPr>
      <w:r>
        <w:rPr>
          <w:color w:val="222222"/>
          <w:sz w:val="20"/>
          <w:szCs w:val="20"/>
        </w:rPr>
        <w:t xml:space="preserve">이동편의시설 이용 — 엘리베이터·에스컬레이터 등 이동편의시설에 대한 정보 부족</w:t>
      </w:r>
    </w:p>
    <w:p>
      <w:pPr>
        <w:spacing w:after="120" w:line="300"/>
      </w:pPr>
      <w:r>
        <w:rPr>
          <w:color w:val="222222"/>
          <w:sz w:val="20"/>
          <w:szCs w:val="20"/>
        </w:rPr>
        <w:t xml:space="preserve">이 세 가지는 개별 문제가 아니라 서로 연결되어 있습니다. 짐을 든 관광객은 결국 엘리베이터·완만한 동선에 의존하게 되고, 이는 원래 이 시설을 필요로 하는 교통약자(휠체어, 유모차, 고령자 이용객)의 자원과 겹칩니다. 본 제안은 이 세 문제를 개별적으로 풀지 않고, '짐 없는 이동'이라는 하나의 여정 경험으로 통합해 해소하는 것을 목표로 합니다.</w:t>
      </w:r>
    </w:p>
    <w:p>
      <w:pPr>
        <w:pStyle w:val="Heading1"/>
        <w:pBdr>
          <w:bottom w:val="single" w:color="0F1B3D" w:sz="12" w:space="4"/>
        </w:pBdr>
        <w:spacing w:after="200" w:before="400"/>
      </w:pPr>
      <w:r>
        <w:rPr>
          <w:b/>
          <w:bCs/>
          <w:color w:val="1F4E9C"/>
          <w:sz w:val="30"/>
          <w:szCs w:val="30"/>
        </w:rPr>
        <w:t xml:space="preserve">2. </w:t>
      </w:r>
      <w:r>
        <w:rPr>
          <w:b/>
          <w:bCs/>
          <w:color w:val="0F1B3D"/>
          <w:sz w:val="30"/>
          <w:szCs w:val="30"/>
        </w:rPr>
        <w:t xml:space="preserve">제공 데이터 및 짐캐리 부산 인프라 현황</w:t>
      </w:r>
    </w:p>
    <w:p>
      <w:pPr>
        <w:pStyle w:val="Heading2"/>
        <w:spacing w:after="120" w:before="260"/>
      </w:pPr>
      <w:r>
        <w:rPr>
          <w:b/>
          <w:bCs/>
          <w:color w:val="1F4E9C"/>
          <w:sz w:val="24"/>
          <w:szCs w:val="24"/>
        </w:rPr>
        <w:t xml:space="preserve">2.1 제공 데이터 11종 개요</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600"/>
        <w:gridCol w:w="2360"/>
      </w:tblGrid>
      <w:tr>
        <w:trPr>
          <w:tblHeader/>
        </w:trPr>
        <w:tc>
          <w:tcPr>
            <w:tcW w:type="dxa" w:w="1300"/>
            <w:shd w:fill="0F1B3D" w:val="clear"/>
            <w:tcMar>
              <w:top w:type="dxa" w:w="60"/>
              <w:left w:type="dxa" w:w="100"/>
              <w:bottom w:type="dxa" w:w="60"/>
              <w:right w:type="dxa" w:w="100"/>
            </w:tcMar>
            <w:vAlign w:val="center"/>
          </w:tcPr>
          <w:p>
            <w:pPr>
              <w:jc w:val="center"/>
            </w:pPr>
            <w:r>
              <w:rPr>
                <w:b/>
                <w:bCs/>
                <w:color w:val="FFFFFF"/>
                <w:sz w:val="18"/>
                <w:szCs w:val="18"/>
              </w:rPr>
              <w:t xml:space="preserve">구분</w:t>
            </w:r>
          </w:p>
        </w:tc>
        <w:tc>
          <w:tcPr>
            <w:tcW w:type="dxa" w:w="3000"/>
            <w:shd w:fill="0F1B3D" w:val="clear"/>
            <w:tcMar>
              <w:top w:type="dxa" w:w="60"/>
              <w:left w:type="dxa" w:w="100"/>
              <w:bottom w:type="dxa" w:w="60"/>
              <w:right w:type="dxa" w:w="100"/>
            </w:tcMar>
            <w:vAlign w:val="center"/>
          </w:tcPr>
          <w:p>
            <w:pPr>
              <w:jc w:val="left"/>
            </w:pPr>
            <w:r>
              <w:rPr>
                <w:b/>
                <w:bCs/>
                <w:color w:val="FFFFFF"/>
                <w:sz w:val="18"/>
                <w:szCs w:val="18"/>
              </w:rPr>
              <w:t xml:space="preserve">파일</w:t>
            </w:r>
          </w:p>
        </w:tc>
        <w:tc>
          <w:tcPr>
            <w:tcW w:type="dxa" w:w="2600"/>
            <w:shd w:fill="0F1B3D" w:val="clear"/>
            <w:tcMar>
              <w:top w:type="dxa" w:w="60"/>
              <w:left w:type="dxa" w:w="100"/>
              <w:bottom w:type="dxa" w:w="60"/>
              <w:right w:type="dxa" w:w="100"/>
            </w:tcMar>
            <w:vAlign w:val="center"/>
          </w:tcPr>
          <w:p>
            <w:pPr>
              <w:jc w:val="left"/>
            </w:pPr>
            <w:r>
              <w:rPr>
                <w:b/>
                <w:bCs/>
                <w:color w:val="FFFFFF"/>
                <w:sz w:val="18"/>
                <w:szCs w:val="18"/>
              </w:rPr>
              <w:t xml:space="preserve">핵심 컬럼</w:t>
            </w:r>
          </w:p>
        </w:tc>
        <w:tc>
          <w:tcPr>
            <w:tcW w:type="dxa" w:w="2360"/>
            <w:shd w:fill="0F1B3D" w:val="clear"/>
            <w:tcMar>
              <w:top w:type="dxa" w:w="60"/>
              <w:left w:type="dxa" w:w="100"/>
              <w:bottom w:type="dxa" w:w="60"/>
              <w:right w:type="dxa" w:w="100"/>
            </w:tcMar>
            <w:vAlign w:val="center"/>
          </w:tcPr>
          <w:p>
            <w:pPr>
              <w:jc w:val="left"/>
            </w:pPr>
            <w:r>
              <w:rPr>
                <w:b/>
                <w:bCs/>
                <w:color w:val="FFFFFF"/>
                <w:sz w:val="18"/>
                <w:szCs w:val="18"/>
              </w:rPr>
              <w:t xml:space="preserve">활용 포인트</w:t>
            </w:r>
          </w:p>
        </w:tc>
      </w:tr>
      <w:tr>
        <w:tc>
          <w:tcPr>
            <w:tcW w:type="dxa" w:w="1300"/>
            <w:tcMar>
              <w:top w:type="dxa" w:w="60"/>
              <w:left w:type="dxa" w:w="100"/>
              <w:bottom w:type="dxa" w:w="60"/>
              <w:right w:type="dxa" w:w="100"/>
            </w:tcMar>
            <w:vAlign w:val="center"/>
          </w:tcPr>
          <w:p>
            <w:pPr>
              <w:jc w:val="left"/>
            </w:pPr>
            <w:r>
              <w:rPr>
                <w:b w:val="false"/>
                <w:bCs w:val="false"/>
                <w:color w:val="222222"/>
                <w:sz w:val="18"/>
                <w:szCs w:val="18"/>
              </w:rPr>
              <w:t xml:space="preserve">기본정보</w:t>
            </w:r>
          </w:p>
        </w:tc>
        <w:tc>
          <w:tcPr>
            <w:tcW w:type="dxa" w:w="3000"/>
            <w:tcMar>
              <w:top w:type="dxa" w:w="60"/>
              <w:left w:type="dxa" w:w="100"/>
              <w:bottom w:type="dxa" w:w="60"/>
              <w:right w:type="dxa" w:w="100"/>
            </w:tcMar>
            <w:vAlign w:val="center"/>
          </w:tcPr>
          <w:p>
            <w:pPr>
              <w:jc w:val="left"/>
            </w:pPr>
            <w:r>
              <w:rPr>
                <w:b w:val="false"/>
                <w:bCs w:val="false"/>
                <w:color w:val="222222"/>
                <w:sz w:val="18"/>
                <w:szCs w:val="18"/>
              </w:rPr>
              <w:t xml:space="preserve">역사 정보</w:t>
            </w:r>
          </w:p>
        </w:tc>
        <w:tc>
          <w:tcPr>
            <w:tcW w:type="dxa" w:w="2600"/>
            <w:tcMar>
              <w:top w:type="dxa" w:w="60"/>
              <w:left w:type="dxa" w:w="100"/>
              <w:bottom w:type="dxa" w:w="60"/>
              <w:right w:type="dxa" w:w="100"/>
            </w:tcMar>
            <w:vAlign w:val="center"/>
          </w:tcPr>
          <w:p>
            <w:pPr>
              <w:jc w:val="left"/>
            </w:pPr>
            <w:r>
              <w:rPr>
                <w:b w:val="false"/>
                <w:bCs w:val="false"/>
                <w:color w:val="222222"/>
                <w:sz w:val="18"/>
                <w:szCs w:val="18"/>
              </w:rPr>
              <w:t xml:space="preserve">역번호·호선·좌표·환승노선</w:t>
            </w:r>
          </w:p>
        </w:tc>
        <w:tc>
          <w:tcPr>
            <w:tcW w:type="dxa" w:w="2360"/>
            <w:tcMar>
              <w:top w:type="dxa" w:w="60"/>
              <w:left w:type="dxa" w:w="100"/>
              <w:bottom w:type="dxa" w:w="60"/>
              <w:right w:type="dxa" w:w="100"/>
            </w:tcMar>
            <w:vAlign w:val="center"/>
          </w:tcPr>
          <w:p>
            <w:pPr>
              <w:jc w:val="left"/>
            </w:pPr>
            <w:r>
              <w:rPr>
                <w:b w:val="false"/>
                <w:bCs w:val="false"/>
                <w:color w:val="222222"/>
                <w:sz w:val="18"/>
                <w:szCs w:val="18"/>
              </w:rPr>
              <w:t xml:space="preserve">공간 매핑 기준축</w:t>
            </w:r>
          </w:p>
        </w:tc>
      </w:tr>
      <w:tr>
        <w:tc>
          <w:tcPr>
            <w:tcW w:type="dxa" w:w="13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수요</w:t>
            </w:r>
          </w:p>
        </w:tc>
        <w:tc>
          <w:tcPr>
            <w:tcW w:type="dxa" w:w="3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시간대별 승하차 인원 (2025 연간)</w:t>
            </w:r>
          </w:p>
        </w:tc>
        <w:tc>
          <w:tcPr>
            <w:tcW w:type="dxa" w:w="26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역별·일자·요일·시간대 승하차량</w:t>
            </w:r>
          </w:p>
        </w:tc>
        <w:tc>
          <w:tcPr>
            <w:tcW w:type="dxa" w:w="236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혼잡도·이벤트 이상치 예측</w:t>
            </w:r>
          </w:p>
        </w:tc>
      </w:tr>
      <w:tr>
        <w:tc>
          <w:tcPr>
            <w:tcW w:type="dxa" w:w="1300"/>
            <w:tcMar>
              <w:top w:type="dxa" w:w="60"/>
              <w:left w:type="dxa" w:w="100"/>
              <w:bottom w:type="dxa" w:w="60"/>
              <w:right w:type="dxa" w:w="100"/>
            </w:tcMar>
            <w:vAlign w:val="center"/>
          </w:tcPr>
          <w:p>
            <w:pPr>
              <w:jc w:val="left"/>
            </w:pPr>
            <w:r>
              <w:rPr>
                <w:b w:val="false"/>
                <w:bCs w:val="false"/>
                <w:color w:val="222222"/>
                <w:sz w:val="18"/>
                <w:szCs w:val="18"/>
              </w:rPr>
              <w:t xml:space="preserve">짐물류(민간)</w:t>
            </w:r>
          </w:p>
        </w:tc>
        <w:tc>
          <w:tcPr>
            <w:tcW w:type="dxa" w:w="3000"/>
            <w:tcMar>
              <w:top w:type="dxa" w:w="60"/>
              <w:left w:type="dxa" w:w="100"/>
              <w:bottom w:type="dxa" w:w="60"/>
              <w:right w:type="dxa" w:w="100"/>
            </w:tcMar>
            <w:vAlign w:val="center"/>
          </w:tcPr>
          <w:p>
            <w:pPr>
              <w:jc w:val="left"/>
            </w:pPr>
            <w:r>
              <w:rPr>
                <w:b w:val="false"/>
                <w:bCs w:val="false"/>
                <w:color w:val="222222"/>
                <w:sz w:val="18"/>
                <w:szCs w:val="18"/>
              </w:rPr>
              <w:t xml:space="preserve">주요거점·권역별 짐배송 이동 흐름</w:t>
            </w:r>
          </w:p>
        </w:tc>
        <w:tc>
          <w:tcPr>
            <w:tcW w:type="dxa" w:w="2600"/>
            <w:tcMar>
              <w:top w:type="dxa" w:w="60"/>
              <w:left w:type="dxa" w:w="100"/>
              <w:bottom w:type="dxa" w:w="60"/>
              <w:right w:type="dxa" w:w="100"/>
            </w:tcMar>
            <w:vAlign w:val="center"/>
          </w:tcPr>
          <w:p>
            <w:pPr>
              <w:jc w:val="left"/>
            </w:pPr>
            <w:r>
              <w:rPr>
                <w:b w:val="false"/>
                <w:bCs w:val="false"/>
                <w:color w:val="222222"/>
                <w:sz w:val="18"/>
                <w:szCs w:val="18"/>
              </w:rPr>
              <w:t xml:space="preserve">거점→권역 배송·픽업 비율, 내/외국인 비율</w:t>
            </w:r>
          </w:p>
        </w:tc>
        <w:tc>
          <w:tcPr>
            <w:tcW w:type="dxa" w:w="2360"/>
            <w:tcMar>
              <w:top w:type="dxa" w:w="60"/>
              <w:left w:type="dxa" w:w="100"/>
              <w:bottom w:type="dxa" w:w="60"/>
              <w:right w:type="dxa" w:w="100"/>
            </w:tcMar>
            <w:vAlign w:val="center"/>
          </w:tcPr>
          <w:p>
            <w:pPr>
              <w:jc w:val="left"/>
            </w:pPr>
            <w:r>
              <w:rPr>
                <w:b w:val="false"/>
                <w:bCs w:val="false"/>
                <w:color w:val="222222"/>
                <w:sz w:val="18"/>
                <w:szCs w:val="18"/>
              </w:rPr>
              <w:t xml:space="preserve">페르소나·수요 예측 핵심축</w:t>
            </w:r>
          </w:p>
        </w:tc>
      </w:tr>
      <w:tr>
        <w:tc>
          <w:tcPr>
            <w:tcW w:type="dxa" w:w="13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편의시설</w:t>
            </w:r>
          </w:p>
        </w:tc>
        <w:tc>
          <w:tcPr>
            <w:tcW w:type="dxa" w:w="3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물품보관함 / ATM / 휴대폰 충전설비</w:t>
            </w:r>
          </w:p>
        </w:tc>
        <w:tc>
          <w:tcPr>
            <w:tcW w:type="dxa" w:w="26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역별 위치·수량·요금·운영사</w:t>
            </w:r>
          </w:p>
        </w:tc>
        <w:tc>
          <w:tcPr>
            <w:tcW w:type="dxa" w:w="236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보관 대안 추천</w:t>
            </w:r>
          </w:p>
        </w:tc>
      </w:tr>
      <w:tr>
        <w:tc>
          <w:tcPr>
            <w:tcW w:type="dxa" w:w="1300"/>
            <w:tcMar>
              <w:top w:type="dxa" w:w="60"/>
              <w:left w:type="dxa" w:w="100"/>
              <w:bottom w:type="dxa" w:w="60"/>
              <w:right w:type="dxa" w:w="100"/>
            </w:tcMar>
            <w:vAlign w:val="center"/>
          </w:tcPr>
          <w:p>
            <w:pPr>
              <w:jc w:val="left"/>
            </w:pPr>
            <w:r>
              <w:rPr>
                <w:b w:val="false"/>
                <w:bCs w:val="false"/>
                <w:color w:val="222222"/>
                <w:sz w:val="18"/>
                <w:szCs w:val="18"/>
              </w:rPr>
              <w:t xml:space="preserve">접근성</w:t>
            </w:r>
          </w:p>
        </w:tc>
        <w:tc>
          <w:tcPr>
            <w:tcW w:type="dxa" w:w="3000"/>
            <w:tcMar>
              <w:top w:type="dxa" w:w="60"/>
              <w:left w:type="dxa" w:w="100"/>
              <w:bottom w:type="dxa" w:w="60"/>
              <w:right w:type="dxa" w:w="100"/>
            </w:tcMar>
            <w:vAlign w:val="center"/>
          </w:tcPr>
          <w:p>
            <w:pPr>
              <w:jc w:val="left"/>
            </w:pPr>
            <w:r>
              <w:rPr>
                <w:b w:val="false"/>
                <w:bCs w:val="false"/>
                <w:color w:val="222222"/>
                <w:sz w:val="18"/>
                <w:szCs w:val="18"/>
              </w:rPr>
              <w:t xml:space="preserve">엘리베이터/에스컬레이터 정보</w:t>
            </w:r>
          </w:p>
        </w:tc>
        <w:tc>
          <w:tcPr>
            <w:tcW w:type="dxa" w:w="2600"/>
            <w:tcMar>
              <w:top w:type="dxa" w:w="60"/>
              <w:left w:type="dxa" w:w="100"/>
              <w:bottom w:type="dxa" w:w="60"/>
              <w:right w:type="dxa" w:w="100"/>
            </w:tcMar>
            <w:vAlign w:val="center"/>
          </w:tcPr>
          <w:p>
            <w:pPr>
              <w:jc w:val="left"/>
            </w:pPr>
            <w:r>
              <w:rPr>
                <w:b w:val="false"/>
                <w:bCs w:val="false"/>
                <w:color w:val="222222"/>
                <w:sz w:val="18"/>
                <w:szCs w:val="18"/>
              </w:rPr>
              <w:t xml:space="preserve">위치·정원·상태·일련번호</w:t>
            </w:r>
          </w:p>
        </w:tc>
        <w:tc>
          <w:tcPr>
            <w:tcW w:type="dxa" w:w="2360"/>
            <w:tcMar>
              <w:top w:type="dxa" w:w="60"/>
              <w:left w:type="dxa" w:w="100"/>
              <w:bottom w:type="dxa" w:w="60"/>
              <w:right w:type="dxa" w:w="100"/>
            </w:tcMar>
            <w:vAlign w:val="center"/>
          </w:tcPr>
          <w:p>
            <w:pPr>
              <w:jc w:val="left"/>
            </w:pPr>
            <w:r>
              <w:rPr>
                <w:b w:val="false"/>
                <w:bCs w:val="false"/>
                <w:color w:val="222222"/>
                <w:sz w:val="18"/>
                <w:szCs w:val="18"/>
              </w:rPr>
              <w:t xml:space="preserve">배리어프리 라우팅</w:t>
            </w:r>
          </w:p>
        </w:tc>
      </w:tr>
      <w:tr>
        <w:tc>
          <w:tcPr>
            <w:tcW w:type="dxa" w:w="13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접근성</w:t>
            </w:r>
          </w:p>
        </w:tc>
        <w:tc>
          <w:tcPr>
            <w:tcW w:type="dxa" w:w="3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엘리베이터 고장 시 대체 이동 경로</w:t>
            </w:r>
          </w:p>
        </w:tc>
        <w:tc>
          <w:tcPr>
            <w:tcW w:type="dxa" w:w="26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경로복잡도 점수·등급, 학습라벨</w:t>
            </w:r>
          </w:p>
        </w:tc>
        <w:tc>
          <w:tcPr>
            <w:tcW w:type="dxa" w:w="236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장애 발생 시 대체동선 추천(라벨링 완료)</w:t>
            </w:r>
          </w:p>
        </w:tc>
      </w:tr>
      <w:tr>
        <w:tc>
          <w:tcPr>
            <w:tcW w:type="dxa" w:w="1300"/>
            <w:tcMar>
              <w:top w:type="dxa" w:w="60"/>
              <w:left w:type="dxa" w:w="100"/>
              <w:bottom w:type="dxa" w:w="60"/>
              <w:right w:type="dxa" w:w="100"/>
            </w:tcMar>
            <w:vAlign w:val="center"/>
          </w:tcPr>
          <w:p>
            <w:pPr>
              <w:jc w:val="left"/>
            </w:pPr>
            <w:r>
              <w:rPr>
                <w:b w:val="false"/>
                <w:bCs w:val="false"/>
                <w:color w:val="222222"/>
                <w:sz w:val="18"/>
                <w:szCs w:val="18"/>
              </w:rPr>
              <w:t xml:space="preserve">접근성</w:t>
            </w:r>
          </w:p>
        </w:tc>
        <w:tc>
          <w:tcPr>
            <w:tcW w:type="dxa" w:w="3000"/>
            <w:tcMar>
              <w:top w:type="dxa" w:w="60"/>
              <w:left w:type="dxa" w:w="100"/>
              <w:bottom w:type="dxa" w:w="60"/>
              <w:right w:type="dxa" w:w="100"/>
            </w:tcMar>
            <w:vAlign w:val="center"/>
          </w:tcPr>
          <w:p>
            <w:pPr>
              <w:jc w:val="left"/>
            </w:pPr>
            <w:r>
              <w:rPr>
                <w:b w:val="false"/>
                <w:bCs w:val="false"/>
                <w:color w:val="222222"/>
                <w:sz w:val="18"/>
                <w:szCs w:val="18"/>
              </w:rPr>
              <w:t xml:space="preserve">승강장 간격 및 곡선구간 정보</w:t>
            </w:r>
          </w:p>
        </w:tc>
        <w:tc>
          <w:tcPr>
            <w:tcW w:type="dxa" w:w="2600"/>
            <w:tcMar>
              <w:top w:type="dxa" w:w="60"/>
              <w:left w:type="dxa" w:w="100"/>
              <w:bottom w:type="dxa" w:w="60"/>
              <w:right w:type="dxa" w:w="100"/>
            </w:tcMar>
            <w:vAlign w:val="center"/>
          </w:tcPr>
          <w:p>
            <w:pPr>
              <w:jc w:val="left"/>
            </w:pPr>
            <w:r>
              <w:rPr>
                <w:b w:val="false"/>
                <w:bCs w:val="false"/>
                <w:color w:val="222222"/>
                <w:sz w:val="18"/>
                <w:szCs w:val="18"/>
              </w:rPr>
              <w:t xml:space="preserve">연단간격(좁음/보통), 승강장 선형</w:t>
            </w:r>
          </w:p>
        </w:tc>
        <w:tc>
          <w:tcPr>
            <w:tcW w:type="dxa" w:w="2360"/>
            <w:tcMar>
              <w:top w:type="dxa" w:w="60"/>
              <w:left w:type="dxa" w:w="100"/>
              <w:bottom w:type="dxa" w:w="60"/>
              <w:right w:type="dxa" w:w="100"/>
            </w:tcMar>
            <w:vAlign w:val="center"/>
          </w:tcPr>
          <w:p>
            <w:pPr>
              <w:jc w:val="left"/>
            </w:pPr>
            <w:r>
              <w:rPr>
                <w:b w:val="false"/>
                <w:bCs w:val="false"/>
                <w:color w:val="222222"/>
                <w:sz w:val="18"/>
                <w:szCs w:val="18"/>
              </w:rPr>
              <w:t xml:space="preserve">승하차 안전 리스크 반영</w:t>
            </w:r>
          </w:p>
        </w:tc>
      </w:tr>
      <w:tr>
        <w:tc>
          <w:tcPr>
            <w:tcW w:type="dxa" w:w="13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접근성</w:t>
            </w:r>
          </w:p>
        </w:tc>
        <w:tc>
          <w:tcPr>
            <w:tcW w:type="dxa" w:w="3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교통약자 네비게이션 키오스크</w:t>
            </w:r>
          </w:p>
        </w:tc>
        <w:tc>
          <w:tcPr>
            <w:tcW w:type="dxa" w:w="26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음성·점자·시각 서비스 지원 여부</w:t>
            </w:r>
          </w:p>
        </w:tc>
        <w:tc>
          <w:tcPr>
            <w:tcW w:type="dxa" w:w="236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약자 동반 안내 채널</w:t>
            </w:r>
          </w:p>
        </w:tc>
      </w:tr>
    </w:tbl>
    <w:p>
      <w:pPr>
        <w:spacing w:after="200" w:before="60"/>
      </w:pPr>
      <w:r>
        <w:rPr>
          <w:i/>
          <w:iCs/>
          <w:color w:val="5A5A5A"/>
          <w:sz w:val="17"/>
          <w:szCs w:val="17"/>
        </w:rPr>
        <w:t xml:space="preserve">표 1. DIVE 2026 제공 데이터셋과 본 제안의 활용 포인트 요약</w:t>
      </w:r>
    </w:p>
    <w:p>
      <w:pPr>
        <w:pStyle w:val="Heading2"/>
        <w:spacing w:after="120" w:before="260"/>
      </w:pPr>
      <w:r>
        <w:rPr>
          <w:b/>
          <w:bCs/>
          <w:color w:val="1F4E9C"/>
          <w:sz w:val="24"/>
          <w:szCs w:val="24"/>
        </w:rPr>
        <w:t xml:space="preserve">2.2 짐캐리 부산 인프라 현황 (제공 이미지 자료 기반)</w:t>
      </w:r>
    </w:p>
    <w:p>
      <w:pPr>
        <w:spacing w:after="120" w:line="300"/>
      </w:pPr>
      <w:r>
        <w:rPr>
          <w:color w:val="222222"/>
          <w:sz w:val="20"/>
          <w:szCs w:val="20"/>
        </w:rPr>
        <w:t xml:space="preserve">짐캐리의 부산 내 보관함은 무인·유인 두 유형으로 나뉘며, 이 둘의 입지 성격이 뚜렷하게 다릅니다.</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00"/>
        <w:gridCol w:w="1960"/>
      </w:tblGrid>
      <w:tr>
        <w:trPr>
          <w:tblHeader/>
        </w:trPr>
        <w:tc>
          <w:tcPr>
            <w:tcW w:type="dxa" w:w="2000"/>
            <w:shd w:fill="0F1B3D" w:val="clear"/>
            <w:tcMar>
              <w:top w:type="dxa" w:w="60"/>
              <w:left w:type="dxa" w:w="100"/>
              <w:bottom w:type="dxa" w:w="60"/>
              <w:right w:type="dxa" w:w="100"/>
            </w:tcMar>
            <w:vAlign w:val="center"/>
          </w:tcPr>
          <w:p>
            <w:pPr>
              <w:jc w:val="center"/>
            </w:pPr>
            <w:r>
              <w:rPr>
                <w:b/>
                <w:bCs/>
                <w:color w:val="FFFFFF"/>
                <w:sz w:val="18"/>
                <w:szCs w:val="18"/>
              </w:rPr>
              <w:t xml:space="preserve">유형</w:t>
            </w:r>
          </w:p>
        </w:tc>
        <w:tc>
          <w:tcPr>
            <w:tcW w:type="dxa" w:w="3200"/>
            <w:shd w:fill="0F1B3D" w:val="clear"/>
            <w:tcMar>
              <w:top w:type="dxa" w:w="60"/>
              <w:left w:type="dxa" w:w="100"/>
              <w:bottom w:type="dxa" w:w="60"/>
              <w:right w:type="dxa" w:w="100"/>
            </w:tcMar>
            <w:vAlign w:val="center"/>
          </w:tcPr>
          <w:p>
            <w:pPr>
              <w:jc w:val="left"/>
            </w:pPr>
            <w:r>
              <w:rPr>
                <w:b/>
                <w:bCs/>
                <w:color w:val="FFFFFF"/>
                <w:sz w:val="18"/>
                <w:szCs w:val="18"/>
              </w:rPr>
              <w:t xml:space="preserve">위치</w:t>
            </w:r>
          </w:p>
        </w:tc>
        <w:tc>
          <w:tcPr>
            <w:tcW w:type="dxa" w:w="2100"/>
            <w:shd w:fill="0F1B3D" w:val="clear"/>
            <w:tcMar>
              <w:top w:type="dxa" w:w="60"/>
              <w:left w:type="dxa" w:w="100"/>
              <w:bottom w:type="dxa" w:w="60"/>
              <w:right w:type="dxa" w:w="100"/>
            </w:tcMar>
            <w:vAlign w:val="center"/>
          </w:tcPr>
          <w:p>
            <w:pPr>
              <w:jc w:val="left"/>
            </w:pPr>
            <w:r>
              <w:rPr>
                <w:b/>
                <w:bCs/>
                <w:color w:val="FFFFFF"/>
                <w:sz w:val="18"/>
                <w:szCs w:val="18"/>
              </w:rPr>
              <w:t xml:space="preserve">입지 성격</w:t>
            </w:r>
          </w:p>
        </w:tc>
        <w:tc>
          <w:tcPr>
            <w:tcW w:type="dxa" w:w="1960"/>
            <w:shd w:fill="0F1B3D" w:val="clear"/>
            <w:tcMar>
              <w:top w:type="dxa" w:w="60"/>
              <w:left w:type="dxa" w:w="100"/>
              <w:bottom w:type="dxa" w:w="60"/>
              <w:right w:type="dxa" w:w="100"/>
            </w:tcMar>
            <w:vAlign w:val="center"/>
          </w:tcPr>
          <w:p>
            <w:pPr>
              <w:jc w:val="center"/>
            </w:pPr>
            <w:r>
              <w:rPr>
                <w:b/>
                <w:bCs/>
                <w:color w:val="FFFFFF"/>
                <w:sz w:val="18"/>
                <w:szCs w:val="18"/>
              </w:rPr>
              <w:t xml:space="preserve">보관함 수</w:t>
            </w:r>
          </w:p>
        </w:tc>
      </w:tr>
      <w:tr>
        <w:tc>
          <w:tcPr>
            <w:tcW w:type="dxa" w:w="2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무인보관함</w:t>
            </w:r>
          </w:p>
        </w:tc>
        <w:tc>
          <w:tcPr>
            <w:tcW w:type="dxa" w:w="32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씨클라우드호텔 (1층 로비)</w:t>
            </w:r>
          </w:p>
        </w:tc>
        <w:tc>
          <w:tcPr>
            <w:tcW w:type="dxa" w:w="21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숙박 동선형</w:t>
            </w:r>
          </w:p>
        </w:tc>
        <w:tc>
          <w:tcPr>
            <w:tcW w:type="dxa" w:w="1960"/>
            <w:shd w:fill="F2F4F8" w:val="clear"/>
            <w:tcMar>
              <w:top w:type="dxa" w:w="60"/>
              <w:left w:type="dxa" w:w="100"/>
              <w:bottom w:type="dxa" w:w="60"/>
              <w:right w:type="dxa" w:w="100"/>
            </w:tcMar>
            <w:vAlign w:val="center"/>
          </w:tcPr>
          <w:p>
            <w:pPr>
              <w:jc w:val="center"/>
            </w:pPr>
            <w:r>
              <w:rPr>
                <w:b w:val="false"/>
                <w:bCs w:val="false"/>
                <w:color w:val="222222"/>
                <w:sz w:val="18"/>
                <w:szCs w:val="18"/>
              </w:rPr>
              <w:t xml:space="preserve">16</w:t>
            </w:r>
          </w:p>
        </w:tc>
      </w:tr>
      <w:tr>
        <w:tc>
          <w:tcPr>
            <w:tcW w:type="dxa" w:w="2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무인보관함</w:t>
            </w:r>
          </w:p>
        </w:tc>
        <w:tc>
          <w:tcPr>
            <w:tcW w:type="dxa" w:w="32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롯데면세점 8층 (안내데스크 옆)</w:t>
            </w:r>
          </w:p>
        </w:tc>
        <w:tc>
          <w:tcPr>
            <w:tcW w:type="dxa" w:w="21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쇼핑 동선형</w:t>
            </w:r>
          </w:p>
        </w:tc>
        <w:tc>
          <w:tcPr>
            <w:tcW w:type="dxa" w:w="1960"/>
            <w:shd w:fill="F2F4F8" w:val="clear"/>
            <w:tcMar>
              <w:top w:type="dxa" w:w="60"/>
              <w:left w:type="dxa" w:w="100"/>
              <w:bottom w:type="dxa" w:w="60"/>
              <w:right w:type="dxa" w:w="100"/>
            </w:tcMar>
            <w:vAlign w:val="center"/>
          </w:tcPr>
          <w:p>
            <w:pPr>
              <w:jc w:val="center"/>
            </w:pPr>
            <w:r>
              <w:rPr>
                <w:b w:val="false"/>
                <w:bCs w:val="false"/>
                <w:color w:val="222222"/>
                <w:sz w:val="18"/>
                <w:szCs w:val="18"/>
              </w:rPr>
              <w:t xml:space="preserve">25</w:t>
            </w:r>
          </w:p>
        </w:tc>
      </w:tr>
      <w:tr>
        <w:tc>
          <w:tcPr>
            <w:tcW w:type="dxa" w:w="20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무인보관함</w:t>
            </w:r>
          </w:p>
        </w:tc>
        <w:tc>
          <w:tcPr>
            <w:tcW w:type="dxa" w:w="32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KT&amp;G 상상마당 부산 (1층)</w:t>
            </w:r>
          </w:p>
        </w:tc>
        <w:tc>
          <w:tcPr>
            <w:tcW w:type="dxa" w:w="21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문화·팝업 동선형</w:t>
            </w:r>
          </w:p>
        </w:tc>
        <w:tc>
          <w:tcPr>
            <w:tcW w:type="dxa" w:w="1960"/>
            <w:shd w:fill="F2F4F8" w:val="clear"/>
            <w:tcMar>
              <w:top w:type="dxa" w:w="60"/>
              <w:left w:type="dxa" w:w="100"/>
              <w:bottom w:type="dxa" w:w="60"/>
              <w:right w:type="dxa" w:w="100"/>
            </w:tcMar>
            <w:vAlign w:val="center"/>
          </w:tcPr>
          <w:p>
            <w:pPr>
              <w:jc w:val="center"/>
            </w:pPr>
            <w:r>
              <w:rPr>
                <w:b w:val="false"/>
                <w:bCs w:val="false"/>
                <w:color w:val="222222"/>
                <w:sz w:val="18"/>
                <w:szCs w:val="18"/>
              </w:rPr>
              <w:t xml:space="preserve">27</w:t>
            </w:r>
          </w:p>
        </w:tc>
      </w:tr>
      <w:tr>
        <w:tc>
          <w:tcPr>
            <w:tcW w:type="dxa" w:w="2000"/>
            <w:tcMar>
              <w:top w:type="dxa" w:w="60"/>
              <w:left w:type="dxa" w:w="100"/>
              <w:bottom w:type="dxa" w:w="60"/>
              <w:right w:type="dxa" w:w="100"/>
            </w:tcMar>
            <w:vAlign w:val="center"/>
          </w:tcPr>
          <w:p>
            <w:pPr>
              <w:jc w:val="left"/>
            </w:pPr>
            <w:r>
              <w:rPr>
                <w:b w:val="false"/>
                <w:bCs w:val="false"/>
                <w:color w:val="222222"/>
                <w:sz w:val="18"/>
                <w:szCs w:val="18"/>
              </w:rPr>
              <w:t xml:space="preserve">유인보관함</w:t>
            </w:r>
          </w:p>
        </w:tc>
        <w:tc>
          <w:tcPr>
            <w:tcW w:type="dxa" w:w="3200"/>
            <w:tcMar>
              <w:top w:type="dxa" w:w="60"/>
              <w:left w:type="dxa" w:w="100"/>
              <w:bottom w:type="dxa" w:w="60"/>
              <w:right w:type="dxa" w:w="100"/>
            </w:tcMar>
            <w:vAlign w:val="center"/>
          </w:tcPr>
          <w:p>
            <w:pPr>
              <w:jc w:val="left"/>
            </w:pPr>
            <w:r>
              <w:rPr>
                <w:b w:val="false"/>
                <w:bCs w:val="false"/>
                <w:color w:val="222222"/>
                <w:sz w:val="18"/>
                <w:szCs w:val="18"/>
              </w:rPr>
              <w:t xml:space="preserve">부산역 · 부산항 · 김해공항</w:t>
            </w:r>
          </w:p>
        </w:tc>
        <w:tc>
          <w:tcPr>
            <w:tcW w:type="dxa" w:w="2100"/>
            <w:tcMar>
              <w:top w:type="dxa" w:w="60"/>
              <w:left w:type="dxa" w:w="100"/>
              <w:bottom w:type="dxa" w:w="60"/>
              <w:right w:type="dxa" w:w="100"/>
            </w:tcMar>
            <w:vAlign w:val="center"/>
          </w:tcPr>
          <w:p>
            <w:pPr>
              <w:jc w:val="left"/>
            </w:pPr>
            <w:r>
              <w:rPr>
                <w:b w:val="false"/>
                <w:bCs w:val="false"/>
                <w:color w:val="222222"/>
                <w:sz w:val="18"/>
                <w:szCs w:val="18"/>
              </w:rPr>
              <w:t xml:space="preserve">교통 거점형</w:t>
            </w:r>
          </w:p>
        </w:tc>
        <w:tc>
          <w:tcPr>
            <w:tcW w:type="dxa" w:w="1960"/>
            <w:tcMar>
              <w:top w:type="dxa" w:w="60"/>
              <w:left w:type="dxa" w:w="100"/>
              <w:bottom w:type="dxa" w:w="60"/>
              <w:right w:type="dxa" w:w="100"/>
            </w:tcMar>
            <w:vAlign w:val="center"/>
          </w:tcPr>
          <w:p>
            <w:pPr>
              <w:jc w:val="center"/>
            </w:pPr>
            <w:r>
              <w:rPr>
                <w:b w:val="false"/>
                <w:bCs w:val="false"/>
                <w:color w:val="222222"/>
                <w:sz w:val="18"/>
                <w:szCs w:val="18"/>
              </w:rPr>
              <w:t xml:space="preserve">-</w:t>
            </w:r>
          </w:p>
        </w:tc>
      </w:tr>
      <w:tr>
        <w:tc>
          <w:tcPr>
            <w:tcW w:type="dxa" w:w="2000"/>
            <w:tcMar>
              <w:top w:type="dxa" w:w="60"/>
              <w:left w:type="dxa" w:w="100"/>
              <w:bottom w:type="dxa" w:w="60"/>
              <w:right w:type="dxa" w:w="100"/>
            </w:tcMar>
            <w:vAlign w:val="center"/>
          </w:tcPr>
          <w:p>
            <w:pPr>
              <w:jc w:val="left"/>
            </w:pPr>
            <w:r>
              <w:rPr>
                <w:b w:val="false"/>
                <w:bCs w:val="false"/>
                <w:color w:val="222222"/>
                <w:sz w:val="18"/>
                <w:szCs w:val="18"/>
              </w:rPr>
              <w:t xml:space="preserve">유인보관함</w:t>
            </w:r>
          </w:p>
        </w:tc>
        <w:tc>
          <w:tcPr>
            <w:tcW w:type="dxa" w:w="3200"/>
            <w:tcMar>
              <w:top w:type="dxa" w:w="60"/>
              <w:left w:type="dxa" w:w="100"/>
              <w:bottom w:type="dxa" w:w="60"/>
              <w:right w:type="dxa" w:w="100"/>
            </w:tcMar>
            <w:vAlign w:val="center"/>
          </w:tcPr>
          <w:p>
            <w:pPr>
              <w:jc w:val="left"/>
            </w:pPr>
            <w:r>
              <w:rPr>
                <w:b w:val="false"/>
                <w:bCs w:val="false"/>
                <w:color w:val="222222"/>
                <w:sz w:val="18"/>
                <w:szCs w:val="18"/>
              </w:rPr>
              <w:t xml:space="preserve">벡스코 · 사직구장</w:t>
            </w:r>
          </w:p>
        </w:tc>
        <w:tc>
          <w:tcPr>
            <w:tcW w:type="dxa" w:w="2100"/>
            <w:tcMar>
              <w:top w:type="dxa" w:w="60"/>
              <w:left w:type="dxa" w:w="100"/>
              <w:bottom w:type="dxa" w:w="60"/>
              <w:right w:type="dxa" w:w="100"/>
            </w:tcMar>
            <w:vAlign w:val="center"/>
          </w:tcPr>
          <w:p>
            <w:pPr>
              <w:jc w:val="left"/>
            </w:pPr>
            <w:r>
              <w:rPr>
                <w:b w:val="false"/>
                <w:bCs w:val="false"/>
                <w:color w:val="222222"/>
                <w:sz w:val="18"/>
                <w:szCs w:val="18"/>
              </w:rPr>
              <w:t xml:space="preserve">이벤트 거점형</w:t>
            </w:r>
          </w:p>
        </w:tc>
        <w:tc>
          <w:tcPr>
            <w:tcW w:type="dxa" w:w="1960"/>
            <w:tcMar>
              <w:top w:type="dxa" w:w="60"/>
              <w:left w:type="dxa" w:w="100"/>
              <w:bottom w:type="dxa" w:w="60"/>
              <w:right w:type="dxa" w:w="100"/>
            </w:tcMar>
            <w:vAlign w:val="center"/>
          </w:tcPr>
          <w:p>
            <w:pPr>
              <w:jc w:val="center"/>
            </w:pPr>
            <w:r>
              <w:rPr>
                <w:b w:val="false"/>
                <w:bCs w:val="false"/>
                <w:color w:val="222222"/>
                <w:sz w:val="18"/>
                <w:szCs w:val="18"/>
              </w:rPr>
              <w:t xml:space="preserve">-</w:t>
            </w:r>
          </w:p>
        </w:tc>
      </w:tr>
    </w:tbl>
    <w:p>
      <w:pPr>
        <w:spacing w:after="200" w:before="60"/>
      </w:pPr>
      <w:r>
        <w:rPr>
          <w:i/>
          <w:iCs/>
          <w:color w:val="5A5A5A"/>
          <w:sz w:val="17"/>
          <w:szCs w:val="17"/>
        </w:rPr>
        <w:t xml:space="preserve">표 2. 짐캐리 부산 보관함 현황 (무인 3개소 · 유인 5개소)</w:t>
      </w:r>
    </w:p>
    <w:p>
      <w:pPr>
        <w:spacing w:after="120" w:line="300"/>
      </w:pPr>
      <w:r>
        <w:rPr>
          <w:color w:val="222222"/>
          <w:sz w:val="20"/>
          <w:szCs w:val="20"/>
        </w:rPr>
        <w:t xml:space="preserve">주목할 지점은 유인보관함에 벡스코와 사직구장이 포함되어 있다는 것입니다. 이는 짐 수요가 순수 관광 동선뿐 아니라 전시·컨벤션·스포츠 이벤트에 의해서도 발생함을 의미하며, 승하차 인원 데이터(2025년 1년치)에서 특정 일자에 나타나는 이상치와 결합하면 이벤트 캘린더 기반 수요 예측이 가능해집니다. 다만 무인보관함 3개소(호텔·면세점·문화공간)는 역사 좌표 데이터에 없는 지점이므로, 역사 정보의 위도·경도를 기준으로 최근접 역 및 도보거리를 매핑하는 전처리가 필요합니다.</w:t>
      </w:r>
    </w:p>
    <w:p>
      <w:pPr>
        <w:pStyle w:val="Heading1"/>
        <w:pBdr>
          <w:bottom w:val="single" w:color="0F1B3D" w:sz="12" w:space="4"/>
        </w:pBdr>
        <w:spacing w:after="200" w:before="400"/>
      </w:pPr>
      <w:r>
        <w:rPr>
          <w:b/>
          <w:bCs/>
          <w:color w:val="1F4E9C"/>
          <w:sz w:val="30"/>
          <w:szCs w:val="30"/>
        </w:rPr>
        <w:t xml:space="preserve">3. </w:t>
      </w:r>
      <w:r>
        <w:rPr>
          <w:b/>
          <w:bCs/>
          <w:color w:val="0F1B3D"/>
          <w:sz w:val="30"/>
          <w:szCs w:val="30"/>
        </w:rPr>
        <w:t xml:space="preserve">데이터 기반 핵심 인사이트</w:t>
      </w:r>
    </w:p>
    <w:p>
      <w:pPr>
        <w:pStyle w:val="Heading2"/>
        <w:spacing w:after="120" w:before="260"/>
      </w:pPr>
      <w:r>
        <w:rPr>
          <w:b/>
          <w:bCs/>
          <w:color w:val="1F4E9C"/>
          <w:sz w:val="24"/>
          <w:szCs w:val="24"/>
        </w:rPr>
        <w:t xml:space="preserve">3.1 인사이트 A — 짐과 교통약자의 '자원 충돌'</w:t>
      </w:r>
    </w:p>
    <w:p>
      <w:pPr>
        <w:spacing w:after="120" w:line="300"/>
      </w:pPr>
      <w:r>
        <w:rPr>
          <w:color w:val="222222"/>
          <w:sz w:val="20"/>
          <w:szCs w:val="20"/>
        </w:rPr>
        <w:t xml:space="preserve">짐캐리 배송기사와 캐리어를 끄는 여행객은 이동 시 엘리베이터에 의존합니다. 그러나 엘리베이터는 원래 휠체어·유모차·고령자를 위한 이동편의시설입니다. 즉 짐 이동량이 늘수록 교통약자의 엘리베이터 접근성이 저하되는 구조적 충돌이 발생합니다. 승하차 인원(시간대별) × 엘리베이터 정보 × 대체경로 데이터를 결합하면 이 충돌이 발생하는 역·시간대를 사전에 스코어링할 수 있습니다.</w:t>
      </w:r>
    </w:p>
    <w:p>
      <w:pPr>
        <w:pStyle w:val="Heading2"/>
        <w:spacing w:after="120" w:before="260"/>
      </w:pPr>
      <w:r>
        <w:rPr>
          <w:b/>
          <w:bCs/>
          <w:color w:val="1F4E9C"/>
          <w:sz w:val="24"/>
          <w:szCs w:val="24"/>
        </w:rPr>
        <w:t xml:space="preserve">3.2 인사이트 B — 관광 동선과 이벤트 동선의 이원화된 수요</w:t>
      </w:r>
    </w:p>
    <w:p>
      <w:pPr>
        <w:spacing w:after="120" w:line="300"/>
      </w:pPr>
      <w:r>
        <w:rPr>
          <w:color w:val="222222"/>
          <w:sz w:val="20"/>
          <w:szCs w:val="20"/>
        </w:rPr>
        <w:t xml:space="preserve">짐배송 흐름 데이터(부산역·김해공항·국제여객터미널 → 해운대·광안리·서면·원도심)는 관광 동선 수요를 보여주지만, 벡스코·사직구장의 유인보관함 존재는 이벤트 기반 수요가 별도로 존재함을 시사합니다. 두 수요 패턴은 예측 로직에서 분리해 다뤄야 정확도가 높아집니다.</w:t>
      </w:r>
    </w:p>
    <w:p>
      <w:pPr>
        <w:pStyle w:val="Heading2"/>
        <w:spacing w:after="120" w:before="260"/>
      </w:pPr>
      <w:r>
        <w:rPr>
          <w:b/>
          <w:bCs/>
          <w:color w:val="1F4E9C"/>
          <w:sz w:val="24"/>
          <w:szCs w:val="24"/>
        </w:rPr>
        <w:t xml:space="preserve">3.3 인사이트 C — 내·외국인 비율에 따른 페르소나 차이</w:t>
      </w:r>
    </w:p>
    <w:p>
      <w:pPr>
        <w:spacing w:after="120" w:line="300"/>
      </w:pPr>
      <w:r>
        <w:rPr>
          <w:color w:val="222222"/>
          <w:sz w:val="20"/>
          <w:szCs w:val="20"/>
        </w:rPr>
        <w:t xml:space="preserve">짐배송 흐름 정보에는 이동방향별 내국인·외국인 비율이 이미 구분되어 있습니다(거점→숙소 내국인 82.9% · 외국인 17.1%, 숙소→거점 내국인 90.3% · 외국인 9.7%). 이를 권역별 배송 비율, 시간대별 승하차 패턴과 함께 보면 권역마다 서로 다른 여행자 유형이 우세하다는 것을 추정할 수 있고, 이는 '빈손 상태로 자유로워진 관광객'에게 맞춤형 로컬 동선을 제안하는 넛지 로직의 근거가 됩니다.</w:t>
      </w:r>
    </w:p>
    <w:p>
      <w:r>
        <w:br w:type="page"/>
      </w:r>
    </w:p>
    <w:p>
      <w:pPr>
        <w:pStyle w:val="Heading1"/>
        <w:pBdr>
          <w:bottom w:val="single" w:color="0F1B3D" w:sz="12" w:space="4"/>
        </w:pBdr>
        <w:spacing w:after="200" w:before="400"/>
      </w:pPr>
      <w:r>
        <w:rPr>
          <w:b/>
          <w:bCs/>
          <w:color w:val="1F4E9C"/>
          <w:sz w:val="30"/>
          <w:szCs w:val="30"/>
        </w:rPr>
        <w:t xml:space="preserve">4. </w:t>
      </w:r>
      <w:r>
        <w:rPr>
          <w:b/>
          <w:bCs/>
          <w:color w:val="0F1B3D"/>
          <w:sz w:val="30"/>
          <w:szCs w:val="30"/>
        </w:rPr>
        <w:t xml:space="preserve">서비스 제안: No-Carrier AI 여행 어시스턴트</w:t>
      </w:r>
    </w:p>
    <w:p>
      <w:pPr>
        <w:spacing w:after="120" w:line="300"/>
      </w:pPr>
      <w:r>
        <w:rPr>
          <w:color w:val="222222"/>
          <w:sz w:val="20"/>
          <w:szCs w:val="20"/>
        </w:rPr>
        <w:t xml:space="preserve">위 인사이트를 하나의 서비스 우산 아래 3개 모듈로 구성합니다. 관광객에게는 '짐 없는 당일 여정'을, 운영기관에게는 '데이터 기반 배차·정비·형평성 관리'를 제공하는 것이 핵심 방향입니다.</w:t>
      </w:r>
    </w:p>
    <w:p>
      <w:pPr>
        <w:pStyle w:val="Heading2"/>
        <w:spacing w:after="120" w:before="260"/>
      </w:pPr>
      <w:r>
        <w:rPr>
          <w:b/>
          <w:bCs/>
          <w:color w:val="1F4E9C"/>
          <w:sz w:val="24"/>
          <w:szCs w:val="24"/>
        </w:rPr>
        <w:t xml:space="preserve">모듈 1. 배리어프리 · 충돌회피 라우팅 엔진</w:t>
      </w:r>
    </w:p>
    <w:p>
      <w:pPr>
        <w:spacing w:after="120" w:line="300"/>
      </w:pPr>
      <w:r>
        <w:rPr>
          <w:color w:val="222222"/>
          <w:sz w:val="20"/>
          <w:szCs w:val="20"/>
        </w:rPr>
        <w:t xml:space="preserve">시간대별 승하차 인원과 짐배송 이동 흐름 데이터로 역별 실질 엘리베이터 부하(승객 수요 + 짐카트 통행 추정치)를 산출하고, 여기에 엘리베이터·에스컬레이터 정보, 고장 시 대체경로(경로복잡도 점수·학습라벨 포함), 승강장 간격·곡선구간 정보를 결합합니다.</w:t>
      </w:r>
    </w:p>
    <w:p>
      <w:pPr>
        <w:pStyle w:val="ListParagraph"/>
        <w:numPr>
          <w:ilvl w:val="0"/>
          <w:numId w:val="2"/>
        </w:numPr>
        <w:spacing w:after="60" w:line="280"/>
      </w:pPr>
      <w:r>
        <w:rPr>
          <w:color w:val="222222"/>
          <w:sz w:val="20"/>
          <w:szCs w:val="20"/>
        </w:rPr>
        <w:t xml:space="preserve">교통약자 동반 이용객에게는 엘리베이터 혼잡이 예상되는 시간대를 피해 대체 동선을 안내</w:t>
      </w:r>
    </w:p>
    <w:p>
      <w:pPr>
        <w:pStyle w:val="ListParagraph"/>
        <w:numPr>
          <w:ilvl w:val="0"/>
          <w:numId w:val="2"/>
        </w:numPr>
        <w:spacing w:after="60" w:line="280"/>
      </w:pPr>
      <w:r>
        <w:rPr>
          <w:color w:val="222222"/>
          <w:sz w:val="20"/>
          <w:szCs w:val="20"/>
        </w:rPr>
        <w:t xml:space="preserve">짐캐리 배송기사에게는 카트 이동이 수월한 시간대·경로를 배차 단계에서 우선 배정</w:t>
      </w:r>
    </w:p>
    <w:p>
      <w:pPr>
        <w:pStyle w:val="ListParagraph"/>
        <w:numPr>
          <w:ilvl w:val="0"/>
          <w:numId w:val="2"/>
        </w:numPr>
        <w:spacing w:after="60" w:line="280"/>
      </w:pPr>
      <w:r>
        <w:rPr>
          <w:color w:val="222222"/>
          <w:sz w:val="20"/>
          <w:szCs w:val="20"/>
        </w:rPr>
        <w:t xml:space="preserve">이미 라벨링된 '엘리베이터 고장 시 대체경로' 데이터를 그대로 학습 데이터로 활용 가능</w:t>
      </w:r>
    </w:p>
    <w:p>
      <w:pPr>
        <w:pStyle w:val="Heading2"/>
        <w:spacing w:after="120" w:before="260"/>
      </w:pPr>
      <w:r>
        <w:rPr>
          <w:b/>
          <w:bCs/>
          <w:color w:val="1F4E9C"/>
          <w:sz w:val="24"/>
          <w:szCs w:val="24"/>
        </w:rPr>
        <w:t xml:space="preserve">모듈 2. 짐 없는 당일치기 AI 여정 추천 &amp; 물류 최적화</w:t>
      </w:r>
    </w:p>
    <w:p>
      <w:pPr>
        <w:spacing w:after="120" w:line="300"/>
      </w:pPr>
      <w:r>
        <w:rPr>
          <w:color w:val="222222"/>
          <w:sz w:val="20"/>
          <w:szCs w:val="20"/>
        </w:rPr>
        <w:t xml:space="preserve">부산역·김해공항 등 거점 도착 시점의 이동 흐름 데이터를 기반으로, 관광객에게 혼잡을 피한 당일 여정을 추천하고 동시에 짐캐리의 배송 효율을 높입니다.</w:t>
      </w:r>
    </w:p>
    <w:p>
      <w:pPr>
        <w:pStyle w:val="ListParagraph"/>
        <w:numPr>
          <w:ilvl w:val="0"/>
          <w:numId w:val="2"/>
        </w:numPr>
        <w:spacing w:after="60" w:line="280"/>
      </w:pPr>
      <w:r>
        <w:rPr>
          <w:color w:val="222222"/>
          <w:sz w:val="20"/>
          <w:szCs w:val="20"/>
        </w:rPr>
        <w:t xml:space="preserve">시간대별 승하차 인원으로 권역별(해운대·광안리 등) 혼잡도를 예측해 여정 순서를 조정</w:t>
      </w:r>
    </w:p>
    <w:p>
      <w:pPr>
        <w:pStyle w:val="ListParagraph"/>
        <w:numPr>
          <w:ilvl w:val="0"/>
          <w:numId w:val="2"/>
        </w:numPr>
        <w:spacing w:after="60" w:line="280"/>
      </w:pPr>
      <w:r>
        <w:rPr>
          <w:color w:val="222222"/>
          <w:sz w:val="20"/>
          <w:szCs w:val="20"/>
        </w:rPr>
        <w:t xml:space="preserve">짐배송 흐름 데이터로 수요가 몰리는 시간·권역을 예측해 배송 차량 배차와 실시간 보관함 잔여 수량을 연계</w:t>
      </w:r>
    </w:p>
    <w:p>
      <w:pPr>
        <w:pStyle w:val="ListParagraph"/>
        <w:numPr>
          <w:ilvl w:val="0"/>
          <w:numId w:val="2"/>
        </w:numPr>
        <w:spacing w:after="60" w:line="280"/>
      </w:pPr>
      <w:r>
        <w:rPr>
          <w:color w:val="222222"/>
          <w:sz w:val="20"/>
          <w:szCs w:val="20"/>
        </w:rPr>
        <w:t xml:space="preserve">벡스코·사직구장 등 이벤트 거점의 유인보관함 운영 데이터를 캘린더와 결합해 이벤트일 배송 리드타임을 사전 조정</w:t>
      </w:r>
    </w:p>
    <w:p>
      <w:pPr>
        <w:pStyle w:val="Heading2"/>
        <w:spacing w:after="120" w:before="260"/>
      </w:pPr>
      <w:r>
        <w:rPr>
          <w:b/>
          <w:bCs/>
          <w:color w:val="1F4E9C"/>
          <w:sz w:val="24"/>
          <w:szCs w:val="24"/>
        </w:rPr>
        <w:t xml:space="preserve">모듈 3. 페르소나 클러스터링 기반 로컬 상권 넛지</w:t>
      </w:r>
    </w:p>
    <w:p>
      <w:pPr>
        <w:spacing w:after="120" w:line="300"/>
      </w:pPr>
      <w:r>
        <w:rPr>
          <w:color w:val="222222"/>
          <w:sz w:val="20"/>
          <w:szCs w:val="20"/>
        </w:rPr>
        <w:t xml:space="preserve">짐배송 흐름의 내·외국인 비율과 권역별 배송 비율로 여행자 페르소나를 추정하고, 시간대별 승하차 패턴에서 상대적으로 여유 있는 역을 찾아 로컬 상권으로 동선을 유도합니다.</w:t>
      </w:r>
    </w:p>
    <w:p>
      <w:pPr>
        <w:pStyle w:val="ListParagraph"/>
        <w:numPr>
          <w:ilvl w:val="0"/>
          <w:numId w:val="2"/>
        </w:numPr>
        <w:spacing w:after="60" w:line="280"/>
      </w:pPr>
      <w:r>
        <w:rPr>
          <w:color w:val="222222"/>
          <w:sz w:val="20"/>
          <w:szCs w:val="20"/>
        </w:rPr>
        <w:t xml:space="preserve">예: 부산역에서 해운대 권역 숙소로 짐을 보낸 여행객은 빈손 상태 체류 가능 시간이 약 3~4시간으로 추정 → 인근 역 중 혼잡도가 낮은 역의 로컬 맛집·소품샵·팝업스토어 동선과 쿠폰을 실시간 매칭</w:t>
      </w:r>
    </w:p>
    <w:p>
      <w:pPr>
        <w:pStyle w:val="ListParagraph"/>
        <w:numPr>
          <w:ilvl w:val="0"/>
          <w:numId w:val="2"/>
        </w:numPr>
        <w:spacing w:after="60" w:line="280"/>
      </w:pPr>
      <w:r>
        <w:rPr>
          <w:color w:val="222222"/>
          <w:sz w:val="20"/>
          <w:szCs w:val="20"/>
        </w:rPr>
        <w:t xml:space="preserve">짐캐리는 제휴 매장 수수료라는 신규 수익모델을 확보하고, 지역 상권은 관광객 유입 효과를 얻음</w:t>
      </w:r>
    </w:p>
    <w:p>
      <w:pPr>
        <w:pStyle w:val="ListParagraph"/>
        <w:numPr>
          <w:ilvl w:val="0"/>
          <w:numId w:val="2"/>
        </w:numPr>
        <w:spacing w:after="60" w:line="280"/>
      </w:pPr>
      <w:r>
        <w:rPr>
          <w:color w:val="222222"/>
          <w:sz w:val="20"/>
          <w:szCs w:val="20"/>
        </w:rPr>
        <w:t xml:space="preserve">ETRI 제주관광데이터 과제에서 확보한 관광객 선호 기반 목적지 추천 모델을 그대로 적용 가능 — 제주의 렌터카 이동 데이터를 부산의 도시철도·짐배송 데이터로 치환하는 수준의 개발이므로 완성도와 개발 속도 면에서 강점을 가짐</w:t>
      </w:r>
    </w:p>
    <w:p>
      <w:pPr>
        <w:pStyle w:val="Heading2"/>
        <w:spacing w:after="120" w:before="260"/>
      </w:pPr>
      <w:r>
        <w:rPr>
          <w:b/>
          <w:bCs/>
          <w:color w:val="1F4E9C"/>
          <w:sz w:val="24"/>
          <w:szCs w:val="24"/>
        </w:rPr>
        <w:t xml:space="preserve">4.4 모듈별 데이터 활용 매핑</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460"/>
      </w:tblGrid>
      <w:tr>
        <w:trPr>
          <w:tblHeader/>
        </w:trPr>
        <w:tc>
          <w:tcPr>
            <w:tcW w:type="dxa" w:w="1900"/>
            <w:shd w:fill="0F1B3D" w:val="clear"/>
            <w:tcMar>
              <w:top w:type="dxa" w:w="60"/>
              <w:left w:type="dxa" w:w="100"/>
              <w:bottom w:type="dxa" w:w="60"/>
              <w:right w:type="dxa" w:w="100"/>
            </w:tcMar>
            <w:vAlign w:val="center"/>
          </w:tcPr>
          <w:p>
            <w:pPr>
              <w:jc w:val="center"/>
            </w:pPr>
            <w:r>
              <w:rPr>
                <w:b/>
                <w:bCs/>
                <w:color w:val="FFFFFF"/>
                <w:sz w:val="18"/>
                <w:szCs w:val="18"/>
              </w:rPr>
              <w:t xml:space="preserve">모듈</w:t>
            </w:r>
          </w:p>
        </w:tc>
        <w:tc>
          <w:tcPr>
            <w:tcW w:type="dxa" w:w="3900"/>
            <w:shd w:fill="0F1B3D" w:val="clear"/>
            <w:tcMar>
              <w:top w:type="dxa" w:w="60"/>
              <w:left w:type="dxa" w:w="100"/>
              <w:bottom w:type="dxa" w:w="60"/>
              <w:right w:type="dxa" w:w="100"/>
            </w:tcMar>
            <w:vAlign w:val="center"/>
          </w:tcPr>
          <w:p>
            <w:pPr>
              <w:jc w:val="left"/>
            </w:pPr>
            <w:r>
              <w:rPr>
                <w:b/>
                <w:bCs/>
                <w:color w:val="FFFFFF"/>
                <w:sz w:val="18"/>
                <w:szCs w:val="18"/>
              </w:rPr>
              <w:t xml:space="preserve">핵심 사용 데이터</w:t>
            </w:r>
          </w:p>
        </w:tc>
        <w:tc>
          <w:tcPr>
            <w:tcW w:type="dxa" w:w="3460"/>
            <w:shd w:fill="0F1B3D" w:val="clear"/>
            <w:tcMar>
              <w:top w:type="dxa" w:w="60"/>
              <w:left w:type="dxa" w:w="100"/>
              <w:bottom w:type="dxa" w:w="60"/>
              <w:right w:type="dxa" w:w="100"/>
            </w:tcMar>
            <w:vAlign w:val="center"/>
          </w:tcPr>
          <w:p>
            <w:pPr>
              <w:jc w:val="left"/>
            </w:pPr>
            <w:r>
              <w:rPr>
                <w:b/>
                <w:bCs/>
                <w:color w:val="FFFFFF"/>
                <w:sz w:val="18"/>
                <w:szCs w:val="18"/>
              </w:rPr>
              <w:t xml:space="preserve">교통약자·형평성 반영 포인트</w:t>
            </w:r>
          </w:p>
        </w:tc>
      </w:tr>
      <w:tr>
        <w:tc>
          <w:tcPr>
            <w:tcW w:type="dxa" w:w="19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모듈 1
라우팅 엔진</w:t>
            </w:r>
          </w:p>
        </w:tc>
        <w:tc>
          <w:tcPr>
            <w:tcW w:type="dxa" w:w="39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승하차 인원, 짐배송 흐름, 엘리베이터/에스컬레이터 정보, 대체경로, 승강장 간격</w:t>
            </w:r>
          </w:p>
        </w:tc>
        <w:tc>
          <w:tcPr>
            <w:tcW w:type="dxa" w:w="346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엘리베이터 혼잡 시간대에 교통약자 우선 동선 확보, 짐 이동은 대체 시간대로 분산</w:t>
            </w:r>
          </w:p>
        </w:tc>
      </w:tr>
      <w:tr>
        <w:tc>
          <w:tcPr>
            <w:tcW w:type="dxa" w:w="1900"/>
            <w:tcMar>
              <w:top w:type="dxa" w:w="60"/>
              <w:left w:type="dxa" w:w="100"/>
              <w:bottom w:type="dxa" w:w="60"/>
              <w:right w:type="dxa" w:w="100"/>
            </w:tcMar>
            <w:vAlign w:val="center"/>
          </w:tcPr>
          <w:p>
            <w:pPr>
              <w:jc w:val="left"/>
            </w:pPr>
            <w:r>
              <w:rPr>
                <w:b w:val="false"/>
                <w:bCs w:val="false"/>
                <w:color w:val="222222"/>
                <w:sz w:val="18"/>
                <w:szCs w:val="18"/>
              </w:rPr>
              <w:t xml:space="preserve">모듈 2
여정·물류 최적화</w:t>
            </w:r>
          </w:p>
        </w:tc>
        <w:tc>
          <w:tcPr>
            <w:tcW w:type="dxa" w:w="3900"/>
            <w:tcMar>
              <w:top w:type="dxa" w:w="60"/>
              <w:left w:type="dxa" w:w="100"/>
              <w:bottom w:type="dxa" w:w="60"/>
              <w:right w:type="dxa" w:w="100"/>
            </w:tcMar>
            <w:vAlign w:val="center"/>
          </w:tcPr>
          <w:p>
            <w:pPr>
              <w:jc w:val="left"/>
            </w:pPr>
            <w:r>
              <w:rPr>
                <w:b w:val="false"/>
                <w:bCs w:val="false"/>
                <w:color w:val="222222"/>
                <w:sz w:val="18"/>
                <w:szCs w:val="18"/>
              </w:rPr>
              <w:t xml:space="preserve">승하차 인원, 짐배송 흐름, 물품보관함 현황</w:t>
            </w:r>
          </w:p>
        </w:tc>
        <w:tc>
          <w:tcPr>
            <w:tcW w:type="dxa" w:w="3460"/>
            <w:tcMar>
              <w:top w:type="dxa" w:w="60"/>
              <w:left w:type="dxa" w:w="100"/>
              <w:bottom w:type="dxa" w:w="60"/>
              <w:right w:type="dxa" w:w="100"/>
            </w:tcMar>
            <w:vAlign w:val="center"/>
          </w:tcPr>
          <w:p>
            <w:pPr>
              <w:jc w:val="left"/>
            </w:pPr>
            <w:r>
              <w:rPr>
                <w:b w:val="false"/>
                <w:bCs w:val="false"/>
                <w:color w:val="222222"/>
                <w:sz w:val="18"/>
                <w:szCs w:val="18"/>
              </w:rPr>
              <w:t xml:space="preserve">혼잡 회피 동선은 교통약자 동반 여행객에게도 동일하게 유효</w:t>
            </w:r>
          </w:p>
        </w:tc>
      </w:tr>
      <w:tr>
        <w:tc>
          <w:tcPr>
            <w:tcW w:type="dxa" w:w="19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모듈 3
로컬 넛지</w:t>
            </w:r>
          </w:p>
        </w:tc>
        <w:tc>
          <w:tcPr>
            <w:tcW w:type="dxa" w:w="390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짐배송 흐름(내/외국인 비율), 역사 정보, 승하차 인원</w:t>
            </w:r>
          </w:p>
        </w:tc>
        <w:tc>
          <w:tcPr>
            <w:tcW w:type="dxa" w:w="3460"/>
            <w:shd w:fill="F2F4F8" w:val="clear"/>
            <w:tcMar>
              <w:top w:type="dxa" w:w="60"/>
              <w:left w:type="dxa" w:w="100"/>
              <w:bottom w:type="dxa" w:w="60"/>
              <w:right w:type="dxa" w:w="100"/>
            </w:tcMar>
            <w:vAlign w:val="center"/>
          </w:tcPr>
          <w:p>
            <w:pPr>
              <w:jc w:val="left"/>
            </w:pPr>
            <w:r>
              <w:rPr>
                <w:b w:val="false"/>
                <w:bCs w:val="false"/>
                <w:color w:val="222222"/>
                <w:sz w:val="18"/>
                <w:szCs w:val="18"/>
              </w:rPr>
              <w:t xml:space="preserve">교통약자 네비게이션 키오스크 지원 언어·서비스 정보를 넛지 알림에 함께 제공</w:t>
            </w:r>
          </w:p>
        </w:tc>
      </w:tr>
    </w:tbl>
    <w:p>
      <w:pPr>
        <w:spacing w:after="200" w:before="60"/>
      </w:pPr>
      <w:r>
        <w:rPr>
          <w:i/>
          <w:iCs/>
          <w:color w:val="5A5A5A"/>
          <w:sz w:val="17"/>
          <w:szCs w:val="17"/>
        </w:rPr>
        <w:t xml:space="preserve">표 3. 모듈별 데이터 활용 및 교통약자 배려 반영 지점</w:t>
      </w:r>
    </w:p>
    <w:p>
      <w:pPr>
        <w:pStyle w:val="Heading1"/>
        <w:pBdr>
          <w:bottom w:val="single" w:color="0F1B3D" w:sz="12" w:space="4"/>
        </w:pBdr>
        <w:spacing w:after="200" w:before="400"/>
      </w:pPr>
      <w:r>
        <w:rPr>
          <w:b/>
          <w:bCs/>
          <w:color w:val="1F4E9C"/>
          <w:sz w:val="30"/>
          <w:szCs w:val="30"/>
        </w:rPr>
        <w:t xml:space="preserve">5. </w:t>
      </w:r>
      <w:r>
        <w:rPr>
          <w:b/>
          <w:bCs/>
          <w:color w:val="0F1B3D"/>
          <w:sz w:val="30"/>
          <w:szCs w:val="30"/>
        </w:rPr>
        <w:t xml:space="preserve">기대효과 및 확장 가능성</w:t>
      </w:r>
    </w:p>
    <w:p>
      <w:pPr>
        <w:pStyle w:val="Heading2"/>
        <w:spacing w:after="120" w:before="260"/>
      </w:pPr>
      <w:r>
        <w:rPr>
          <w:b/>
          <w:bCs/>
          <w:color w:val="1F4E9C"/>
          <w:sz w:val="24"/>
          <w:szCs w:val="24"/>
        </w:rPr>
        <w:t xml:space="preserve">5.1 이해관계자별 기대효과</w:t>
      </w:r>
    </w:p>
    <w:p>
      <w:pPr>
        <w:pStyle w:val="ListParagraph"/>
        <w:numPr>
          <w:ilvl w:val="0"/>
          <w:numId w:val="2"/>
        </w:numPr>
        <w:spacing w:after="60" w:line="280"/>
      </w:pPr>
      <w:r>
        <w:rPr>
          <w:color w:val="222222"/>
          <w:sz w:val="20"/>
          <w:szCs w:val="20"/>
        </w:rPr>
        <w:t xml:space="preserve">부산교통공사 — 짐 이동으로 인한 이동편의시설 부하를 사전에 파악해 교통약자 이동권을 보호하고, 대체경로 데이터를 실제 안내 서비스에 연계</w:t>
      </w:r>
    </w:p>
    <w:p>
      <w:pPr>
        <w:pStyle w:val="ListParagraph"/>
        <w:numPr>
          <w:ilvl w:val="0"/>
          <w:numId w:val="2"/>
        </w:numPr>
        <w:spacing w:after="60" w:line="280"/>
      </w:pPr>
      <w:r>
        <w:rPr>
          <w:color w:val="222222"/>
          <w:sz w:val="20"/>
          <w:szCs w:val="20"/>
        </w:rPr>
        <w:t xml:space="preserve">㈜짐캐리 — 배송 지연 리스크 감소, 이벤트 캘린더 연동 수요 예측으로 배차 효율 향상, 로컬 제휴 수수료 기반 신규 수익모델 확보</w:t>
      </w:r>
    </w:p>
    <w:p>
      <w:pPr>
        <w:pStyle w:val="ListParagraph"/>
        <w:numPr>
          <w:ilvl w:val="0"/>
          <w:numId w:val="2"/>
        </w:numPr>
        <w:spacing w:after="60" w:line="280"/>
      </w:pPr>
      <w:r>
        <w:rPr>
          <w:color w:val="222222"/>
          <w:sz w:val="20"/>
          <w:szCs w:val="20"/>
        </w:rPr>
        <w:t xml:space="preserve">관광객 — 짐 없이 가벼운 상태로 이동 경로·대기시간·상권 정보를 한 번에 제공받아 여정 만족도 향상</w:t>
      </w:r>
    </w:p>
    <w:p>
      <w:pPr>
        <w:pStyle w:val="ListParagraph"/>
        <w:numPr>
          <w:ilvl w:val="0"/>
          <w:numId w:val="2"/>
        </w:numPr>
        <w:spacing w:after="60" w:line="280"/>
      </w:pPr>
      <w:r>
        <w:rPr>
          <w:color w:val="222222"/>
          <w:sz w:val="20"/>
          <w:szCs w:val="20"/>
        </w:rPr>
        <w:t xml:space="preserve">지역 상권 — 빈손 관광객의 단기 소비 유입으로 역세권 로컬 매장 활성화</w:t>
      </w:r>
    </w:p>
    <w:p>
      <w:pPr>
        <w:pStyle w:val="Heading2"/>
        <w:spacing w:after="120" w:before="260"/>
      </w:pPr>
      <w:r>
        <w:rPr>
          <w:b/>
          <w:bCs/>
          <w:color w:val="1F4E9C"/>
          <w:sz w:val="24"/>
          <w:szCs w:val="24"/>
        </w:rPr>
        <w:t xml:space="preserve">5.2 ETRI 제주관광데이터 과제와의 연계</w:t>
      </w:r>
    </w:p>
    <w:p>
      <w:pPr>
        <w:spacing w:after="120" w:line="300"/>
      </w:pPr>
      <w:r>
        <w:rPr>
          <w:color w:val="222222"/>
          <w:sz w:val="20"/>
          <w:szCs w:val="20"/>
        </w:rPr>
        <w:t xml:space="preserve">본 팀이 수행 중인 ETRI 제주관광데이터 활용 과제의 관광객 세분화·목적지 추천 모델은 이동 수단만 다를 뿐(제주: 렌터카 중심 / 부산: 도시철도·짐배송 중심) 핵심 로직은 동일하게 재사용할 수 있습니다. 이는 본 제안이 부산 한정 아이디어가 아니라, 관광 거점 도시 전반에 적용 가능한 확장형 모델임을 보여주는 근거이며, 실제 해커톤 기간 내 개발 속도와 완성도 측면에서도 실질적 이점을 제공합니다.</w:t>
      </w:r>
    </w:p>
    <w:p>
      <w:pPr>
        <w:pStyle w:val="Heading1"/>
        <w:pBdr>
          <w:bottom w:val="single" w:color="0F1B3D" w:sz="12" w:space="4"/>
        </w:pBdr>
        <w:spacing w:after="200" w:before="400"/>
      </w:pPr>
      <w:r>
        <w:rPr>
          <w:b/>
          <w:bCs/>
          <w:color w:val="1F4E9C"/>
          <w:sz w:val="30"/>
          <w:szCs w:val="30"/>
        </w:rPr>
        <w:t xml:space="preserve">6. </w:t>
      </w:r>
      <w:r>
        <w:rPr>
          <w:b/>
          <w:bCs/>
          <w:color w:val="0F1B3D"/>
          <w:sz w:val="30"/>
          <w:szCs w:val="30"/>
        </w:rPr>
        <w:t xml:space="preserve">결론</w:t>
      </w:r>
    </w:p>
    <w:p>
      <w:pPr>
        <w:spacing w:after="120" w:line="300"/>
      </w:pPr>
      <w:r>
        <w:rPr>
          <w:color w:val="222222"/>
          <w:sz w:val="20"/>
          <w:szCs w:val="20"/>
        </w:rPr>
        <w:t xml:space="preserve">본 제안은 '짐이 주는 무게, 이동의 한계'라는 문제를 세 가지로 쪼개지 않고, 교통약자 이동권 보호·짐 물류 효율화·관광객 여정 개선이라는 세 목표를 하나의 데이터 파이프라인으로 통합해 해소합니다. 제공된 11종 공공·민간 데이터와 짐캐리의 실제 부산 인프라 현황(무인 3개소·유인 5개소)을 모두 유기적으로 결합함으로써, 데이터 기반 문제해결능력과 서비스 완성도를 동시에 만족시키는 것을 목표로 합니다.</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t>
    </w:r>
    <w:r>
      <w:rPr>
        <w:color w:val="5A5A5A"/>
        <w:sz w:val="16"/>
        <w:szCs w:val="16"/>
      </w:rPr>
      <w:fldChar w:fldCharType="begin"/>
      <w:instrText xml:space="preserve">PAGE</w:instrText>
      <w:fldChar w:fldCharType="separate"/>
      <w:fldChar w:fldCharType="end"/>
    </w:r>
    <w:r>
      <w:rPr>
        <w:color w:val="5A5A5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5"/>
        <w:szCs w:val="15"/>
      </w:rPr>
      <w:t xml:space="preserve">DIVE 2026 · 부산교통공사 × 짐캐리 해커톤 기획보고서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2026-07-08T04:25:10.946Z</dcterms:created>
  <dcterms:modified xsi:type="dcterms:W3CDTF">2026-07-08T04:25:10.970Z</dcterms:modified>
</cp:coreProperties>
</file>

<file path=docProps/custom.xml><?xml version="1.0" encoding="utf-8"?>
<Properties xmlns="http://schemas.openxmlformats.org/officeDocument/2006/custom-properties" xmlns:vt="http://schemas.openxmlformats.org/officeDocument/2006/docPropsVTypes"/>
</file>