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582565" w:rsidRPr="00A6633B" w:rsidRDefault="00582565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新汇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582565" w:rsidRPr="00A6633B" w:rsidRDefault="00582565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新汇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955F7B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955F7B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955F7B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955F7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955F7B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955F7B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955F7B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lastRenderedPageBreak/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8470564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8470565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8470566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lastRenderedPageBreak/>
        <w:t xml:space="preserve"> </w:t>
      </w:r>
      <w:bookmarkStart w:id="16" w:name="_Toc518470568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1"/>
      <w:r>
        <w:rPr>
          <w:rFonts w:hint="eastAsia"/>
          <w:lang w:val="zh-TW" w:eastAsia="zh-TW"/>
        </w:rPr>
        <w:t>接口定义</w:t>
      </w:r>
      <w:bookmarkEnd w:id="19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</w:t>
            </w:r>
            <w:r>
              <w:rPr>
                <w:rFonts w:hint="eastAsia"/>
              </w:rPr>
              <w:lastRenderedPageBreak/>
              <w:t>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582565" w:rsidRPr="00121AA4" w:rsidRDefault="0058256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582565" w:rsidRPr="00121AA4" w:rsidRDefault="0058256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582565" w:rsidRPr="00121AA4" w:rsidRDefault="0058256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582565" w:rsidRPr="00121AA4" w:rsidRDefault="00582565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582565" w:rsidRPr="00121AA4" w:rsidRDefault="00582565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582565" w:rsidRPr="00121AA4" w:rsidRDefault="0058256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582565" w:rsidRPr="00121AA4" w:rsidRDefault="00582565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文本框 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582565" w:rsidRPr="00121AA4" w:rsidRDefault="0058256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582565" w:rsidRPr="00121AA4" w:rsidRDefault="0058256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582565" w:rsidRPr="00121AA4" w:rsidRDefault="0058256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582565" w:rsidRPr="00121AA4" w:rsidRDefault="00582565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582565" w:rsidRPr="00121AA4" w:rsidRDefault="00582565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582565" w:rsidRPr="00121AA4" w:rsidRDefault="0058256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582565" w:rsidRPr="00121AA4" w:rsidRDefault="00582565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0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0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1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2" w:name="_Toc518470574"/>
      <w:r>
        <w:rPr>
          <w:rFonts w:hint="eastAsia"/>
          <w:lang w:val="zh-TW" w:eastAsia="zh-TW"/>
        </w:rPr>
        <w:t>接口定义</w:t>
      </w:r>
      <w:bookmarkEnd w:id="22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D5449" w14:paraId="1470CF4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C856" w14:textId="46CBCD13" w:rsidR="00DD5449" w:rsidRPr="0043238A" w:rsidRDefault="00DD5449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6FA6" w14:textId="00289C4A" w:rsidR="00DD5449" w:rsidRPr="0043238A" w:rsidRDefault="00DD5449" w:rsidP="00DD5449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F612" w14:textId="6DFE300F" w:rsidR="00DD5449" w:rsidRPr="0043238A" w:rsidRDefault="00DD5449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BDF2" w14:textId="3C0E08D2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C999" w14:textId="01753D47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E6DF" w14:textId="21F5ED32" w:rsidR="00DD5449" w:rsidRPr="0043238A" w:rsidRDefault="00DD5449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447AA020" w:rsidR="0043238A" w:rsidRPr="0043238A" w:rsidRDefault="00582565" w:rsidP="0043238A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3BA6B551" w:rsidR="0043238A" w:rsidRPr="0043238A" w:rsidRDefault="00582565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9</w:t>
            </w:r>
            <w:r w:rsidR="0043238A" w:rsidRPr="0043238A">
              <w:rPr>
                <w:lang w:val="zh-TW" w:eastAsia="zh-TW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1C5252FB" w:rsidR="0043238A" w:rsidRPr="0043238A" w:rsidRDefault="00582565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2A0E624E" w:rsidR="0043238A" w:rsidRPr="0043238A" w:rsidRDefault="0043238A" w:rsidP="00582565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1</w:t>
            </w:r>
            <w:r w:rsidR="00582565">
              <w:rPr>
                <w:rFonts w:hint="eastAsia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107B559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357880"/>
                <wp:effectExtent l="0" t="0" r="2032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35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582565" w:rsidRPr="00491845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582565" w:rsidRDefault="0058256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582565" w:rsidRPr="00D106A6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582565" w:rsidRDefault="0058256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582565" w:rsidRPr="00D106A6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69CC8F1C" w:rsidR="00582565" w:rsidRDefault="00582565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</w:t>
                            </w:r>
                            <w:r w:rsidR="004A1AD8">
                              <w:t>"</w:t>
                            </w:r>
                            <w:r w:rsidR="004A1AD8" w:rsidRPr="004A1AD8">
                              <w:rPr>
                                <w:lang w:val="zh-TW" w:eastAsia="zh-TW"/>
                              </w:rPr>
                              <w:t xml:space="preserve"> </w:t>
                            </w:r>
                            <w:r w:rsidR="004A1AD8">
                              <w:rPr>
                                <w:lang w:val="zh-TW" w:eastAsia="zh-TW"/>
                              </w:rPr>
                              <w:t>paid_</w:t>
                            </w:r>
                            <w:r w:rsidR="004A1AD8">
                              <w:rPr>
                                <w:rFonts w:hint="eastAsia"/>
                                <w:lang w:val="zh-TW"/>
                              </w:rPr>
                              <w:t>amount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: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8.00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"trade_status":"paying","sign":"</w:t>
                            </w:r>
                            <w:r w:rsidR="00816314" w:rsidRPr="00816314">
                              <w:t>ebdf40181a7536df89bd476c55906a5c%</w:t>
                            </w:r>
                            <w:r>
                              <w:t>"}</w:t>
                            </w:r>
                          </w:p>
                          <w:p w14:paraId="39AAFF00" w14:textId="79A53BBE" w:rsidR="00582565" w:rsidRPr="00121AA4" w:rsidRDefault="00582565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文本框 2" o:spid="_x0000_s1032" type="#_x0000_t202" style="position:absolute;left:0;text-align:left;margin-left:.35pt;margin-top:13pt;width:388.4pt;height:2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" fillcolor="#f2f2f2 [3052]" strokeweight=".5pt">
                <v:textbox inset="45719emu,45719emu,45719emu,45719emu">
                  <w:txbxContent>
                    <w:p w14:paraId="52F1DA23" w14:textId="77777777" w:rsidR="00582565" w:rsidRPr="00491845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582565" w:rsidRDefault="00582565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582565" w:rsidRPr="00D106A6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582565" w:rsidRDefault="00582565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582565" w:rsidRPr="00D106A6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69CC8F1C" w:rsidR="00582565" w:rsidRDefault="00582565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</w:t>
                      </w:r>
                      <w:r w:rsidR="004A1AD8">
                        <w:t>"</w:t>
                      </w:r>
                      <w:r w:rsidR="004A1AD8" w:rsidRPr="004A1AD8">
                        <w:rPr>
                          <w:lang w:val="zh-TW" w:eastAsia="zh-TW"/>
                        </w:rPr>
                        <w:t xml:space="preserve"> </w:t>
                      </w:r>
                      <w:r w:rsidR="004A1AD8">
                        <w:rPr>
                          <w:lang w:val="zh-TW" w:eastAsia="zh-TW"/>
                        </w:rPr>
                        <w:t>paid_</w:t>
                      </w:r>
                      <w:r w:rsidR="004A1AD8">
                        <w:rPr>
                          <w:rFonts w:hint="eastAsia"/>
                          <w:lang w:val="zh-TW"/>
                        </w:rPr>
                        <w:t>amount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: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8.00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,</w:t>
                      </w:r>
                      <w:r>
                        <w:t>"trade_status":"paying","sign":"</w:t>
                      </w:r>
                      <w:r w:rsidR="00816314" w:rsidRPr="00816314">
                        <w:t>ebdf40181a7536df89bd476c55906a5c%</w:t>
                      </w:r>
                      <w:r>
                        <w:t>"}</w:t>
                      </w:r>
                    </w:p>
                    <w:p w14:paraId="39AAFF00" w14:textId="79A53BBE" w:rsidR="00582565" w:rsidRPr="00121AA4" w:rsidRDefault="00582565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3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rFonts w:hint="eastAsia"/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7946A683" w14:textId="54D9FE36" w:rsidR="00406E58" w:rsidRDefault="00406E58" w:rsidP="00406E58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通知方式为</w:t>
      </w:r>
      <w:r w:rsidR="00C56B54">
        <w:rPr>
          <w:rFonts w:hint="eastAsia"/>
          <w:lang w:val="zh-TW"/>
        </w:rPr>
        <w:t>HTTP RAW POST,数据格式为UTF8编码的JSON</w:t>
      </w:r>
      <w:r w:rsidR="00D5318F">
        <w:rPr>
          <w:rFonts w:hint="eastAsia"/>
          <w:lang w:val="zh-TW"/>
        </w:rPr>
        <w:t>.</w:t>
      </w:r>
      <w:bookmarkStart w:id="25" w:name="_GoBack"/>
      <w:bookmarkEnd w:id="25"/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6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6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9746F" w14:paraId="09072C6D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A8FE" w14:textId="5F065EE0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DCD5" w14:textId="2FA6828C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B8F0" w14:textId="21EB0F60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95B2" w14:textId="51B99989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A495" w14:textId="5843F76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693" w14:textId="42782EEC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D9746F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53CEB365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D9746F" w:rsidRDefault="00D9746F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D9746F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1449FA5C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D9746F" w:rsidRPr="00686A67" w:rsidRDefault="00D9746F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D9746F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5E02813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D9746F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D9746F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2B316A5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D9746F" w:rsidRPr="002A6080" w:rsidRDefault="00D9746F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D9746F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3C5B6A4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D9746F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6B1AA3C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D9746F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D9746F" w:rsidRPr="00686A67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3E852C3F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813050"/>
                <wp:effectExtent l="0" t="0" r="20320" b="317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1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582565" w:rsidRDefault="00582565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0CE4E85E" w:rsidR="00582565" w:rsidRDefault="00582565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</w:t>
                            </w:r>
                            <w:r w:rsidR="00816314">
                              <w:t>"</w:t>
                            </w:r>
                            <w:r w:rsidR="00816314">
                              <w:rPr>
                                <w:rFonts w:hint="eastAsia"/>
                              </w:rPr>
                              <w:t>paid</w:t>
                            </w:r>
                            <w:r w:rsidR="00816314">
                              <w:t>_amount":"5.00",</w:t>
                            </w:r>
                            <w:r>
                              <w:t>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582565" w:rsidRPr="00564282" w:rsidRDefault="0058256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0081234D" w14:textId="5A2876AB" w:rsidR="004D31C2" w:rsidRDefault="004D31C2" w:rsidP="00564282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      </w:r>
                          </w:p>
                          <w:p w14:paraId="0FE7D97C" w14:textId="7533FE56" w:rsidR="00582565" w:rsidRPr="00DE63F1" w:rsidRDefault="0058256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E12442D" w14:textId="77777777" w:rsidR="004D31C2" w:rsidRDefault="004D31C2" w:rsidP="00C973AF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      </w:r>
                          </w:p>
                          <w:p w14:paraId="7194EA22" w14:textId="7DCE66A2" w:rsidR="00582565" w:rsidRPr="004D31C2" w:rsidRDefault="00582565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 w:rsidR="004D31C2" w:rsidRPr="004D31C2">
                              <w:t>6334c3968959186b758d0187b2c6afb5</w:t>
                            </w:r>
                          </w:p>
                          <w:p w14:paraId="08C0526A" w14:textId="3A8DEB9E" w:rsidR="00582565" w:rsidRDefault="00582565" w:rsidP="00C973AF">
                            <w:pPr>
                              <w:jc w:val="left"/>
                            </w:pPr>
                          </w:p>
                          <w:p w14:paraId="60B9815F" w14:textId="77777777" w:rsidR="00582565" w:rsidRDefault="00582565" w:rsidP="00564282">
                            <w:pPr>
                              <w:jc w:val="left"/>
                            </w:pPr>
                          </w:p>
                          <w:p w14:paraId="6E2CB298" w14:textId="77777777" w:rsidR="00582565" w:rsidRDefault="00582565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文本框 3" o:spid="_x0000_s1033" type="#_x0000_t202" style="position:absolute;left:0;text-align:left;margin-left:.35pt;margin-top:13pt;width:388.4pt;height:2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6CBC5CB0" w14:textId="2F18E83F" w:rsidR="00582565" w:rsidRDefault="00582565" w:rsidP="00543444">
                      <w:pPr>
                        <w:jc w:val="left"/>
                      </w:pPr>
                      <w:bookmarkStart w:id="27" w:name="_GoBack"/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0CE4E85E" w:rsidR="00582565" w:rsidRDefault="00582565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</w:t>
                      </w:r>
                      <w:r w:rsidR="00816314">
                        <w:t>"</w:t>
                      </w:r>
                      <w:r w:rsidR="00816314">
                        <w:rPr>
                          <w:rFonts w:hint="eastAsia"/>
                        </w:rPr>
                        <w:t>paid</w:t>
                      </w:r>
                      <w:r w:rsidR="00816314">
                        <w:t>_amount":"5.00",</w:t>
                      </w:r>
                      <w:r>
                        <w:t>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582565" w:rsidRPr="00564282" w:rsidRDefault="0058256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0081234D" w14:textId="5A2876AB" w:rsidR="004D31C2" w:rsidRDefault="004D31C2" w:rsidP="00564282">
                      <w:pPr>
                        <w:jc w:val="left"/>
                        <w:rPr>
                          <w:rFonts w:hint="eastAsia"/>
                        </w:rPr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</w:r>
                    </w:p>
                    <w:p w14:paraId="0FE7D97C" w14:textId="7533FE56" w:rsidR="00582565" w:rsidRPr="00DE63F1" w:rsidRDefault="0058256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5E12442D" w14:textId="77777777" w:rsidR="004D31C2" w:rsidRDefault="004D31C2" w:rsidP="00C973AF">
                      <w:pPr>
                        <w:jc w:val="left"/>
                        <w:rPr>
                          <w:rFonts w:hint="eastAsia"/>
                        </w:rPr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</w:r>
                    </w:p>
                    <w:p w14:paraId="7194EA22" w14:textId="7DCE66A2" w:rsidR="00582565" w:rsidRPr="004D31C2" w:rsidRDefault="00582565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 w:rsidR="004D31C2" w:rsidRPr="004D31C2">
                        <w:t>6334c3968959186b758d0187b2c6afb5</w:t>
                      </w:r>
                    </w:p>
                    <w:p w14:paraId="08C0526A" w14:textId="3A8DEB9E" w:rsidR="00582565" w:rsidRDefault="00582565" w:rsidP="00C973AF">
                      <w:pPr>
                        <w:jc w:val="left"/>
                      </w:pPr>
                    </w:p>
                    <w:p w14:paraId="60B9815F" w14:textId="77777777" w:rsidR="00582565" w:rsidRDefault="00582565" w:rsidP="00564282">
                      <w:pPr>
                        <w:jc w:val="left"/>
                      </w:pPr>
                    </w:p>
                    <w:p w14:paraId="6E2CB298" w14:textId="77777777" w:rsidR="00582565" w:rsidRDefault="00582565" w:rsidP="00543444">
                      <w:pPr>
                        <w:jc w:val="left"/>
                      </w:pPr>
                    </w:p>
                    <w:bookmarkEnd w:id="27"/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7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7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8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8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9" w:name="_Toc518470580"/>
      <w:r>
        <w:rPr>
          <w:rFonts w:hint="eastAsia"/>
          <w:lang w:val="zh-TW" w:eastAsia="zh-TW"/>
        </w:rPr>
        <w:t>接口定义</w:t>
      </w:r>
      <w:bookmarkEnd w:id="29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191"/>
        <w:gridCol w:w="1643"/>
        <w:gridCol w:w="1134"/>
        <w:gridCol w:w="709"/>
        <w:gridCol w:w="2610"/>
      </w:tblGrid>
      <w:tr w:rsidR="000A6B11" w14:paraId="1F98162A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4A1AD8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4A1AD8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4A1AD8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955F7B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1E00A197" w14:textId="4BE64EFF" w:rsidR="0081740D" w:rsidRPr="00D302A0" w:rsidRDefault="0081740D" w:rsidP="00D302A0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633D1F51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582565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573CC3FB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6003C94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md5签名值：02804b77ac0c0f368f3bea6968e2cd51</w:t>
                            </w:r>
                          </w:p>
                          <w:p w14:paraId="20BBCEF9" w14:textId="77777777" w:rsidR="00582565" w:rsidRDefault="00582565" w:rsidP="001952B5">
                            <w:pPr>
                              <w:jc w:val="left"/>
                            </w:pPr>
                            <w:r w:rsidRPr="002337AD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https://gateway.gd95516.com/api/v1/remit</w:t>
                            </w:r>
                          </w:p>
                          <w:p w14:paraId="5FFFF32F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79212BE9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582565" w:rsidRPr="00E23678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23678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43E1C9C0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582565" w:rsidRPr="00121AA4" w:rsidRDefault="00582565" w:rsidP="00C1349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文本框 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请求参数：</w:t>
                      </w:r>
                    </w:p>
                    <w:p w14:paraId="633D1F51" w14:textId="77777777" w:rsidR="00582565" w:rsidRDefault="0058256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582565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参数排序后字符串：</w:t>
                      </w:r>
                    </w:p>
                    <w:p w14:paraId="573CC3FB" w14:textId="77777777" w:rsidR="00582565" w:rsidRDefault="0058256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加上key后字符串：</w:t>
                      </w:r>
                    </w:p>
                    <w:p w14:paraId="56003C94" w14:textId="77777777" w:rsidR="00582565" w:rsidRDefault="0058256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582565" w:rsidRDefault="00582565" w:rsidP="001952B5">
                      <w:pPr>
                        <w:jc w:val="left"/>
                      </w:pPr>
                      <w:r>
                        <w:t>md5签名值：02804b77ac0c0f368f3bea6968e2cd51</w:t>
                      </w:r>
                    </w:p>
                    <w:p w14:paraId="20BBCEF9" w14:textId="77777777" w:rsidR="00582565" w:rsidRDefault="00582565" w:rsidP="001952B5">
                      <w:pPr>
                        <w:jc w:val="left"/>
                      </w:pPr>
                      <w:r w:rsidRPr="002337AD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https://gateway.gd95516.com/api/v1/remit</w:t>
                      </w:r>
                    </w:p>
                    <w:p w14:paraId="5FFFF32F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请求数据：</w:t>
                      </w:r>
                    </w:p>
                    <w:p w14:paraId="79212BE9" w14:textId="77777777" w:rsidR="00582565" w:rsidRDefault="0058256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582565" w:rsidRPr="00E23678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E23678">
                        <w:rPr>
                          <w:color w:val="FF0000"/>
                        </w:rPr>
                        <w:t>响应数据：</w:t>
                      </w:r>
                    </w:p>
                    <w:p w14:paraId="43E1C9C0" w14:textId="77777777" w:rsidR="00582565" w:rsidRDefault="00582565" w:rsidP="001952B5">
                      <w:pPr>
                        <w:jc w:val="left"/>
                      </w:pPr>
                      <w: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582565" w:rsidRPr="00121AA4" w:rsidRDefault="00582565" w:rsidP="00C13492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64ADD741" w:rsidR="00835D5C" w:rsidRPr="00CE02A5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FF0000"/>
          <w:lang w:val="zh-TW" w:eastAsia="zh-TW"/>
        </w:rPr>
      </w:pPr>
      <w:bookmarkStart w:id="30" w:name="_Toc518470582"/>
      <w:r w:rsidRPr="00CE02A5">
        <w:rPr>
          <w:rFonts w:hint="eastAsia"/>
          <w:color w:val="FF0000"/>
          <w:lang w:val="zh-TW" w:eastAsia="zh-TW"/>
        </w:rPr>
        <w:t>代</w:t>
      </w:r>
      <w:r w:rsidRPr="00CE02A5">
        <w:rPr>
          <w:color w:val="FF0000"/>
          <w:lang w:val="zh-TW" w:eastAsia="zh-TW"/>
        </w:rPr>
        <w:t>付</w:t>
      </w:r>
      <w:r w:rsidRPr="00CE02A5">
        <w:rPr>
          <w:rFonts w:hint="eastAsia"/>
          <w:color w:val="FF0000"/>
          <w:lang w:val="zh-TW" w:eastAsia="zh-TW"/>
        </w:rPr>
        <w:t>结果</w:t>
      </w:r>
      <w:r w:rsidRPr="00CE02A5">
        <w:rPr>
          <w:color w:val="FF0000"/>
          <w:lang w:val="zh-TW" w:eastAsia="zh-TW"/>
        </w:rPr>
        <w:t>通知</w:t>
      </w:r>
      <w:r w:rsidR="00CE02A5" w:rsidRPr="00CE02A5">
        <w:rPr>
          <w:color w:val="FF0000"/>
          <w:lang w:val="zh-TW" w:eastAsia="zh-TW"/>
        </w:rPr>
        <w:t>(</w:t>
      </w:r>
      <w:r w:rsidR="00CE02A5">
        <w:rPr>
          <w:color w:val="FF0000"/>
          <w:lang w:val="zh-TW"/>
        </w:rPr>
        <w:t>此接口</w:t>
      </w:r>
      <w:r w:rsidR="00CE02A5">
        <w:rPr>
          <w:rFonts w:hint="eastAsia"/>
          <w:color w:val="FF0000"/>
          <w:lang w:val="zh-TW"/>
        </w:rPr>
        <w:t>暂未</w:t>
      </w:r>
      <w:r w:rsidR="00CE02A5">
        <w:rPr>
          <w:color w:val="FF0000"/>
          <w:lang w:val="zh-TW"/>
        </w:rPr>
        <w:t>上线</w:t>
      </w:r>
      <w:r w:rsidR="00CE02A5" w:rsidRPr="00CE02A5">
        <w:rPr>
          <w:color w:val="FF0000"/>
          <w:lang w:val="zh-TW" w:eastAsia="zh-TW"/>
        </w:rPr>
        <w:t>)</w:t>
      </w:r>
      <w:bookmarkEnd w:id="30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1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1"/>
    </w:p>
    <w:p w14:paraId="0D767103" w14:textId="7C92A137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 w:rsidR="0081740D">
        <w:rPr>
          <w:rFonts w:hint="eastAsia"/>
          <w:lang w:val="zh-TW"/>
        </w:rPr>
        <w:t>代付</w:t>
      </w:r>
      <w:r>
        <w:rPr>
          <w:lang w:val="zh-TW"/>
        </w:rPr>
        <w:t>成功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73E426E4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Pr="00835D5C">
        <w:rPr>
          <w:rFonts w:hint="eastAsia"/>
          <w:lang w:val="zh-TW"/>
        </w:rPr>
        <w:t>次。通知时间为订单之后的1</w:t>
      </w:r>
      <w:r w:rsidRPr="00835D5C">
        <w:rPr>
          <w:lang w:val="zh-TW"/>
        </w:rPr>
        <w:t>,</w:t>
      </w:r>
      <w:r w:rsidRPr="00835D5C">
        <w:rPr>
          <w:rFonts w:hint="eastAsia"/>
          <w:lang w:val="zh-TW"/>
        </w:rPr>
        <w:t>3</w:t>
      </w:r>
      <w:r w:rsidRPr="00835D5C">
        <w:rPr>
          <w:lang w:val="zh-TW"/>
        </w:rPr>
        <w:t>,7</w:t>
      </w:r>
      <w:r w:rsidRPr="00835D5C">
        <w:rPr>
          <w:rFonts w:hint="eastAsia"/>
          <w:lang w:val="zh-TW"/>
        </w:rPr>
        <w:t>分钟。</w:t>
      </w:r>
    </w:p>
    <w:p w14:paraId="2A38C2C4" w14:textId="77777777" w:rsidR="00835D5C" w:rsidRDefault="00835D5C" w:rsidP="00835D5C"/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2" w:name="_Toc518470584"/>
      <w:r>
        <w:rPr>
          <w:rFonts w:hint="eastAsia"/>
          <w:lang w:val="zh-TW" w:eastAsia="zh-TW"/>
        </w:rPr>
        <w:t>接口定义</w:t>
      </w:r>
      <w:bookmarkEnd w:id="32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582565" w:rsidRPr="005121FB" w:rsidRDefault="0058256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582565" w:rsidRPr="005121FB" w:rsidRDefault="0058256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582565" w:rsidRPr="008D263F" w:rsidRDefault="0058256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582565" w:rsidRPr="008D263F" w:rsidRDefault="0058256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文本框 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582565" w:rsidRPr="005121FB" w:rsidRDefault="0058256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582565" w:rsidRPr="005121FB" w:rsidRDefault="0058256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582565" w:rsidRPr="008D263F" w:rsidRDefault="0058256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582565" w:rsidRPr="008D263F" w:rsidRDefault="0058256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3" w:name="_Toc518470585"/>
      <w:r>
        <w:rPr>
          <w:rFonts w:hint="eastAsia"/>
          <w:lang w:val="zh-TW" w:eastAsia="zh-TW"/>
        </w:rPr>
        <w:lastRenderedPageBreak/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3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4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4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5" w:name="_Toc518470587"/>
      <w:r>
        <w:rPr>
          <w:rFonts w:hint="eastAsia"/>
          <w:lang w:val="zh-TW" w:eastAsia="zh-TW"/>
        </w:rPr>
        <w:t>接口定义</w:t>
      </w:r>
      <w:bookmarkEnd w:id="35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</w:t>
            </w:r>
            <w:r w:rsidRPr="0094574D">
              <w:rPr>
                <w:lang w:val="zh-TW" w:eastAsia="zh-TW"/>
              </w:rPr>
              <w:lastRenderedPageBreak/>
              <w:t>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lastRenderedPageBreak/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lastRenderedPageBreak/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582565" w:rsidRPr="00B27D06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582565" w:rsidRDefault="0058256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582565" w:rsidRDefault="0058256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582565" w:rsidRPr="00121AA4" w:rsidRDefault="00582565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文本框 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582565" w:rsidRPr="00B27D06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582565" w:rsidRDefault="00582565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582565" w:rsidRDefault="00582565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582565" w:rsidRDefault="00582565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582565" w:rsidRDefault="0058256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582565" w:rsidRDefault="0058256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582565" w:rsidRDefault="00582565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582565" w:rsidRDefault="00582565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582565" w:rsidRPr="00121AA4" w:rsidRDefault="00582565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6" w:name="_Toc518470588"/>
      <w:r>
        <w:rPr>
          <w:rFonts w:hint="eastAsia"/>
          <w:lang w:val="zh-TW" w:eastAsia="zh-TW"/>
        </w:rPr>
        <w:t>余额查询接口</w:t>
      </w:r>
      <w:bookmarkEnd w:id="36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7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7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8" w:name="_Toc518470590"/>
      <w:r>
        <w:rPr>
          <w:rFonts w:hint="eastAsia"/>
          <w:lang w:val="zh-TW" w:eastAsia="zh-TW"/>
        </w:rPr>
        <w:t>接口定义</w:t>
      </w:r>
      <w:bookmarkEnd w:id="38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582565" w:rsidRPr="000F3230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582565" w:rsidRPr="00337002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582565" w:rsidRDefault="00582565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582565" w:rsidRPr="00337002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582565" w:rsidRPr="00121AA4" w:rsidRDefault="00582565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文本框 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582565" w:rsidRPr="000F3230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582565" w:rsidRPr="00337002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582565" w:rsidRDefault="00582565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582565" w:rsidRPr="00337002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582565" w:rsidRPr="00121AA4" w:rsidRDefault="00582565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9" w:name="_Toc518470591"/>
      <w:r>
        <w:rPr>
          <w:lang w:val="zh-TW" w:eastAsia="zh-TW"/>
        </w:rPr>
        <w:t>附录</w:t>
      </w:r>
      <w:bookmarkEnd w:id="39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0" w:name="_交易类型代码对照表（pay_type参数）"/>
      <w:bookmarkStart w:id="41" w:name="_支付方式pay_type参数对照表"/>
      <w:bookmarkStart w:id="42" w:name="_支付类型（pay_type参数）对照表"/>
      <w:bookmarkStart w:id="43" w:name="_Toc518470592"/>
      <w:bookmarkEnd w:id="40"/>
      <w:bookmarkEnd w:id="41"/>
      <w:bookmarkEnd w:id="42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3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lastRenderedPageBreak/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4" w:name="_网银支付类型_代码对照表（bank_code参数对照表）"/>
      <w:bookmarkStart w:id="45" w:name="_网银支付类型_代码对照表（bank_code参数对照表）_1"/>
      <w:bookmarkStart w:id="46" w:name="_Toc518470593"/>
      <w:bookmarkEnd w:id="44"/>
      <w:bookmarkEnd w:id="45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6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lastRenderedPageBreak/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7" w:name="_非网银支付方式bank_code参数对照表"/>
      <w:bookmarkEnd w:id="47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8" w:name="_签名范例"/>
      <w:bookmarkStart w:id="49" w:name="_签名范例_1"/>
      <w:bookmarkStart w:id="50" w:name="_签名范例_2"/>
      <w:bookmarkStart w:id="51" w:name="_Toc518470594"/>
      <w:bookmarkEnd w:id="48"/>
      <w:bookmarkEnd w:id="49"/>
      <w:bookmarkEnd w:id="50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1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24050F8B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(value</w:t>
      </w:r>
      <w:r w:rsidR="00F20F4E">
        <w:rPr>
          <w:lang w:val="zh-TW" w:eastAsia="zh-TW"/>
        </w:rPr>
        <w:t>为空的域，</w:t>
      </w:r>
      <w:r w:rsidR="00F20F4E">
        <w:rPr>
          <w:rFonts w:hint="eastAsia"/>
          <w:lang w:val="zh-TW"/>
        </w:rPr>
        <w:t>需要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lastRenderedPageBreak/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DE5CA" w14:textId="77777777" w:rsidR="00955F7B" w:rsidRDefault="00955F7B">
      <w:r>
        <w:separator/>
      </w:r>
    </w:p>
  </w:endnote>
  <w:endnote w:type="continuationSeparator" w:id="0">
    <w:p w14:paraId="51CD3042" w14:textId="77777777" w:rsidR="00955F7B" w:rsidRDefault="0095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7B37C" w14:textId="77777777" w:rsidR="00955F7B" w:rsidRDefault="00955F7B">
      <w:r>
        <w:separator/>
      </w:r>
    </w:p>
  </w:footnote>
  <w:footnote w:type="continuationSeparator" w:id="0">
    <w:p w14:paraId="1A42D156" w14:textId="77777777" w:rsidR="00955F7B" w:rsidRDefault="00955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582565" w:rsidRPr="00A70F72" w:rsidRDefault="00582565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Pr="00A70F72">
      <w:rPr>
        <w:bCs/>
        <w:i/>
        <w:sz w:val="24"/>
        <w:szCs w:val="24"/>
        <w:lang w:val="zh-TW" w:eastAsia="zh-TW"/>
      </w:rPr>
      <w:t>汇</w:t>
    </w:r>
    <w:r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Pr="00A70F72">
      <w:rPr>
        <w:bCs/>
        <w:i/>
        <w:sz w:val="24"/>
        <w:szCs w:val="24"/>
        <w:lang w:val="zh-TW"/>
      </w:rPr>
      <w:t>–</w:t>
    </w:r>
    <w:r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149C"/>
    <w:rsid w:val="002A5E91"/>
    <w:rsid w:val="002A6080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E4C47"/>
    <w:rsid w:val="00406E58"/>
    <w:rsid w:val="0043238A"/>
    <w:rsid w:val="00456D43"/>
    <w:rsid w:val="00471C3F"/>
    <w:rsid w:val="00491845"/>
    <w:rsid w:val="004927A4"/>
    <w:rsid w:val="004932C7"/>
    <w:rsid w:val="00496D75"/>
    <w:rsid w:val="004A1AD8"/>
    <w:rsid w:val="004A37C7"/>
    <w:rsid w:val="004B3762"/>
    <w:rsid w:val="004C26A9"/>
    <w:rsid w:val="004C67ED"/>
    <w:rsid w:val="004D1C14"/>
    <w:rsid w:val="004D31C2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82565"/>
    <w:rsid w:val="0059514B"/>
    <w:rsid w:val="005A689C"/>
    <w:rsid w:val="005B1D5F"/>
    <w:rsid w:val="005C438E"/>
    <w:rsid w:val="005E7EAA"/>
    <w:rsid w:val="00601F8C"/>
    <w:rsid w:val="006028EF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C70"/>
    <w:rsid w:val="006D6F37"/>
    <w:rsid w:val="006F0C19"/>
    <w:rsid w:val="007006C3"/>
    <w:rsid w:val="007206C2"/>
    <w:rsid w:val="00722F6F"/>
    <w:rsid w:val="007245EE"/>
    <w:rsid w:val="00753150"/>
    <w:rsid w:val="007663E8"/>
    <w:rsid w:val="00776895"/>
    <w:rsid w:val="0078021B"/>
    <w:rsid w:val="007865D8"/>
    <w:rsid w:val="007935FC"/>
    <w:rsid w:val="007A14B0"/>
    <w:rsid w:val="007F47BD"/>
    <w:rsid w:val="00802CA0"/>
    <w:rsid w:val="008038F5"/>
    <w:rsid w:val="00816314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55F7B"/>
    <w:rsid w:val="00960AE7"/>
    <w:rsid w:val="009960AF"/>
    <w:rsid w:val="009B7E26"/>
    <w:rsid w:val="009D2AE9"/>
    <w:rsid w:val="00A033C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41A59"/>
    <w:rsid w:val="00C56B54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2A0"/>
    <w:rsid w:val="00D30630"/>
    <w:rsid w:val="00D365AE"/>
    <w:rsid w:val="00D419C9"/>
    <w:rsid w:val="00D51B40"/>
    <w:rsid w:val="00D5318F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9746F"/>
    <w:rsid w:val="00DA63B3"/>
    <w:rsid w:val="00DD5449"/>
    <w:rsid w:val="00DE4441"/>
    <w:rsid w:val="00DE51F9"/>
    <w:rsid w:val="00DE63F1"/>
    <w:rsid w:val="00DE71E4"/>
    <w:rsid w:val="00E077D3"/>
    <w:rsid w:val="00E22A25"/>
    <w:rsid w:val="00E23678"/>
    <w:rsid w:val="00E24445"/>
    <w:rsid w:val="00E24ADC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617A1D2-4344-EE4C-89DC-E48EAAA3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2043</Words>
  <Characters>11646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8</cp:revision>
  <dcterms:created xsi:type="dcterms:W3CDTF">2018-08-17T10:14:00Z</dcterms:created>
  <dcterms:modified xsi:type="dcterms:W3CDTF">2018-08-17T10:16:00Z</dcterms:modified>
</cp:coreProperties>
</file>