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F2DA2" w14:textId="77777777" w:rsidR="008C65E7" w:rsidRDefault="00000000">
      <w:pPr>
        <w:pStyle w:val="Ttulo"/>
      </w:pPr>
      <w:r>
        <w:t>A rebuttal to Watters et al. ´2020 Long-term observations from Antarctica demonstrate that mismatched scales of fisheries management and predator-prey interaction lead to erroneous conclusions about precaution´</w:t>
      </w:r>
    </w:p>
    <w:p w14:paraId="580F2DA3" w14:textId="77777777" w:rsidR="008C65E7" w:rsidRDefault="00000000">
      <w:pPr>
        <w:pStyle w:val="Fecha"/>
      </w:pPr>
      <w:r>
        <w:t>2026-03-17</w:t>
      </w:r>
    </w:p>
    <w:p w14:paraId="580F2DA4" w14:textId="77777777" w:rsidR="008C65E7" w:rsidRDefault="00000000">
      <w:pPr>
        <w:pStyle w:val="Ttulo1"/>
      </w:pPr>
      <w:bookmarkStart w:id="0" w:name="tables"/>
      <w:r>
        <w:t>Tables:</w:t>
      </w:r>
    </w:p>
    <w:p w14:paraId="580F2DA5" w14:textId="77777777" w:rsidR="008C65E7" w:rsidRDefault="00000000">
      <w:pPr>
        <w:pStyle w:val="TableCaption"/>
      </w:pPr>
      <w:r>
        <w:t>Table 1. Estimates of the mean and standard deviation (sd) of summer Ln(LKB) by gSSMU and SAM sign, derived from Equation (2) of Watters et al. (2020). Median LKB shows Local Krill Biomass in tonnes. Statistical results from the nonparametric one-way Kruskal-Wallis test are reported as follows: p-1 compares SAM sign within each gSSMU, and p-2 compares gSSMUs within each SAM sign.</w:t>
      </w:r>
    </w:p>
    <w:tbl>
      <w:tblPr>
        <w:tblStyle w:val="Table"/>
        <w:tblW w:w="0" w:type="auto"/>
        <w:tblLook w:val="0020" w:firstRow="1" w:lastRow="0" w:firstColumn="0" w:lastColumn="0" w:noHBand="0" w:noVBand="0"/>
        <w:tblCaption w:val="Table 1. Estimates of the mean and standard deviation (sd) of summer Ln(LKB) by gSSMU and SAM sign, derived from Equation (2) of Watters et al. (2020). Median LKB shows Local Krill Biomass in tonnes. Statistical results from the nonparametric one-way Kruskal-Wallis test are reported as follows: p-1 compares SAM sign within each gSSMU, and p-2 compares gSSMUs within each SAM sign."/>
      </w:tblPr>
      <w:tblGrid>
        <w:gridCol w:w="924"/>
        <w:gridCol w:w="1156"/>
        <w:gridCol w:w="482"/>
        <w:gridCol w:w="930"/>
        <w:gridCol w:w="797"/>
        <w:gridCol w:w="797"/>
        <w:gridCol w:w="1464"/>
        <w:gridCol w:w="797"/>
      </w:tblGrid>
      <w:tr w:rsidR="008C65E7" w14:paraId="580F2DAE" w14:textId="77777777" w:rsidTr="008C65E7">
        <w:trPr>
          <w:cnfStyle w:val="100000000000" w:firstRow="1" w:lastRow="0" w:firstColumn="0" w:lastColumn="0" w:oddVBand="0" w:evenVBand="0" w:oddHBand="0" w:evenHBand="0" w:firstRowFirstColumn="0" w:firstRowLastColumn="0" w:lastRowFirstColumn="0" w:lastRowLastColumn="0"/>
          <w:tblHeader/>
        </w:trPr>
        <w:tc>
          <w:tcPr>
            <w:tcW w:w="0" w:type="auto"/>
          </w:tcPr>
          <w:p w14:paraId="580F2DA6" w14:textId="77777777" w:rsidR="008C65E7" w:rsidRDefault="00000000">
            <w:pPr>
              <w:pStyle w:val="Compact"/>
            </w:pPr>
            <w:r>
              <w:t>gSSMU</w:t>
            </w:r>
          </w:p>
        </w:tc>
        <w:tc>
          <w:tcPr>
            <w:tcW w:w="0" w:type="auto"/>
          </w:tcPr>
          <w:p w14:paraId="580F2DA7" w14:textId="77777777" w:rsidR="008C65E7" w:rsidRDefault="00000000">
            <w:pPr>
              <w:pStyle w:val="Compact"/>
              <w:jc w:val="center"/>
            </w:pPr>
            <w:r>
              <w:t>SAM sign</w:t>
            </w:r>
          </w:p>
        </w:tc>
        <w:tc>
          <w:tcPr>
            <w:tcW w:w="0" w:type="auto"/>
          </w:tcPr>
          <w:p w14:paraId="580F2DA8" w14:textId="77777777" w:rsidR="008C65E7" w:rsidRDefault="00000000">
            <w:pPr>
              <w:pStyle w:val="Compact"/>
              <w:jc w:val="center"/>
            </w:pPr>
            <w:r>
              <w:t>n</w:t>
            </w:r>
          </w:p>
        </w:tc>
        <w:tc>
          <w:tcPr>
            <w:tcW w:w="0" w:type="auto"/>
          </w:tcPr>
          <w:p w14:paraId="580F2DA9" w14:textId="77777777" w:rsidR="008C65E7" w:rsidRDefault="00000000">
            <w:pPr>
              <w:pStyle w:val="Compact"/>
              <w:jc w:val="center"/>
            </w:pPr>
            <w:r>
              <w:t>mean</w:t>
            </w:r>
          </w:p>
        </w:tc>
        <w:tc>
          <w:tcPr>
            <w:tcW w:w="0" w:type="auto"/>
          </w:tcPr>
          <w:p w14:paraId="580F2DAA" w14:textId="77777777" w:rsidR="008C65E7" w:rsidRDefault="00000000">
            <w:pPr>
              <w:pStyle w:val="Compact"/>
              <w:jc w:val="center"/>
            </w:pPr>
            <w:r>
              <w:t>sd</w:t>
            </w:r>
          </w:p>
        </w:tc>
        <w:tc>
          <w:tcPr>
            <w:tcW w:w="0" w:type="auto"/>
          </w:tcPr>
          <w:p w14:paraId="580F2DAB" w14:textId="77777777" w:rsidR="008C65E7" w:rsidRDefault="00000000">
            <w:pPr>
              <w:pStyle w:val="Compact"/>
              <w:jc w:val="center"/>
            </w:pPr>
            <w:r>
              <w:t>p1</w:t>
            </w:r>
          </w:p>
        </w:tc>
        <w:tc>
          <w:tcPr>
            <w:tcW w:w="0" w:type="auto"/>
          </w:tcPr>
          <w:p w14:paraId="580F2DAC" w14:textId="77777777" w:rsidR="008C65E7" w:rsidRDefault="00000000">
            <w:pPr>
              <w:pStyle w:val="Compact"/>
            </w:pPr>
            <w:r>
              <w:t>median LKB</w:t>
            </w:r>
          </w:p>
        </w:tc>
        <w:tc>
          <w:tcPr>
            <w:tcW w:w="0" w:type="auto"/>
          </w:tcPr>
          <w:p w14:paraId="580F2DAD" w14:textId="77777777" w:rsidR="008C65E7" w:rsidRDefault="00000000">
            <w:pPr>
              <w:pStyle w:val="Compact"/>
              <w:jc w:val="center"/>
            </w:pPr>
            <w:r>
              <w:t>p2</w:t>
            </w:r>
          </w:p>
        </w:tc>
      </w:tr>
      <w:tr w:rsidR="008C65E7" w14:paraId="580F2DB7" w14:textId="77777777">
        <w:tc>
          <w:tcPr>
            <w:tcW w:w="0" w:type="auto"/>
          </w:tcPr>
          <w:p w14:paraId="580F2DAF" w14:textId="77777777" w:rsidR="008C65E7" w:rsidRDefault="00000000">
            <w:pPr>
              <w:pStyle w:val="Compact"/>
            </w:pPr>
            <w:r>
              <w:t>1</w:t>
            </w:r>
          </w:p>
        </w:tc>
        <w:tc>
          <w:tcPr>
            <w:tcW w:w="0" w:type="auto"/>
          </w:tcPr>
          <w:p w14:paraId="580F2DB0" w14:textId="77777777" w:rsidR="008C65E7" w:rsidRDefault="00000000">
            <w:pPr>
              <w:pStyle w:val="Compact"/>
              <w:jc w:val="center"/>
            </w:pPr>
            <w:r>
              <w:t>Neg</w:t>
            </w:r>
          </w:p>
        </w:tc>
        <w:tc>
          <w:tcPr>
            <w:tcW w:w="0" w:type="auto"/>
          </w:tcPr>
          <w:p w14:paraId="580F2DB1" w14:textId="77777777" w:rsidR="008C65E7" w:rsidRDefault="00000000">
            <w:pPr>
              <w:pStyle w:val="Compact"/>
              <w:jc w:val="center"/>
            </w:pPr>
            <w:r>
              <w:t>6</w:t>
            </w:r>
          </w:p>
        </w:tc>
        <w:tc>
          <w:tcPr>
            <w:tcW w:w="0" w:type="auto"/>
          </w:tcPr>
          <w:p w14:paraId="580F2DB2" w14:textId="77777777" w:rsidR="008C65E7" w:rsidRDefault="00000000">
            <w:pPr>
              <w:pStyle w:val="Compact"/>
              <w:jc w:val="center"/>
            </w:pPr>
            <w:r>
              <w:t>13.627</w:t>
            </w:r>
          </w:p>
        </w:tc>
        <w:tc>
          <w:tcPr>
            <w:tcW w:w="0" w:type="auto"/>
          </w:tcPr>
          <w:p w14:paraId="580F2DB3" w14:textId="77777777" w:rsidR="008C65E7" w:rsidRDefault="00000000">
            <w:pPr>
              <w:pStyle w:val="Compact"/>
              <w:jc w:val="center"/>
            </w:pPr>
            <w:r>
              <w:t>1.325</w:t>
            </w:r>
          </w:p>
        </w:tc>
        <w:tc>
          <w:tcPr>
            <w:tcW w:w="0" w:type="auto"/>
          </w:tcPr>
          <w:p w14:paraId="580F2DB4" w14:textId="77777777" w:rsidR="008C65E7" w:rsidRDefault="00000000">
            <w:pPr>
              <w:pStyle w:val="Compact"/>
              <w:jc w:val="center"/>
            </w:pPr>
            <w:r>
              <w:t>0.259</w:t>
            </w:r>
          </w:p>
        </w:tc>
        <w:tc>
          <w:tcPr>
            <w:tcW w:w="0" w:type="auto"/>
          </w:tcPr>
          <w:p w14:paraId="580F2DB5" w14:textId="77777777" w:rsidR="008C65E7" w:rsidRDefault="00000000">
            <w:pPr>
              <w:pStyle w:val="Compact"/>
            </w:pPr>
            <w:r>
              <w:t>828520.6</w:t>
            </w:r>
          </w:p>
        </w:tc>
        <w:tc>
          <w:tcPr>
            <w:tcW w:w="0" w:type="auto"/>
          </w:tcPr>
          <w:p w14:paraId="580F2DB6" w14:textId="77777777" w:rsidR="008C65E7" w:rsidRDefault="00000000">
            <w:pPr>
              <w:pStyle w:val="Compact"/>
              <w:jc w:val="center"/>
            </w:pPr>
            <w:r>
              <w:t>0.071</w:t>
            </w:r>
          </w:p>
        </w:tc>
      </w:tr>
      <w:tr w:rsidR="008C65E7" w14:paraId="580F2DC0" w14:textId="77777777">
        <w:tc>
          <w:tcPr>
            <w:tcW w:w="0" w:type="auto"/>
          </w:tcPr>
          <w:p w14:paraId="580F2DB8" w14:textId="77777777" w:rsidR="008C65E7" w:rsidRDefault="00000000">
            <w:pPr>
              <w:pStyle w:val="Compact"/>
            </w:pPr>
            <w:r>
              <w:t>1</w:t>
            </w:r>
          </w:p>
        </w:tc>
        <w:tc>
          <w:tcPr>
            <w:tcW w:w="0" w:type="auto"/>
          </w:tcPr>
          <w:p w14:paraId="580F2DB9" w14:textId="77777777" w:rsidR="008C65E7" w:rsidRDefault="00000000">
            <w:pPr>
              <w:pStyle w:val="Compact"/>
              <w:jc w:val="center"/>
            </w:pPr>
            <w:r>
              <w:t>Pos</w:t>
            </w:r>
          </w:p>
        </w:tc>
        <w:tc>
          <w:tcPr>
            <w:tcW w:w="0" w:type="auto"/>
          </w:tcPr>
          <w:p w14:paraId="580F2DBA" w14:textId="77777777" w:rsidR="008C65E7" w:rsidRDefault="00000000">
            <w:pPr>
              <w:pStyle w:val="Compact"/>
              <w:jc w:val="center"/>
            </w:pPr>
            <w:r>
              <w:t>10</w:t>
            </w:r>
          </w:p>
        </w:tc>
        <w:tc>
          <w:tcPr>
            <w:tcW w:w="0" w:type="auto"/>
          </w:tcPr>
          <w:p w14:paraId="580F2DBB" w14:textId="77777777" w:rsidR="008C65E7" w:rsidRDefault="00000000">
            <w:pPr>
              <w:pStyle w:val="Compact"/>
              <w:jc w:val="center"/>
            </w:pPr>
            <w:r>
              <w:t>14.315</w:t>
            </w:r>
          </w:p>
        </w:tc>
        <w:tc>
          <w:tcPr>
            <w:tcW w:w="0" w:type="auto"/>
          </w:tcPr>
          <w:p w14:paraId="580F2DBC" w14:textId="77777777" w:rsidR="008C65E7" w:rsidRDefault="00000000">
            <w:pPr>
              <w:pStyle w:val="Compact"/>
              <w:jc w:val="center"/>
            </w:pPr>
            <w:r>
              <w:t>0.994</w:t>
            </w:r>
          </w:p>
        </w:tc>
        <w:tc>
          <w:tcPr>
            <w:tcW w:w="0" w:type="auto"/>
          </w:tcPr>
          <w:p w14:paraId="580F2DBD" w14:textId="77777777" w:rsidR="008C65E7" w:rsidRDefault="00000000">
            <w:pPr>
              <w:pStyle w:val="Compact"/>
              <w:jc w:val="center"/>
            </w:pPr>
            <w:r>
              <w:t>NA</w:t>
            </w:r>
          </w:p>
        </w:tc>
        <w:tc>
          <w:tcPr>
            <w:tcW w:w="0" w:type="auto"/>
          </w:tcPr>
          <w:p w14:paraId="580F2DBE" w14:textId="77777777" w:rsidR="008C65E7" w:rsidRDefault="00000000">
            <w:pPr>
              <w:pStyle w:val="Compact"/>
            </w:pPr>
            <w:r>
              <w:t>1647467.9</w:t>
            </w:r>
          </w:p>
        </w:tc>
        <w:tc>
          <w:tcPr>
            <w:tcW w:w="0" w:type="auto"/>
          </w:tcPr>
          <w:p w14:paraId="580F2DBF" w14:textId="77777777" w:rsidR="008C65E7" w:rsidRDefault="00000000">
            <w:pPr>
              <w:pStyle w:val="Compact"/>
              <w:jc w:val="center"/>
            </w:pPr>
            <w:r>
              <w:t>NA</w:t>
            </w:r>
          </w:p>
        </w:tc>
      </w:tr>
      <w:tr w:rsidR="008C65E7" w14:paraId="580F2DC9" w14:textId="77777777">
        <w:tc>
          <w:tcPr>
            <w:tcW w:w="0" w:type="auto"/>
          </w:tcPr>
          <w:p w14:paraId="580F2DC1" w14:textId="77777777" w:rsidR="008C65E7" w:rsidRDefault="00000000">
            <w:pPr>
              <w:pStyle w:val="Compact"/>
            </w:pPr>
            <w:r>
              <w:t>2</w:t>
            </w:r>
          </w:p>
        </w:tc>
        <w:tc>
          <w:tcPr>
            <w:tcW w:w="0" w:type="auto"/>
          </w:tcPr>
          <w:p w14:paraId="580F2DC2" w14:textId="77777777" w:rsidR="008C65E7" w:rsidRDefault="00000000">
            <w:pPr>
              <w:pStyle w:val="Compact"/>
              <w:jc w:val="center"/>
            </w:pPr>
            <w:r>
              <w:t>Neg</w:t>
            </w:r>
          </w:p>
        </w:tc>
        <w:tc>
          <w:tcPr>
            <w:tcW w:w="0" w:type="auto"/>
          </w:tcPr>
          <w:p w14:paraId="580F2DC3" w14:textId="77777777" w:rsidR="008C65E7" w:rsidRDefault="00000000">
            <w:pPr>
              <w:pStyle w:val="Compact"/>
              <w:jc w:val="center"/>
            </w:pPr>
            <w:r>
              <w:t>6</w:t>
            </w:r>
          </w:p>
        </w:tc>
        <w:tc>
          <w:tcPr>
            <w:tcW w:w="0" w:type="auto"/>
          </w:tcPr>
          <w:p w14:paraId="580F2DC4" w14:textId="77777777" w:rsidR="008C65E7" w:rsidRDefault="00000000">
            <w:pPr>
              <w:pStyle w:val="Compact"/>
              <w:jc w:val="center"/>
            </w:pPr>
            <w:r>
              <w:t>14.809</w:t>
            </w:r>
          </w:p>
        </w:tc>
        <w:tc>
          <w:tcPr>
            <w:tcW w:w="0" w:type="auto"/>
          </w:tcPr>
          <w:p w14:paraId="580F2DC5" w14:textId="77777777" w:rsidR="008C65E7" w:rsidRDefault="00000000">
            <w:pPr>
              <w:pStyle w:val="Compact"/>
              <w:jc w:val="center"/>
            </w:pPr>
            <w:r>
              <w:t>0.681</w:t>
            </w:r>
          </w:p>
        </w:tc>
        <w:tc>
          <w:tcPr>
            <w:tcW w:w="0" w:type="auto"/>
          </w:tcPr>
          <w:p w14:paraId="580F2DC6" w14:textId="77777777" w:rsidR="008C65E7" w:rsidRDefault="00000000">
            <w:pPr>
              <w:pStyle w:val="Compact"/>
              <w:jc w:val="center"/>
            </w:pPr>
            <w:r>
              <w:t>0.093</w:t>
            </w:r>
          </w:p>
        </w:tc>
        <w:tc>
          <w:tcPr>
            <w:tcW w:w="0" w:type="auto"/>
          </w:tcPr>
          <w:p w14:paraId="580F2DC7" w14:textId="77777777" w:rsidR="008C65E7" w:rsidRDefault="00000000">
            <w:pPr>
              <w:pStyle w:val="Compact"/>
            </w:pPr>
            <w:r>
              <w:t>2701181.9</w:t>
            </w:r>
          </w:p>
        </w:tc>
        <w:tc>
          <w:tcPr>
            <w:tcW w:w="0" w:type="auto"/>
          </w:tcPr>
          <w:p w14:paraId="580F2DC8" w14:textId="77777777" w:rsidR="008C65E7" w:rsidRDefault="00000000">
            <w:pPr>
              <w:pStyle w:val="Compact"/>
              <w:jc w:val="center"/>
            </w:pPr>
            <w:r>
              <w:t>NA</w:t>
            </w:r>
          </w:p>
        </w:tc>
      </w:tr>
      <w:tr w:rsidR="008C65E7" w14:paraId="580F2DD2" w14:textId="77777777">
        <w:tc>
          <w:tcPr>
            <w:tcW w:w="0" w:type="auto"/>
          </w:tcPr>
          <w:p w14:paraId="580F2DCA" w14:textId="77777777" w:rsidR="008C65E7" w:rsidRDefault="00000000">
            <w:pPr>
              <w:pStyle w:val="Compact"/>
            </w:pPr>
            <w:r>
              <w:t>2</w:t>
            </w:r>
          </w:p>
        </w:tc>
        <w:tc>
          <w:tcPr>
            <w:tcW w:w="0" w:type="auto"/>
          </w:tcPr>
          <w:p w14:paraId="580F2DCB" w14:textId="77777777" w:rsidR="008C65E7" w:rsidRDefault="00000000">
            <w:pPr>
              <w:pStyle w:val="Compact"/>
              <w:jc w:val="center"/>
            </w:pPr>
            <w:r>
              <w:t>Pos</w:t>
            </w:r>
          </w:p>
        </w:tc>
        <w:tc>
          <w:tcPr>
            <w:tcW w:w="0" w:type="auto"/>
          </w:tcPr>
          <w:p w14:paraId="580F2DCC" w14:textId="77777777" w:rsidR="008C65E7" w:rsidRDefault="00000000">
            <w:pPr>
              <w:pStyle w:val="Compact"/>
              <w:jc w:val="center"/>
            </w:pPr>
            <w:r>
              <w:t>10</w:t>
            </w:r>
          </w:p>
        </w:tc>
        <w:tc>
          <w:tcPr>
            <w:tcW w:w="0" w:type="auto"/>
          </w:tcPr>
          <w:p w14:paraId="580F2DCD" w14:textId="77777777" w:rsidR="008C65E7" w:rsidRDefault="00000000">
            <w:pPr>
              <w:pStyle w:val="Compact"/>
              <w:jc w:val="center"/>
            </w:pPr>
            <w:r>
              <w:t>15.512</w:t>
            </w:r>
          </w:p>
        </w:tc>
        <w:tc>
          <w:tcPr>
            <w:tcW w:w="0" w:type="auto"/>
          </w:tcPr>
          <w:p w14:paraId="580F2DCE" w14:textId="77777777" w:rsidR="008C65E7" w:rsidRDefault="00000000">
            <w:pPr>
              <w:pStyle w:val="Compact"/>
              <w:jc w:val="center"/>
            </w:pPr>
            <w:r>
              <w:t>0.792</w:t>
            </w:r>
          </w:p>
        </w:tc>
        <w:tc>
          <w:tcPr>
            <w:tcW w:w="0" w:type="auto"/>
          </w:tcPr>
          <w:p w14:paraId="580F2DCF" w14:textId="77777777" w:rsidR="008C65E7" w:rsidRDefault="00000000">
            <w:pPr>
              <w:pStyle w:val="Compact"/>
              <w:jc w:val="center"/>
            </w:pPr>
            <w:r>
              <w:t>NA</w:t>
            </w:r>
          </w:p>
        </w:tc>
        <w:tc>
          <w:tcPr>
            <w:tcW w:w="0" w:type="auto"/>
          </w:tcPr>
          <w:p w14:paraId="580F2DD0" w14:textId="77777777" w:rsidR="008C65E7" w:rsidRDefault="00000000">
            <w:pPr>
              <w:pStyle w:val="Compact"/>
            </w:pPr>
            <w:r>
              <w:t>5456188.0</w:t>
            </w:r>
          </w:p>
        </w:tc>
        <w:tc>
          <w:tcPr>
            <w:tcW w:w="0" w:type="auto"/>
          </w:tcPr>
          <w:p w14:paraId="580F2DD1" w14:textId="77777777" w:rsidR="008C65E7" w:rsidRDefault="00000000">
            <w:pPr>
              <w:pStyle w:val="Compact"/>
              <w:jc w:val="center"/>
            </w:pPr>
            <w:r>
              <w:t>0.008</w:t>
            </w:r>
          </w:p>
        </w:tc>
      </w:tr>
    </w:tbl>
    <w:p w14:paraId="580F2DD3" w14:textId="77777777" w:rsidR="008C65E7" w:rsidRDefault="00000000">
      <w:r>
        <w:br w:type="page"/>
      </w:r>
    </w:p>
    <w:p w14:paraId="580F2DD4" w14:textId="77777777" w:rsidR="008C65E7" w:rsidRDefault="00000000">
      <w:pPr>
        <w:pStyle w:val="TableCaption"/>
      </w:pPr>
      <w:r>
        <w:lastRenderedPageBreak/>
        <w:t xml:space="preserve">Table 2. Original table in Watters et al. 2020. In this and all subsequent tables below, posterior (Long-term mean) and posterior predictive probabilities (Predicted long-term mean) that expected performance given the effects indicated in the left-most column are less than the expected performance given effects or conditions indicated in the column headings. ONI is the Oceanic Niño Index, LKB is local krill biomass, and LHR is local harvest rate. Worst Case is represented by neutral ONI; LHR </w:t>
      </w:r>
      <m:oMath>
        <m:r>
          <w:rPr>
            <w:rFonts w:ascii="Cambria Math" w:hAnsi="Cambria Math"/>
          </w:rPr>
          <m:t>≥</m:t>
        </m:r>
      </m:oMath>
      <w:r>
        <w:t xml:space="preserve"> 0.1; and LKB </w:t>
      </w:r>
      <m:oMath>
        <m:r>
          <w:rPr>
            <w:rFonts w:ascii="Cambria Math" w:hAnsi="Cambria Math"/>
          </w:rPr>
          <m:t>≥</m:t>
        </m:r>
      </m:oMath>
      <w:r>
        <w:t xml:space="preserve"> 1Mt. The Best Case is represented by La Niña conditions, low LKB and low LHR.</w:t>
      </w:r>
    </w:p>
    <w:tbl>
      <w:tblPr>
        <w:tblStyle w:val="Table"/>
        <w:tblW w:w="5000" w:type="pct"/>
        <w:tblLook w:val="0020" w:firstRow="1" w:lastRow="0" w:firstColumn="0" w:lastColumn="0" w:noHBand="0" w:noVBand="0"/>
        <w:tblCaption w:val="Table 2. Original table in Watters et al. 2020. In this and all subsequent tables below, posterior (Long-term mean) and posterior predictive probabilities (Predicted long-term mean) that expected performance given the effects indicated in the left-most column are less than the expected performance given effects or conditions indicated in the column headings. ONI is the Oceanic Niño Index, LKB is local krill biomass, and LHR is local harvest rate. Worst Case is represented by neutral ONI; LHR \geqslant 0.1; and LKB \geqslant 1Mt. The Best Case is represented by La Niña conditions, low LKB and low LHR."/>
      </w:tblPr>
      <w:tblGrid>
        <w:gridCol w:w="1763"/>
        <w:gridCol w:w="996"/>
        <w:gridCol w:w="1805"/>
        <w:gridCol w:w="1279"/>
        <w:gridCol w:w="1489"/>
        <w:gridCol w:w="2244"/>
      </w:tblGrid>
      <w:tr w:rsidR="008C65E7" w14:paraId="580F2DDB" w14:textId="77777777" w:rsidTr="008C65E7">
        <w:trPr>
          <w:cnfStyle w:val="100000000000" w:firstRow="1" w:lastRow="0" w:firstColumn="0" w:lastColumn="0" w:oddVBand="0" w:evenVBand="0" w:oddHBand="0" w:evenHBand="0" w:firstRowFirstColumn="0" w:firstRowLastColumn="0" w:lastRowFirstColumn="0" w:lastRowLastColumn="0"/>
          <w:tblHeader/>
        </w:trPr>
        <w:tc>
          <w:tcPr>
            <w:tcW w:w="0" w:type="auto"/>
          </w:tcPr>
          <w:p w14:paraId="580F2DD5" w14:textId="77777777" w:rsidR="008C65E7" w:rsidRDefault="00000000">
            <w:pPr>
              <w:pStyle w:val="Compact"/>
            </w:pPr>
            <w:r>
              <w:t>Effects</w:t>
            </w:r>
          </w:p>
        </w:tc>
        <w:tc>
          <w:tcPr>
            <w:tcW w:w="0" w:type="auto"/>
          </w:tcPr>
          <w:p w14:paraId="580F2DD6" w14:textId="77777777" w:rsidR="008C65E7" w:rsidRDefault="00000000">
            <w:pPr>
              <w:pStyle w:val="Compact"/>
              <w:jc w:val="center"/>
            </w:pPr>
            <w:r>
              <w:t>Best Case</w:t>
            </w:r>
          </w:p>
        </w:tc>
        <w:tc>
          <w:tcPr>
            <w:tcW w:w="0" w:type="auto"/>
          </w:tcPr>
          <w:p w14:paraId="580F2DD7" w14:textId="77777777" w:rsidR="008C65E7" w:rsidRDefault="00000000">
            <w:pPr>
              <w:pStyle w:val="Compact"/>
              <w:jc w:val="center"/>
            </w:pPr>
            <w:r>
              <w:t>-0.5°C &lt; ONI &lt; +0.5°C</w:t>
            </w:r>
          </w:p>
        </w:tc>
        <w:tc>
          <w:tcPr>
            <w:tcW w:w="0" w:type="auto"/>
          </w:tcPr>
          <w:p w14:paraId="580F2DD8" w14:textId="77777777" w:rsidR="008C65E7" w:rsidRDefault="00000000">
            <w:pPr>
              <w:pStyle w:val="Compact"/>
              <w:jc w:val="center"/>
            </w:pPr>
            <w:r>
              <w:t>ONI &gt; +0.5°C</w:t>
            </w:r>
          </w:p>
        </w:tc>
        <w:tc>
          <w:tcPr>
            <w:tcW w:w="0" w:type="auto"/>
          </w:tcPr>
          <w:p w14:paraId="580F2DD9" w14:textId="77777777" w:rsidR="008C65E7" w:rsidRDefault="00000000">
            <w:pPr>
              <w:pStyle w:val="Compact"/>
              <w:jc w:val="center"/>
            </w:pPr>
            <w:r>
              <w:t>Long-term mean</w:t>
            </w:r>
          </w:p>
        </w:tc>
        <w:tc>
          <w:tcPr>
            <w:tcW w:w="0" w:type="auto"/>
          </w:tcPr>
          <w:p w14:paraId="580F2DDA" w14:textId="77777777" w:rsidR="008C65E7" w:rsidRDefault="00000000">
            <w:pPr>
              <w:pStyle w:val="Compact"/>
              <w:jc w:val="center"/>
            </w:pPr>
            <w:r>
              <w:t>Predicted long-term mean</w:t>
            </w:r>
          </w:p>
        </w:tc>
      </w:tr>
      <w:tr w:rsidR="008C65E7" w14:paraId="580F2DE2" w14:textId="77777777">
        <w:tc>
          <w:tcPr>
            <w:tcW w:w="0" w:type="auto"/>
          </w:tcPr>
          <w:p w14:paraId="580F2DDC" w14:textId="77777777" w:rsidR="008C65E7" w:rsidRDefault="00000000">
            <w:pPr>
              <w:pStyle w:val="Compact"/>
            </w:pPr>
            <w:r>
              <w:t>Best case</w:t>
            </w:r>
          </w:p>
        </w:tc>
        <w:tc>
          <w:tcPr>
            <w:tcW w:w="0" w:type="auto"/>
          </w:tcPr>
          <w:p w14:paraId="580F2DDD" w14:textId="77777777" w:rsidR="008C65E7" w:rsidRDefault="00000000">
            <w:pPr>
              <w:pStyle w:val="Compact"/>
              <w:jc w:val="center"/>
            </w:pPr>
            <w:r>
              <w:t>NA</w:t>
            </w:r>
          </w:p>
        </w:tc>
        <w:tc>
          <w:tcPr>
            <w:tcW w:w="0" w:type="auto"/>
          </w:tcPr>
          <w:p w14:paraId="580F2DDE" w14:textId="77777777" w:rsidR="008C65E7" w:rsidRDefault="00000000">
            <w:pPr>
              <w:pStyle w:val="Compact"/>
              <w:jc w:val="center"/>
            </w:pPr>
            <w:r>
              <w:t>NA</w:t>
            </w:r>
          </w:p>
        </w:tc>
        <w:tc>
          <w:tcPr>
            <w:tcW w:w="0" w:type="auto"/>
          </w:tcPr>
          <w:p w14:paraId="580F2DDF" w14:textId="77777777" w:rsidR="008C65E7" w:rsidRDefault="00000000">
            <w:pPr>
              <w:pStyle w:val="Compact"/>
              <w:jc w:val="center"/>
            </w:pPr>
            <w:r>
              <w:t>NA</w:t>
            </w:r>
          </w:p>
        </w:tc>
        <w:tc>
          <w:tcPr>
            <w:tcW w:w="0" w:type="auto"/>
          </w:tcPr>
          <w:p w14:paraId="580F2DE0" w14:textId="77777777" w:rsidR="008C65E7" w:rsidRDefault="00000000">
            <w:pPr>
              <w:pStyle w:val="Compact"/>
              <w:jc w:val="center"/>
            </w:pPr>
            <w:r>
              <w:t>0.04</w:t>
            </w:r>
          </w:p>
        </w:tc>
        <w:tc>
          <w:tcPr>
            <w:tcW w:w="0" w:type="auto"/>
          </w:tcPr>
          <w:p w14:paraId="580F2DE1" w14:textId="77777777" w:rsidR="008C65E7" w:rsidRDefault="00000000">
            <w:pPr>
              <w:pStyle w:val="Compact"/>
              <w:jc w:val="center"/>
            </w:pPr>
            <w:r>
              <w:t>0.37</w:t>
            </w:r>
          </w:p>
        </w:tc>
      </w:tr>
      <w:tr w:rsidR="008C65E7" w14:paraId="580F2DE9" w14:textId="77777777">
        <w:tc>
          <w:tcPr>
            <w:tcW w:w="0" w:type="auto"/>
          </w:tcPr>
          <w:p w14:paraId="580F2DE3" w14:textId="77777777" w:rsidR="008C65E7" w:rsidRDefault="00000000">
            <w:pPr>
              <w:pStyle w:val="Compact"/>
            </w:pPr>
            <w:r>
              <w:t>−0.5°C &lt; ONI &lt; 0.5°C</w:t>
            </w:r>
          </w:p>
        </w:tc>
        <w:tc>
          <w:tcPr>
            <w:tcW w:w="0" w:type="auto"/>
          </w:tcPr>
          <w:p w14:paraId="580F2DE4" w14:textId="77777777" w:rsidR="008C65E7" w:rsidRDefault="00000000">
            <w:pPr>
              <w:pStyle w:val="Compact"/>
              <w:jc w:val="center"/>
            </w:pPr>
            <w:r>
              <w:t>1.00</w:t>
            </w:r>
          </w:p>
        </w:tc>
        <w:tc>
          <w:tcPr>
            <w:tcW w:w="0" w:type="auto"/>
          </w:tcPr>
          <w:p w14:paraId="580F2DE5" w14:textId="77777777" w:rsidR="008C65E7" w:rsidRDefault="00000000">
            <w:pPr>
              <w:pStyle w:val="Compact"/>
              <w:jc w:val="center"/>
            </w:pPr>
            <w:r>
              <w:t>NA</w:t>
            </w:r>
          </w:p>
        </w:tc>
        <w:tc>
          <w:tcPr>
            <w:tcW w:w="0" w:type="auto"/>
          </w:tcPr>
          <w:p w14:paraId="580F2DE6" w14:textId="77777777" w:rsidR="008C65E7" w:rsidRDefault="00000000">
            <w:pPr>
              <w:pStyle w:val="Compact"/>
              <w:jc w:val="center"/>
            </w:pPr>
            <w:r>
              <w:t>NA</w:t>
            </w:r>
          </w:p>
        </w:tc>
        <w:tc>
          <w:tcPr>
            <w:tcW w:w="0" w:type="auto"/>
          </w:tcPr>
          <w:p w14:paraId="580F2DE7" w14:textId="77777777" w:rsidR="008C65E7" w:rsidRDefault="00000000">
            <w:pPr>
              <w:pStyle w:val="Compact"/>
              <w:jc w:val="center"/>
            </w:pPr>
            <w:r>
              <w:t>0.88</w:t>
            </w:r>
          </w:p>
        </w:tc>
        <w:tc>
          <w:tcPr>
            <w:tcW w:w="0" w:type="auto"/>
          </w:tcPr>
          <w:p w14:paraId="580F2DE8" w14:textId="77777777" w:rsidR="008C65E7" w:rsidRDefault="00000000">
            <w:pPr>
              <w:pStyle w:val="Compact"/>
              <w:jc w:val="center"/>
            </w:pPr>
            <w:r>
              <w:t>0.59</w:t>
            </w:r>
          </w:p>
        </w:tc>
      </w:tr>
      <w:tr w:rsidR="008C65E7" w14:paraId="580F2DF0" w14:textId="77777777">
        <w:tc>
          <w:tcPr>
            <w:tcW w:w="0" w:type="auto"/>
          </w:tcPr>
          <w:p w14:paraId="580F2DEA" w14:textId="77777777" w:rsidR="008C65E7" w:rsidRDefault="00000000">
            <w:pPr>
              <w:pStyle w:val="Compact"/>
            </w:pPr>
            <w:r>
              <w:t>ONI ≥ 0.5°C</w:t>
            </w:r>
          </w:p>
        </w:tc>
        <w:tc>
          <w:tcPr>
            <w:tcW w:w="0" w:type="auto"/>
          </w:tcPr>
          <w:p w14:paraId="580F2DEB" w14:textId="77777777" w:rsidR="008C65E7" w:rsidRDefault="00000000">
            <w:pPr>
              <w:pStyle w:val="Compact"/>
              <w:jc w:val="center"/>
            </w:pPr>
            <w:r>
              <w:t>0.99</w:t>
            </w:r>
          </w:p>
        </w:tc>
        <w:tc>
          <w:tcPr>
            <w:tcW w:w="0" w:type="auto"/>
          </w:tcPr>
          <w:p w14:paraId="580F2DEC" w14:textId="77777777" w:rsidR="008C65E7" w:rsidRDefault="00000000">
            <w:pPr>
              <w:pStyle w:val="Compact"/>
              <w:jc w:val="center"/>
            </w:pPr>
            <w:r>
              <w:t>NA</w:t>
            </w:r>
          </w:p>
        </w:tc>
        <w:tc>
          <w:tcPr>
            <w:tcW w:w="0" w:type="auto"/>
          </w:tcPr>
          <w:p w14:paraId="580F2DED" w14:textId="77777777" w:rsidR="008C65E7" w:rsidRDefault="00000000">
            <w:pPr>
              <w:pStyle w:val="Compact"/>
              <w:jc w:val="center"/>
            </w:pPr>
            <w:r>
              <w:t>NA</w:t>
            </w:r>
          </w:p>
        </w:tc>
        <w:tc>
          <w:tcPr>
            <w:tcW w:w="0" w:type="auto"/>
          </w:tcPr>
          <w:p w14:paraId="580F2DEE" w14:textId="77777777" w:rsidR="008C65E7" w:rsidRDefault="00000000">
            <w:pPr>
              <w:pStyle w:val="Compact"/>
              <w:jc w:val="center"/>
            </w:pPr>
            <w:r>
              <w:t>0.54</w:t>
            </w:r>
          </w:p>
        </w:tc>
        <w:tc>
          <w:tcPr>
            <w:tcW w:w="0" w:type="auto"/>
          </w:tcPr>
          <w:p w14:paraId="580F2DEF" w14:textId="77777777" w:rsidR="008C65E7" w:rsidRDefault="00000000">
            <w:pPr>
              <w:pStyle w:val="Compact"/>
              <w:jc w:val="center"/>
            </w:pPr>
            <w:r>
              <w:t>0.50</w:t>
            </w:r>
          </w:p>
        </w:tc>
      </w:tr>
      <w:tr w:rsidR="008C65E7" w14:paraId="580F2DF7" w14:textId="77777777">
        <w:tc>
          <w:tcPr>
            <w:tcW w:w="0" w:type="auto"/>
          </w:tcPr>
          <w:p w14:paraId="580F2DF1" w14:textId="77777777" w:rsidR="008C65E7" w:rsidRDefault="00000000">
            <w:pPr>
              <w:pStyle w:val="Compact"/>
            </w:pPr>
            <w:r>
              <w:t>LKB &gt; 1Mt</w:t>
            </w:r>
          </w:p>
        </w:tc>
        <w:tc>
          <w:tcPr>
            <w:tcW w:w="0" w:type="auto"/>
          </w:tcPr>
          <w:p w14:paraId="580F2DF2" w14:textId="77777777" w:rsidR="008C65E7" w:rsidRDefault="00000000">
            <w:pPr>
              <w:pStyle w:val="Compact"/>
              <w:jc w:val="center"/>
            </w:pPr>
            <w:r>
              <w:t>0.69</w:t>
            </w:r>
          </w:p>
        </w:tc>
        <w:tc>
          <w:tcPr>
            <w:tcW w:w="0" w:type="auto"/>
          </w:tcPr>
          <w:p w14:paraId="580F2DF3" w14:textId="77777777" w:rsidR="008C65E7" w:rsidRDefault="00000000">
            <w:pPr>
              <w:pStyle w:val="Compact"/>
              <w:jc w:val="center"/>
            </w:pPr>
            <w:r>
              <w:t>0.02</w:t>
            </w:r>
          </w:p>
        </w:tc>
        <w:tc>
          <w:tcPr>
            <w:tcW w:w="0" w:type="auto"/>
          </w:tcPr>
          <w:p w14:paraId="580F2DF4" w14:textId="77777777" w:rsidR="008C65E7" w:rsidRDefault="00000000">
            <w:pPr>
              <w:pStyle w:val="Compact"/>
              <w:jc w:val="center"/>
            </w:pPr>
            <w:r>
              <w:t>0.12</w:t>
            </w:r>
          </w:p>
        </w:tc>
        <w:tc>
          <w:tcPr>
            <w:tcW w:w="0" w:type="auto"/>
          </w:tcPr>
          <w:p w14:paraId="580F2DF5" w14:textId="77777777" w:rsidR="008C65E7" w:rsidRDefault="00000000">
            <w:pPr>
              <w:pStyle w:val="Compact"/>
              <w:jc w:val="center"/>
            </w:pPr>
            <w:r>
              <w:t>0.02</w:t>
            </w:r>
          </w:p>
        </w:tc>
        <w:tc>
          <w:tcPr>
            <w:tcW w:w="0" w:type="auto"/>
          </w:tcPr>
          <w:p w14:paraId="580F2DF6" w14:textId="77777777" w:rsidR="008C65E7" w:rsidRDefault="00000000">
            <w:pPr>
              <w:pStyle w:val="Compact"/>
              <w:jc w:val="center"/>
            </w:pPr>
            <w:r>
              <w:t>0.41</w:t>
            </w:r>
          </w:p>
        </w:tc>
      </w:tr>
      <w:tr w:rsidR="008C65E7" w14:paraId="580F2DFE" w14:textId="77777777">
        <w:tc>
          <w:tcPr>
            <w:tcW w:w="0" w:type="auto"/>
          </w:tcPr>
          <w:p w14:paraId="580F2DF8" w14:textId="77777777" w:rsidR="008C65E7" w:rsidRDefault="00000000">
            <w:pPr>
              <w:pStyle w:val="Compact"/>
            </w:pPr>
            <w:r>
              <w:t>0.01 &lt; LHR &lt; 0.10</w:t>
            </w:r>
          </w:p>
        </w:tc>
        <w:tc>
          <w:tcPr>
            <w:tcW w:w="0" w:type="auto"/>
          </w:tcPr>
          <w:p w14:paraId="580F2DF9" w14:textId="77777777" w:rsidR="008C65E7" w:rsidRDefault="00000000">
            <w:pPr>
              <w:pStyle w:val="Compact"/>
              <w:jc w:val="center"/>
            </w:pPr>
            <w:r>
              <w:t>0.75</w:t>
            </w:r>
          </w:p>
        </w:tc>
        <w:tc>
          <w:tcPr>
            <w:tcW w:w="0" w:type="auto"/>
          </w:tcPr>
          <w:p w14:paraId="580F2DFA" w14:textId="77777777" w:rsidR="008C65E7" w:rsidRDefault="00000000">
            <w:pPr>
              <w:pStyle w:val="Compact"/>
              <w:jc w:val="center"/>
            </w:pPr>
            <w:r>
              <w:t>0.17</w:t>
            </w:r>
          </w:p>
        </w:tc>
        <w:tc>
          <w:tcPr>
            <w:tcW w:w="0" w:type="auto"/>
          </w:tcPr>
          <w:p w14:paraId="580F2DFB" w14:textId="77777777" w:rsidR="008C65E7" w:rsidRDefault="00000000">
            <w:pPr>
              <w:pStyle w:val="Compact"/>
              <w:jc w:val="center"/>
            </w:pPr>
            <w:r>
              <w:t>0.31</w:t>
            </w:r>
          </w:p>
        </w:tc>
        <w:tc>
          <w:tcPr>
            <w:tcW w:w="0" w:type="auto"/>
          </w:tcPr>
          <w:p w14:paraId="580F2DFC" w14:textId="77777777" w:rsidR="008C65E7" w:rsidRDefault="00000000">
            <w:pPr>
              <w:pStyle w:val="Compact"/>
              <w:jc w:val="center"/>
            </w:pPr>
            <w:r>
              <w:t>0.33</w:t>
            </w:r>
          </w:p>
        </w:tc>
        <w:tc>
          <w:tcPr>
            <w:tcW w:w="0" w:type="auto"/>
          </w:tcPr>
          <w:p w14:paraId="580F2DFD" w14:textId="77777777" w:rsidR="008C65E7" w:rsidRDefault="00000000">
            <w:pPr>
              <w:pStyle w:val="Compact"/>
              <w:jc w:val="center"/>
            </w:pPr>
            <w:r>
              <w:t>0.44</w:t>
            </w:r>
          </w:p>
        </w:tc>
      </w:tr>
      <w:tr w:rsidR="008C65E7" w14:paraId="580F2E05" w14:textId="77777777">
        <w:tc>
          <w:tcPr>
            <w:tcW w:w="0" w:type="auto"/>
          </w:tcPr>
          <w:p w14:paraId="580F2DFF" w14:textId="77777777" w:rsidR="008C65E7" w:rsidRDefault="00000000">
            <w:pPr>
              <w:pStyle w:val="Compact"/>
            </w:pPr>
            <w:r>
              <w:t>LHR ≥ 0.10</w:t>
            </w:r>
          </w:p>
        </w:tc>
        <w:tc>
          <w:tcPr>
            <w:tcW w:w="0" w:type="auto"/>
          </w:tcPr>
          <w:p w14:paraId="580F2E00" w14:textId="77777777" w:rsidR="008C65E7" w:rsidRDefault="00000000">
            <w:pPr>
              <w:pStyle w:val="Compact"/>
              <w:jc w:val="center"/>
            </w:pPr>
            <w:r>
              <w:t>0.92</w:t>
            </w:r>
          </w:p>
        </w:tc>
        <w:tc>
          <w:tcPr>
            <w:tcW w:w="0" w:type="auto"/>
          </w:tcPr>
          <w:p w14:paraId="580F2E01" w14:textId="77777777" w:rsidR="008C65E7" w:rsidRDefault="00000000">
            <w:pPr>
              <w:pStyle w:val="Compact"/>
              <w:jc w:val="center"/>
            </w:pPr>
            <w:r>
              <w:t>0.41</w:t>
            </w:r>
          </w:p>
        </w:tc>
        <w:tc>
          <w:tcPr>
            <w:tcW w:w="0" w:type="auto"/>
          </w:tcPr>
          <w:p w14:paraId="580F2E02" w14:textId="77777777" w:rsidR="008C65E7" w:rsidRDefault="00000000">
            <w:pPr>
              <w:pStyle w:val="Compact"/>
              <w:jc w:val="center"/>
            </w:pPr>
            <w:r>
              <w:t>0.61</w:t>
            </w:r>
          </w:p>
        </w:tc>
        <w:tc>
          <w:tcPr>
            <w:tcW w:w="0" w:type="auto"/>
          </w:tcPr>
          <w:p w14:paraId="580F2E03" w14:textId="77777777" w:rsidR="008C65E7" w:rsidRDefault="00000000">
            <w:pPr>
              <w:pStyle w:val="Compact"/>
              <w:jc w:val="center"/>
            </w:pPr>
            <w:r>
              <w:t>0.64</w:t>
            </w:r>
          </w:p>
        </w:tc>
        <w:tc>
          <w:tcPr>
            <w:tcW w:w="0" w:type="auto"/>
          </w:tcPr>
          <w:p w14:paraId="580F2E04" w14:textId="77777777" w:rsidR="008C65E7" w:rsidRDefault="00000000">
            <w:pPr>
              <w:pStyle w:val="Compact"/>
              <w:jc w:val="center"/>
            </w:pPr>
            <w:r>
              <w:t>0.55</w:t>
            </w:r>
          </w:p>
        </w:tc>
      </w:tr>
      <w:tr w:rsidR="008C65E7" w14:paraId="580F2E0C" w14:textId="77777777">
        <w:tc>
          <w:tcPr>
            <w:tcW w:w="0" w:type="auto"/>
          </w:tcPr>
          <w:p w14:paraId="580F2E06" w14:textId="77777777" w:rsidR="008C65E7" w:rsidRDefault="00000000">
            <w:pPr>
              <w:pStyle w:val="Compact"/>
            </w:pPr>
            <w:r>
              <w:t>Worst case</w:t>
            </w:r>
          </w:p>
        </w:tc>
        <w:tc>
          <w:tcPr>
            <w:tcW w:w="0" w:type="auto"/>
          </w:tcPr>
          <w:p w14:paraId="580F2E07" w14:textId="77777777" w:rsidR="008C65E7" w:rsidRDefault="00000000">
            <w:pPr>
              <w:pStyle w:val="Compact"/>
              <w:jc w:val="center"/>
            </w:pPr>
            <w:r>
              <w:t>0.99</w:t>
            </w:r>
          </w:p>
        </w:tc>
        <w:tc>
          <w:tcPr>
            <w:tcW w:w="0" w:type="auto"/>
          </w:tcPr>
          <w:p w14:paraId="580F2E08" w14:textId="77777777" w:rsidR="008C65E7" w:rsidRDefault="00000000">
            <w:pPr>
              <w:pStyle w:val="Compact"/>
              <w:jc w:val="center"/>
            </w:pPr>
            <w:r>
              <w:t>NA</w:t>
            </w:r>
          </w:p>
        </w:tc>
        <w:tc>
          <w:tcPr>
            <w:tcW w:w="0" w:type="auto"/>
          </w:tcPr>
          <w:p w14:paraId="580F2E09" w14:textId="77777777" w:rsidR="008C65E7" w:rsidRDefault="00000000">
            <w:pPr>
              <w:pStyle w:val="Compact"/>
              <w:jc w:val="center"/>
            </w:pPr>
            <w:r>
              <w:t>NA</w:t>
            </w:r>
          </w:p>
        </w:tc>
        <w:tc>
          <w:tcPr>
            <w:tcW w:w="0" w:type="auto"/>
          </w:tcPr>
          <w:p w14:paraId="580F2E0A" w14:textId="77777777" w:rsidR="008C65E7" w:rsidRDefault="00000000">
            <w:pPr>
              <w:pStyle w:val="Compact"/>
              <w:jc w:val="center"/>
            </w:pPr>
            <w:r>
              <w:t>0.99</w:t>
            </w:r>
          </w:p>
        </w:tc>
        <w:tc>
          <w:tcPr>
            <w:tcW w:w="0" w:type="auto"/>
          </w:tcPr>
          <w:p w14:paraId="580F2E0B" w14:textId="77777777" w:rsidR="008C65E7" w:rsidRDefault="00000000">
            <w:pPr>
              <w:pStyle w:val="Compact"/>
              <w:jc w:val="center"/>
            </w:pPr>
            <w:r>
              <w:t>0.76</w:t>
            </w:r>
          </w:p>
        </w:tc>
      </w:tr>
    </w:tbl>
    <w:p w14:paraId="580F2E0D" w14:textId="77777777" w:rsidR="008C65E7" w:rsidRDefault="008C65E7"/>
    <w:p w14:paraId="580F2E0E" w14:textId="77777777" w:rsidR="008C65E7" w:rsidRDefault="00000000">
      <w:pPr>
        <w:pStyle w:val="TableCaption"/>
      </w:pPr>
      <w:r>
        <w:t>Table 3. Posterior (long-term mean) and posterior predictive (predicted long-term mean) probabilities for spatial model by SSMUs.</w:t>
      </w:r>
    </w:p>
    <w:tbl>
      <w:tblPr>
        <w:tblStyle w:val="Table"/>
        <w:tblW w:w="5000" w:type="pct"/>
        <w:tblLook w:val="0020" w:firstRow="1" w:lastRow="0" w:firstColumn="0" w:lastColumn="0" w:noHBand="0" w:noVBand="0"/>
        <w:tblCaption w:val="Table 3. Posterior (long-term mean) and posterior predictive (predicted long-term mean) probabilities for spatial model by SSMUs."/>
      </w:tblPr>
      <w:tblGrid>
        <w:gridCol w:w="1763"/>
        <w:gridCol w:w="996"/>
        <w:gridCol w:w="1805"/>
        <w:gridCol w:w="1279"/>
        <w:gridCol w:w="1489"/>
        <w:gridCol w:w="2244"/>
      </w:tblGrid>
      <w:tr w:rsidR="008C65E7" w14:paraId="580F2E15" w14:textId="77777777" w:rsidTr="008C65E7">
        <w:trPr>
          <w:cnfStyle w:val="100000000000" w:firstRow="1" w:lastRow="0" w:firstColumn="0" w:lastColumn="0" w:oddVBand="0" w:evenVBand="0" w:oddHBand="0" w:evenHBand="0" w:firstRowFirstColumn="0" w:firstRowLastColumn="0" w:lastRowFirstColumn="0" w:lastRowLastColumn="0"/>
          <w:tblHeader/>
        </w:trPr>
        <w:tc>
          <w:tcPr>
            <w:tcW w:w="0" w:type="auto"/>
          </w:tcPr>
          <w:p w14:paraId="580F2E0F" w14:textId="77777777" w:rsidR="008C65E7" w:rsidRDefault="00000000">
            <w:pPr>
              <w:pStyle w:val="Compact"/>
            </w:pPr>
            <w:r>
              <w:t>Effects</w:t>
            </w:r>
          </w:p>
        </w:tc>
        <w:tc>
          <w:tcPr>
            <w:tcW w:w="0" w:type="auto"/>
          </w:tcPr>
          <w:p w14:paraId="580F2E10" w14:textId="77777777" w:rsidR="008C65E7" w:rsidRDefault="00000000">
            <w:pPr>
              <w:pStyle w:val="Compact"/>
              <w:jc w:val="center"/>
            </w:pPr>
            <w:r>
              <w:t>Best Case</w:t>
            </w:r>
          </w:p>
        </w:tc>
        <w:tc>
          <w:tcPr>
            <w:tcW w:w="0" w:type="auto"/>
          </w:tcPr>
          <w:p w14:paraId="580F2E11" w14:textId="77777777" w:rsidR="008C65E7" w:rsidRDefault="00000000">
            <w:pPr>
              <w:pStyle w:val="Compact"/>
              <w:jc w:val="center"/>
            </w:pPr>
            <w:r>
              <w:t>-0.5°C &lt; ONI &lt; +0.5°C</w:t>
            </w:r>
          </w:p>
        </w:tc>
        <w:tc>
          <w:tcPr>
            <w:tcW w:w="0" w:type="auto"/>
          </w:tcPr>
          <w:p w14:paraId="580F2E12" w14:textId="77777777" w:rsidR="008C65E7" w:rsidRDefault="00000000">
            <w:pPr>
              <w:pStyle w:val="Compact"/>
              <w:jc w:val="center"/>
            </w:pPr>
            <w:r>
              <w:t>ONI &gt; +0.5°C</w:t>
            </w:r>
          </w:p>
        </w:tc>
        <w:tc>
          <w:tcPr>
            <w:tcW w:w="0" w:type="auto"/>
          </w:tcPr>
          <w:p w14:paraId="580F2E13" w14:textId="77777777" w:rsidR="008C65E7" w:rsidRDefault="00000000">
            <w:pPr>
              <w:pStyle w:val="Compact"/>
              <w:jc w:val="center"/>
            </w:pPr>
            <w:r>
              <w:t>Long-term mean</w:t>
            </w:r>
          </w:p>
        </w:tc>
        <w:tc>
          <w:tcPr>
            <w:tcW w:w="0" w:type="auto"/>
          </w:tcPr>
          <w:p w14:paraId="580F2E14" w14:textId="77777777" w:rsidR="008C65E7" w:rsidRDefault="00000000">
            <w:pPr>
              <w:pStyle w:val="Compact"/>
              <w:jc w:val="center"/>
            </w:pPr>
            <w:r>
              <w:t>Predicted long-term mean</w:t>
            </w:r>
          </w:p>
        </w:tc>
      </w:tr>
      <w:tr w:rsidR="008C65E7" w14:paraId="580F2E1C" w14:textId="77777777">
        <w:tc>
          <w:tcPr>
            <w:tcW w:w="0" w:type="auto"/>
          </w:tcPr>
          <w:p w14:paraId="580F2E16" w14:textId="77777777" w:rsidR="008C65E7" w:rsidRDefault="00000000">
            <w:pPr>
              <w:pStyle w:val="Compact"/>
            </w:pPr>
            <w:r>
              <w:t>Best case</w:t>
            </w:r>
          </w:p>
        </w:tc>
        <w:tc>
          <w:tcPr>
            <w:tcW w:w="0" w:type="auto"/>
          </w:tcPr>
          <w:p w14:paraId="580F2E17" w14:textId="77777777" w:rsidR="008C65E7" w:rsidRDefault="00000000">
            <w:pPr>
              <w:pStyle w:val="Compact"/>
              <w:jc w:val="center"/>
            </w:pPr>
            <w:r>
              <w:t>NA</w:t>
            </w:r>
          </w:p>
        </w:tc>
        <w:tc>
          <w:tcPr>
            <w:tcW w:w="0" w:type="auto"/>
          </w:tcPr>
          <w:p w14:paraId="580F2E18" w14:textId="77777777" w:rsidR="008C65E7" w:rsidRDefault="00000000">
            <w:pPr>
              <w:pStyle w:val="Compact"/>
              <w:jc w:val="center"/>
            </w:pPr>
            <w:r>
              <w:t>NA</w:t>
            </w:r>
          </w:p>
        </w:tc>
        <w:tc>
          <w:tcPr>
            <w:tcW w:w="0" w:type="auto"/>
          </w:tcPr>
          <w:p w14:paraId="580F2E19" w14:textId="77777777" w:rsidR="008C65E7" w:rsidRDefault="00000000">
            <w:pPr>
              <w:pStyle w:val="Compact"/>
              <w:jc w:val="center"/>
            </w:pPr>
            <w:r>
              <w:t>NA</w:t>
            </w:r>
          </w:p>
        </w:tc>
        <w:tc>
          <w:tcPr>
            <w:tcW w:w="0" w:type="auto"/>
          </w:tcPr>
          <w:p w14:paraId="580F2E1A" w14:textId="77777777" w:rsidR="008C65E7" w:rsidRDefault="00000000">
            <w:pPr>
              <w:pStyle w:val="Compact"/>
              <w:jc w:val="center"/>
            </w:pPr>
            <w:r>
              <w:t>0.09</w:t>
            </w:r>
          </w:p>
        </w:tc>
        <w:tc>
          <w:tcPr>
            <w:tcW w:w="0" w:type="auto"/>
          </w:tcPr>
          <w:p w14:paraId="580F2E1B" w14:textId="77777777" w:rsidR="008C65E7" w:rsidRDefault="00000000">
            <w:pPr>
              <w:pStyle w:val="Compact"/>
              <w:jc w:val="center"/>
            </w:pPr>
            <w:r>
              <w:t>0.40</w:t>
            </w:r>
          </w:p>
        </w:tc>
      </w:tr>
      <w:tr w:rsidR="008C65E7" w14:paraId="580F2E23" w14:textId="77777777">
        <w:tc>
          <w:tcPr>
            <w:tcW w:w="0" w:type="auto"/>
          </w:tcPr>
          <w:p w14:paraId="580F2E1D" w14:textId="77777777" w:rsidR="008C65E7" w:rsidRDefault="00000000">
            <w:pPr>
              <w:pStyle w:val="Compact"/>
            </w:pPr>
            <w:r>
              <w:t>−0.5°C &lt; ONI &lt; 0.5°C</w:t>
            </w:r>
          </w:p>
        </w:tc>
        <w:tc>
          <w:tcPr>
            <w:tcW w:w="0" w:type="auto"/>
          </w:tcPr>
          <w:p w14:paraId="580F2E1E" w14:textId="77777777" w:rsidR="008C65E7" w:rsidRDefault="00000000">
            <w:pPr>
              <w:pStyle w:val="Compact"/>
              <w:jc w:val="center"/>
            </w:pPr>
            <w:r>
              <w:t>0.99</w:t>
            </w:r>
          </w:p>
        </w:tc>
        <w:tc>
          <w:tcPr>
            <w:tcW w:w="0" w:type="auto"/>
          </w:tcPr>
          <w:p w14:paraId="580F2E1F" w14:textId="77777777" w:rsidR="008C65E7" w:rsidRDefault="00000000">
            <w:pPr>
              <w:pStyle w:val="Compact"/>
              <w:jc w:val="center"/>
            </w:pPr>
            <w:r>
              <w:t>NA</w:t>
            </w:r>
          </w:p>
        </w:tc>
        <w:tc>
          <w:tcPr>
            <w:tcW w:w="0" w:type="auto"/>
          </w:tcPr>
          <w:p w14:paraId="580F2E20" w14:textId="77777777" w:rsidR="008C65E7" w:rsidRDefault="00000000">
            <w:pPr>
              <w:pStyle w:val="Compact"/>
              <w:jc w:val="center"/>
            </w:pPr>
            <w:r>
              <w:t>NA</w:t>
            </w:r>
          </w:p>
        </w:tc>
        <w:tc>
          <w:tcPr>
            <w:tcW w:w="0" w:type="auto"/>
          </w:tcPr>
          <w:p w14:paraId="580F2E21" w14:textId="77777777" w:rsidR="008C65E7" w:rsidRDefault="00000000">
            <w:pPr>
              <w:pStyle w:val="Compact"/>
              <w:jc w:val="center"/>
            </w:pPr>
            <w:r>
              <w:t>0.96</w:t>
            </w:r>
          </w:p>
        </w:tc>
        <w:tc>
          <w:tcPr>
            <w:tcW w:w="0" w:type="auto"/>
          </w:tcPr>
          <w:p w14:paraId="580F2E22" w14:textId="77777777" w:rsidR="008C65E7" w:rsidRDefault="00000000">
            <w:pPr>
              <w:pStyle w:val="Compact"/>
              <w:jc w:val="center"/>
            </w:pPr>
            <w:r>
              <w:t>0.63</w:t>
            </w:r>
          </w:p>
        </w:tc>
      </w:tr>
      <w:tr w:rsidR="008C65E7" w14:paraId="580F2E2A" w14:textId="77777777">
        <w:tc>
          <w:tcPr>
            <w:tcW w:w="0" w:type="auto"/>
          </w:tcPr>
          <w:p w14:paraId="580F2E24" w14:textId="77777777" w:rsidR="008C65E7" w:rsidRDefault="00000000">
            <w:pPr>
              <w:pStyle w:val="Compact"/>
            </w:pPr>
            <w:r>
              <w:t>ONI ≥ 0.5°C</w:t>
            </w:r>
          </w:p>
        </w:tc>
        <w:tc>
          <w:tcPr>
            <w:tcW w:w="0" w:type="auto"/>
          </w:tcPr>
          <w:p w14:paraId="580F2E25" w14:textId="77777777" w:rsidR="008C65E7" w:rsidRDefault="00000000">
            <w:pPr>
              <w:pStyle w:val="Compact"/>
              <w:jc w:val="center"/>
            </w:pPr>
            <w:r>
              <w:t>0.96</w:t>
            </w:r>
          </w:p>
        </w:tc>
        <w:tc>
          <w:tcPr>
            <w:tcW w:w="0" w:type="auto"/>
          </w:tcPr>
          <w:p w14:paraId="580F2E26" w14:textId="77777777" w:rsidR="008C65E7" w:rsidRDefault="00000000">
            <w:pPr>
              <w:pStyle w:val="Compact"/>
              <w:jc w:val="center"/>
            </w:pPr>
            <w:r>
              <w:t>NA</w:t>
            </w:r>
          </w:p>
        </w:tc>
        <w:tc>
          <w:tcPr>
            <w:tcW w:w="0" w:type="auto"/>
          </w:tcPr>
          <w:p w14:paraId="580F2E27" w14:textId="77777777" w:rsidR="008C65E7" w:rsidRDefault="00000000">
            <w:pPr>
              <w:pStyle w:val="Compact"/>
              <w:jc w:val="center"/>
            </w:pPr>
            <w:r>
              <w:t>NA</w:t>
            </w:r>
          </w:p>
        </w:tc>
        <w:tc>
          <w:tcPr>
            <w:tcW w:w="0" w:type="auto"/>
          </w:tcPr>
          <w:p w14:paraId="580F2E28" w14:textId="77777777" w:rsidR="008C65E7" w:rsidRDefault="00000000">
            <w:pPr>
              <w:pStyle w:val="Compact"/>
              <w:jc w:val="center"/>
            </w:pPr>
            <w:r>
              <w:t>0.67</w:t>
            </w:r>
          </w:p>
        </w:tc>
        <w:tc>
          <w:tcPr>
            <w:tcW w:w="0" w:type="auto"/>
          </w:tcPr>
          <w:p w14:paraId="580F2E29" w14:textId="77777777" w:rsidR="008C65E7" w:rsidRDefault="00000000">
            <w:pPr>
              <w:pStyle w:val="Compact"/>
              <w:jc w:val="center"/>
            </w:pPr>
            <w:r>
              <w:t>0.53</w:t>
            </w:r>
          </w:p>
        </w:tc>
      </w:tr>
      <w:tr w:rsidR="008C65E7" w14:paraId="580F2E31" w14:textId="77777777">
        <w:tc>
          <w:tcPr>
            <w:tcW w:w="0" w:type="auto"/>
          </w:tcPr>
          <w:p w14:paraId="580F2E2B" w14:textId="77777777" w:rsidR="008C65E7" w:rsidRDefault="00000000">
            <w:pPr>
              <w:pStyle w:val="Compact"/>
            </w:pPr>
            <w:r>
              <w:t>LKB &gt; 1Mt</w:t>
            </w:r>
          </w:p>
        </w:tc>
        <w:tc>
          <w:tcPr>
            <w:tcW w:w="0" w:type="auto"/>
          </w:tcPr>
          <w:p w14:paraId="580F2E2C" w14:textId="77777777" w:rsidR="008C65E7" w:rsidRDefault="00000000">
            <w:pPr>
              <w:pStyle w:val="Compact"/>
              <w:jc w:val="center"/>
            </w:pPr>
            <w:r>
              <w:t>0.47</w:t>
            </w:r>
          </w:p>
        </w:tc>
        <w:tc>
          <w:tcPr>
            <w:tcW w:w="0" w:type="auto"/>
          </w:tcPr>
          <w:p w14:paraId="580F2E2D" w14:textId="77777777" w:rsidR="008C65E7" w:rsidRDefault="00000000">
            <w:pPr>
              <w:pStyle w:val="Compact"/>
              <w:jc w:val="center"/>
            </w:pPr>
            <w:r>
              <w:t>0.01</w:t>
            </w:r>
          </w:p>
        </w:tc>
        <w:tc>
          <w:tcPr>
            <w:tcW w:w="0" w:type="auto"/>
          </w:tcPr>
          <w:p w14:paraId="580F2E2E" w14:textId="77777777" w:rsidR="008C65E7" w:rsidRDefault="00000000">
            <w:pPr>
              <w:pStyle w:val="Compact"/>
              <w:jc w:val="center"/>
            </w:pPr>
            <w:r>
              <w:t>0.10</w:t>
            </w:r>
          </w:p>
        </w:tc>
        <w:tc>
          <w:tcPr>
            <w:tcW w:w="0" w:type="auto"/>
          </w:tcPr>
          <w:p w14:paraId="580F2E2F" w14:textId="77777777" w:rsidR="008C65E7" w:rsidRDefault="00000000">
            <w:pPr>
              <w:pStyle w:val="Compact"/>
              <w:jc w:val="center"/>
            </w:pPr>
            <w:r>
              <w:t>0.04</w:t>
            </w:r>
          </w:p>
        </w:tc>
        <w:tc>
          <w:tcPr>
            <w:tcW w:w="0" w:type="auto"/>
          </w:tcPr>
          <w:p w14:paraId="580F2E30" w14:textId="77777777" w:rsidR="008C65E7" w:rsidRDefault="00000000">
            <w:pPr>
              <w:pStyle w:val="Compact"/>
              <w:jc w:val="center"/>
            </w:pPr>
            <w:r>
              <w:t>0.41</w:t>
            </w:r>
          </w:p>
        </w:tc>
      </w:tr>
      <w:tr w:rsidR="008C65E7" w14:paraId="580F2E38" w14:textId="77777777">
        <w:tc>
          <w:tcPr>
            <w:tcW w:w="0" w:type="auto"/>
          </w:tcPr>
          <w:p w14:paraId="580F2E32" w14:textId="77777777" w:rsidR="008C65E7" w:rsidRDefault="00000000">
            <w:pPr>
              <w:pStyle w:val="Compact"/>
            </w:pPr>
            <w:r>
              <w:t>0.01 &lt; LHR &lt; 0.10</w:t>
            </w:r>
          </w:p>
        </w:tc>
        <w:tc>
          <w:tcPr>
            <w:tcW w:w="0" w:type="auto"/>
          </w:tcPr>
          <w:p w14:paraId="580F2E33" w14:textId="77777777" w:rsidR="008C65E7" w:rsidRDefault="00000000">
            <w:pPr>
              <w:pStyle w:val="Compact"/>
              <w:jc w:val="center"/>
            </w:pPr>
            <w:r>
              <w:t>0.60</w:t>
            </w:r>
          </w:p>
        </w:tc>
        <w:tc>
          <w:tcPr>
            <w:tcW w:w="0" w:type="auto"/>
          </w:tcPr>
          <w:p w14:paraId="580F2E34" w14:textId="77777777" w:rsidR="008C65E7" w:rsidRDefault="00000000">
            <w:pPr>
              <w:pStyle w:val="Compact"/>
              <w:jc w:val="center"/>
            </w:pPr>
            <w:r>
              <w:t>0.04</w:t>
            </w:r>
          </w:p>
        </w:tc>
        <w:tc>
          <w:tcPr>
            <w:tcW w:w="0" w:type="auto"/>
          </w:tcPr>
          <w:p w14:paraId="580F2E35" w14:textId="77777777" w:rsidR="008C65E7" w:rsidRDefault="00000000">
            <w:pPr>
              <w:pStyle w:val="Compact"/>
              <w:jc w:val="center"/>
            </w:pPr>
            <w:r>
              <w:t>0.17</w:t>
            </w:r>
          </w:p>
        </w:tc>
        <w:tc>
          <w:tcPr>
            <w:tcW w:w="0" w:type="auto"/>
          </w:tcPr>
          <w:p w14:paraId="580F2E36" w14:textId="77777777" w:rsidR="008C65E7" w:rsidRDefault="00000000">
            <w:pPr>
              <w:pStyle w:val="Compact"/>
              <w:jc w:val="center"/>
            </w:pPr>
            <w:r>
              <w:t>0.18</w:t>
            </w:r>
          </w:p>
        </w:tc>
        <w:tc>
          <w:tcPr>
            <w:tcW w:w="0" w:type="auto"/>
          </w:tcPr>
          <w:p w14:paraId="580F2E37" w14:textId="77777777" w:rsidR="008C65E7" w:rsidRDefault="00000000">
            <w:pPr>
              <w:pStyle w:val="Compact"/>
              <w:jc w:val="center"/>
            </w:pPr>
            <w:r>
              <w:t>0.43</w:t>
            </w:r>
          </w:p>
        </w:tc>
      </w:tr>
      <w:tr w:rsidR="008C65E7" w14:paraId="580F2E3F" w14:textId="77777777">
        <w:tc>
          <w:tcPr>
            <w:tcW w:w="0" w:type="auto"/>
          </w:tcPr>
          <w:p w14:paraId="580F2E39" w14:textId="77777777" w:rsidR="008C65E7" w:rsidRDefault="00000000">
            <w:pPr>
              <w:pStyle w:val="Compact"/>
            </w:pPr>
            <w:r>
              <w:t>LHR ≥ 0.10</w:t>
            </w:r>
          </w:p>
        </w:tc>
        <w:tc>
          <w:tcPr>
            <w:tcW w:w="0" w:type="auto"/>
          </w:tcPr>
          <w:p w14:paraId="580F2E3A" w14:textId="77777777" w:rsidR="008C65E7" w:rsidRDefault="00000000">
            <w:pPr>
              <w:pStyle w:val="Compact"/>
              <w:jc w:val="center"/>
            </w:pPr>
            <w:r>
              <w:t>0.21</w:t>
            </w:r>
          </w:p>
        </w:tc>
        <w:tc>
          <w:tcPr>
            <w:tcW w:w="0" w:type="auto"/>
          </w:tcPr>
          <w:p w14:paraId="580F2E3B" w14:textId="77777777" w:rsidR="008C65E7" w:rsidRDefault="00000000">
            <w:pPr>
              <w:pStyle w:val="Compact"/>
              <w:jc w:val="center"/>
            </w:pPr>
            <w:r>
              <w:t>0.06</w:t>
            </w:r>
          </w:p>
        </w:tc>
        <w:tc>
          <w:tcPr>
            <w:tcW w:w="0" w:type="auto"/>
          </w:tcPr>
          <w:p w14:paraId="580F2E3C" w14:textId="77777777" w:rsidR="008C65E7" w:rsidRDefault="00000000">
            <w:pPr>
              <w:pStyle w:val="Compact"/>
              <w:jc w:val="center"/>
            </w:pPr>
            <w:r>
              <w:t>0.13</w:t>
            </w:r>
          </w:p>
        </w:tc>
        <w:tc>
          <w:tcPr>
            <w:tcW w:w="0" w:type="auto"/>
          </w:tcPr>
          <w:p w14:paraId="580F2E3D" w14:textId="77777777" w:rsidR="008C65E7" w:rsidRDefault="00000000">
            <w:pPr>
              <w:pStyle w:val="Compact"/>
              <w:jc w:val="center"/>
            </w:pPr>
            <w:r>
              <w:t>0.14</w:t>
            </w:r>
          </w:p>
        </w:tc>
        <w:tc>
          <w:tcPr>
            <w:tcW w:w="0" w:type="auto"/>
          </w:tcPr>
          <w:p w14:paraId="580F2E3E" w14:textId="77777777" w:rsidR="008C65E7" w:rsidRDefault="00000000">
            <w:pPr>
              <w:pStyle w:val="Compact"/>
              <w:jc w:val="center"/>
            </w:pPr>
            <w:r>
              <w:t>0.26</w:t>
            </w:r>
          </w:p>
        </w:tc>
      </w:tr>
      <w:tr w:rsidR="008C65E7" w14:paraId="580F2E46" w14:textId="77777777">
        <w:tc>
          <w:tcPr>
            <w:tcW w:w="0" w:type="auto"/>
          </w:tcPr>
          <w:p w14:paraId="580F2E40" w14:textId="77777777" w:rsidR="008C65E7" w:rsidRDefault="00000000">
            <w:pPr>
              <w:pStyle w:val="Compact"/>
            </w:pPr>
            <w:r>
              <w:t>Worst case</w:t>
            </w:r>
          </w:p>
        </w:tc>
        <w:tc>
          <w:tcPr>
            <w:tcW w:w="0" w:type="auto"/>
          </w:tcPr>
          <w:p w14:paraId="580F2E41" w14:textId="77777777" w:rsidR="008C65E7" w:rsidRDefault="00000000">
            <w:pPr>
              <w:pStyle w:val="Compact"/>
              <w:jc w:val="center"/>
            </w:pPr>
            <w:r>
              <w:t>0.50</w:t>
            </w:r>
          </w:p>
        </w:tc>
        <w:tc>
          <w:tcPr>
            <w:tcW w:w="0" w:type="auto"/>
          </w:tcPr>
          <w:p w14:paraId="580F2E42" w14:textId="77777777" w:rsidR="008C65E7" w:rsidRDefault="00000000">
            <w:pPr>
              <w:pStyle w:val="Compact"/>
              <w:jc w:val="center"/>
            </w:pPr>
            <w:r>
              <w:t>NA</w:t>
            </w:r>
          </w:p>
        </w:tc>
        <w:tc>
          <w:tcPr>
            <w:tcW w:w="0" w:type="auto"/>
          </w:tcPr>
          <w:p w14:paraId="580F2E43" w14:textId="77777777" w:rsidR="008C65E7" w:rsidRDefault="00000000">
            <w:pPr>
              <w:pStyle w:val="Compact"/>
              <w:jc w:val="center"/>
            </w:pPr>
            <w:r>
              <w:t>NA</w:t>
            </w:r>
          </w:p>
        </w:tc>
        <w:tc>
          <w:tcPr>
            <w:tcW w:w="0" w:type="auto"/>
          </w:tcPr>
          <w:p w14:paraId="580F2E44" w14:textId="77777777" w:rsidR="008C65E7" w:rsidRDefault="00000000">
            <w:pPr>
              <w:pStyle w:val="Compact"/>
              <w:jc w:val="center"/>
            </w:pPr>
            <w:r>
              <w:t>0.38</w:t>
            </w:r>
          </w:p>
        </w:tc>
        <w:tc>
          <w:tcPr>
            <w:tcW w:w="0" w:type="auto"/>
          </w:tcPr>
          <w:p w14:paraId="580F2E45" w14:textId="77777777" w:rsidR="008C65E7" w:rsidRDefault="00000000">
            <w:pPr>
              <w:pStyle w:val="Compact"/>
              <w:jc w:val="center"/>
            </w:pPr>
            <w:r>
              <w:t>0.44</w:t>
            </w:r>
          </w:p>
        </w:tc>
      </w:tr>
    </w:tbl>
    <w:p w14:paraId="580F2E47" w14:textId="77777777" w:rsidR="008C65E7" w:rsidRDefault="00000000">
      <w:r>
        <w:br w:type="page"/>
      </w:r>
    </w:p>
    <w:p w14:paraId="580F2E48" w14:textId="77777777" w:rsidR="008C65E7" w:rsidRDefault="00000000">
      <w:pPr>
        <w:pStyle w:val="Ttulo1"/>
      </w:pPr>
      <w:bookmarkStart w:id="1" w:name="figures"/>
      <w:bookmarkEnd w:id="0"/>
      <w:r>
        <w:lastRenderedPageBreak/>
        <w:t>Figures:</w:t>
      </w:r>
    </w:p>
    <w:p w14:paraId="580F2E49" w14:textId="77777777" w:rsidR="008C65E7" w:rsidRDefault="00000000">
      <w:pPr>
        <w:pStyle w:val="FirstParagraph"/>
      </w:pPr>
      <w:r>
        <w:rPr>
          <w:noProof/>
        </w:rPr>
        <w:drawing>
          <wp:inline distT="0" distB="0" distL="0" distR="0" wp14:anchorId="580F2E5F" wp14:editId="580F2E60">
            <wp:extent cx="5334000" cy="472161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A_Results/Fig1_gSSMUs.png"/>
                    <pic:cNvPicPr>
                      <a:picLocks noChangeAspect="1" noChangeArrowheads="1"/>
                    </pic:cNvPicPr>
                  </pic:nvPicPr>
                  <pic:blipFill>
                    <a:blip r:embed="rId7"/>
                    <a:stretch>
                      <a:fillRect/>
                    </a:stretch>
                  </pic:blipFill>
                  <pic:spPr bwMode="auto">
                    <a:xfrm>
                      <a:off x="0" y="0"/>
                      <a:ext cx="5334000" cy="4721610"/>
                    </a:xfrm>
                    <a:prstGeom prst="rect">
                      <a:avLst/>
                    </a:prstGeom>
                    <a:noFill/>
                    <a:ln w="9525">
                      <a:noFill/>
                      <a:headEnd/>
                      <a:tailEnd/>
                    </a:ln>
                  </pic:spPr>
                </pic:pic>
              </a:graphicData>
            </a:graphic>
          </wp:inline>
        </w:drawing>
      </w:r>
    </w:p>
    <w:p w14:paraId="580F2E4A" w14:textId="77777777" w:rsidR="008C65E7" w:rsidRDefault="00000000">
      <w:pPr>
        <w:pStyle w:val="Textoindependiente"/>
      </w:pPr>
      <w:r>
        <w:t>Figure 1. Locations of penguin colonies and spatial management units in the study area. COPA is shown in red and SHIRREF in blue. The two gSSMUs are indicated by dashed outlines, gSSMU 1 in red and gSSMU 2 in blue. Surrounding SSMUs are also shown: APEI, Antarctic Peninsula Elephant Island; APDPE, Antarctic Peninsula Drake Passage East; APDPW, Antarctic Peninsula Drake Passage West; APBSE, Antarctic Peninsula Bransfield Strait East; APBSW, Antarctic Peninsula Bransfield Strait West.</w:t>
      </w:r>
    </w:p>
    <w:p w14:paraId="580F2E4B" w14:textId="77777777" w:rsidR="008C65E7" w:rsidRDefault="00000000">
      <w:pPr>
        <w:pStyle w:val="Textoindependiente"/>
      </w:pPr>
      <w:r>
        <w:rPr>
          <w:noProof/>
        </w:rPr>
        <w:lastRenderedPageBreak/>
        <w:drawing>
          <wp:inline distT="0" distB="0" distL="0" distR="0" wp14:anchorId="580F2E61" wp14:editId="580F2E62">
            <wp:extent cx="4267200" cy="53340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A_Results/Figure_2_stacked.png"/>
                    <pic:cNvPicPr>
                      <a:picLocks noChangeAspect="1" noChangeArrowheads="1"/>
                    </pic:cNvPicPr>
                  </pic:nvPicPr>
                  <pic:blipFill>
                    <a:blip r:embed="rId8"/>
                    <a:stretch>
                      <a:fillRect/>
                    </a:stretch>
                  </pic:blipFill>
                  <pic:spPr bwMode="auto">
                    <a:xfrm>
                      <a:off x="0" y="0"/>
                      <a:ext cx="4267200" cy="5334000"/>
                    </a:xfrm>
                    <a:prstGeom prst="rect">
                      <a:avLst/>
                    </a:prstGeom>
                    <a:noFill/>
                    <a:ln w="9525">
                      <a:noFill/>
                      <a:headEnd/>
                      <a:tailEnd/>
                    </a:ln>
                  </pic:spPr>
                </pic:pic>
              </a:graphicData>
            </a:graphic>
          </wp:inline>
        </w:drawing>
      </w:r>
    </w:p>
    <w:p w14:paraId="580F2E4C" w14:textId="77777777" w:rsidR="008C65E7" w:rsidRDefault="00000000">
      <w:pPr>
        <w:pStyle w:val="Textoindependiente"/>
      </w:pPr>
      <w:r>
        <w:t>Figure 2. (A) Observed and imputed LKB (local krill biomass) by gSSMU and summer SAM value. The dashed black line marks 1 Mt. Red and blue dashed lines show mean values during negative SAM summers, and red and blue solid lines show mean values during positive SAM summers (see Table 1). (B) Boxplots of observed LKB by gSSMU and SAM sign. Black, blue and red lines as in figure (A). gSSMU 1 is shown in red and gSSMU 2 in blue.</w:t>
      </w:r>
    </w:p>
    <w:p w14:paraId="580F2E4D" w14:textId="77777777" w:rsidR="008C65E7" w:rsidRDefault="00000000">
      <w:pPr>
        <w:pStyle w:val="Textoindependiente"/>
      </w:pPr>
      <w:r>
        <w:rPr>
          <w:noProof/>
        </w:rPr>
        <w:lastRenderedPageBreak/>
        <w:drawing>
          <wp:inline distT="0" distB="0" distL="0" distR="0" wp14:anchorId="580F2E63" wp14:editId="580F2E64">
            <wp:extent cx="5334000" cy="586740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A_Results/Figures_3_5_stacked.png"/>
                    <pic:cNvPicPr>
                      <a:picLocks noChangeAspect="1" noChangeArrowheads="1"/>
                    </pic:cNvPicPr>
                  </pic:nvPicPr>
                  <pic:blipFill>
                    <a:blip r:embed="rId9"/>
                    <a:stretch>
                      <a:fillRect/>
                    </a:stretch>
                  </pic:blipFill>
                  <pic:spPr bwMode="auto">
                    <a:xfrm>
                      <a:off x="0" y="0"/>
                      <a:ext cx="5334000" cy="5867400"/>
                    </a:xfrm>
                    <a:prstGeom prst="rect">
                      <a:avLst/>
                    </a:prstGeom>
                    <a:noFill/>
                    <a:ln w="9525">
                      <a:noFill/>
                      <a:headEnd/>
                      <a:tailEnd/>
                    </a:ln>
                  </pic:spPr>
                </pic:pic>
              </a:graphicData>
            </a:graphic>
          </wp:inline>
        </w:drawing>
      </w:r>
    </w:p>
    <w:p w14:paraId="580F2E4E" w14:textId="77777777" w:rsidR="008C65E7" w:rsidRDefault="00000000">
      <w:pPr>
        <w:pStyle w:val="Textoindependiente"/>
      </w:pPr>
      <w:r>
        <w:t>Figure 3. Krill survey estimates (LKB) (left), fishing catch (center) and Local Harvest Rate (LHR) (right) for the study period. Top panel:gSSMU 2 (SSIW-EI). Bottom panel: gSSMU 1 (BS). Filled circles show survey data from Watters et al. 2020. Open circles show the mean imputed median LKB values for negative and positive SAM, as per Table 1. Color code: red = summer; blue = winter. Dash black line: LHR = 0.01; solid black line: LHR = 0.10.</w:t>
      </w:r>
    </w:p>
    <w:p w14:paraId="580F2E4F" w14:textId="77777777" w:rsidR="008C65E7" w:rsidRDefault="00000000">
      <w:pPr>
        <w:pStyle w:val="Textoindependiente"/>
      </w:pPr>
      <w:r>
        <w:rPr>
          <w:noProof/>
        </w:rPr>
        <w:lastRenderedPageBreak/>
        <w:drawing>
          <wp:inline distT="0" distB="0" distL="0" distR="0" wp14:anchorId="580F2E65" wp14:editId="580F2E66">
            <wp:extent cx="3467100" cy="7503294"/>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Watters%20EMM%20figures/Penguin%20distributions.png"/>
                    <pic:cNvPicPr>
                      <a:picLocks noChangeAspect="1" noChangeArrowheads="1"/>
                    </pic:cNvPicPr>
                  </pic:nvPicPr>
                  <pic:blipFill>
                    <a:blip r:embed="rId10"/>
                    <a:stretch>
                      <a:fillRect/>
                    </a:stretch>
                  </pic:blipFill>
                  <pic:spPr bwMode="auto">
                    <a:xfrm>
                      <a:off x="0" y="0"/>
                      <a:ext cx="3467100" cy="7503294"/>
                    </a:xfrm>
                    <a:prstGeom prst="rect">
                      <a:avLst/>
                    </a:prstGeom>
                    <a:noFill/>
                    <a:ln w="9525">
                      <a:noFill/>
                      <a:headEnd/>
                      <a:tailEnd/>
                    </a:ln>
                  </pic:spPr>
                </pic:pic>
              </a:graphicData>
            </a:graphic>
          </wp:inline>
        </w:drawing>
      </w:r>
    </w:p>
    <w:p w14:paraId="580F2E50" w14:textId="77777777" w:rsidR="008C65E7" w:rsidRDefault="00000000">
      <w:pPr>
        <w:pStyle w:val="Textoindependiente"/>
      </w:pPr>
      <w:r>
        <w:t xml:space="preserve">Figure 4. Penguin foraging behaviour during summer breeding, derived from available ARGOS-CLS PTT data presented in Hinke et al. 2017. A) Chinstrap penguins from Cape Shireff (blue) and Copacabana (green) truncated at </w:t>
      </w:r>
      <m:oMath>
        <m:sSup>
          <m:sSupPr>
            <m:ctrlPr>
              <w:rPr>
                <w:rFonts w:ascii="Cambria Math" w:hAnsi="Cambria Math"/>
              </w:rPr>
            </m:ctrlPr>
          </m:sSupPr>
          <m:e>
            <m:r>
              <w:rPr>
                <w:rFonts w:ascii="Cambria Math" w:hAnsi="Cambria Math"/>
              </w:rPr>
              <m:t>10</m:t>
            </m:r>
          </m:e>
          <m:sup>
            <m:r>
              <w:rPr>
                <w:rFonts w:ascii="Cambria Math" w:hAnsi="Cambria Math"/>
              </w:rPr>
              <m:t>th</m:t>
            </m:r>
          </m:sup>
        </m:sSup>
      </m:oMath>
      <w:r>
        <w:t xml:space="preserve"> March in line with known </w:t>
      </w:r>
      <w:r>
        <w:lastRenderedPageBreak/>
        <w:t xml:space="preserve">phenology (Black 2016; </w:t>
      </w:r>
      <w:r>
        <w:rPr>
          <w:b/>
          <w:bCs/>
          <w:i/>
          <w:iCs/>
        </w:rPr>
        <w:t>Lowther et al.(this meeting).</w:t>
      </w:r>
      <w:r>
        <w:t xml:space="preserve"> Elongated grey track represents a single animal) B) Adélie penguins truncated to the end of January and C) Gentoo penguins until August, representing all available PTT data provided. The SSMU are combined and coloured according to gSSMU (red: gSSMU 2; purple: gSSMU 1) with Chinstrap and Adélie penguin 99% MCP home ranges occupying between 7-19% of the gSSMU to which they were assigned.</w:t>
      </w:r>
    </w:p>
    <w:p w14:paraId="580F2E51" w14:textId="77777777" w:rsidR="008C65E7" w:rsidRDefault="00000000">
      <w:pPr>
        <w:pStyle w:val="Textoindependiente"/>
      </w:pPr>
      <w:r>
        <w:rPr>
          <w:noProof/>
        </w:rPr>
        <w:drawing>
          <wp:inline distT="0" distB="0" distL="0" distR="0" wp14:anchorId="580F2E67" wp14:editId="580F2E68">
            <wp:extent cx="3200400" cy="604004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Watters%20EMM%20figures/Overwinter%20pengo%20distributions.png"/>
                    <pic:cNvPicPr>
                      <a:picLocks noChangeAspect="1" noChangeArrowheads="1"/>
                    </pic:cNvPicPr>
                  </pic:nvPicPr>
                  <pic:blipFill>
                    <a:blip r:embed="rId11"/>
                    <a:stretch>
                      <a:fillRect/>
                    </a:stretch>
                  </pic:blipFill>
                  <pic:spPr bwMode="auto">
                    <a:xfrm>
                      <a:off x="0" y="0"/>
                      <a:ext cx="3200400" cy="6040040"/>
                    </a:xfrm>
                    <a:prstGeom prst="rect">
                      <a:avLst/>
                    </a:prstGeom>
                    <a:noFill/>
                    <a:ln w="9525">
                      <a:noFill/>
                      <a:headEnd/>
                      <a:tailEnd/>
                    </a:ln>
                  </pic:spPr>
                </pic:pic>
              </a:graphicData>
            </a:graphic>
          </wp:inline>
        </w:drawing>
      </w:r>
    </w:p>
    <w:p w14:paraId="580F2E52" w14:textId="77777777" w:rsidR="008C65E7" w:rsidRDefault="00000000">
      <w:pPr>
        <w:pStyle w:val="Textoindependiente"/>
      </w:pPr>
      <w:r>
        <w:t xml:space="preserve">Figure 5. A) Distribution of overwinter movement for Chinstrap penguins, relative to the gSSMU’s to which they were attributed, created from telemetry data available in Hinke et al. 2019. B) Adélie and Chinstrap penguin movement recorded by light geolocators, highlighting the large longitudinal range both species disperse through at the end of </w:t>
      </w:r>
      <w:r>
        <w:lastRenderedPageBreak/>
        <w:t>breeding (taken from Hinke et al. 2015). In the original model formulation by Watters et al. 2020, the winter performance indices for both species are matched to macroscale levels of ONI variability but gSSMU-scale estimates of LKB and LHR.</w:t>
      </w:r>
    </w:p>
    <w:p w14:paraId="580F2E53" w14:textId="77777777" w:rsidR="008C65E7" w:rsidRDefault="00000000">
      <w:pPr>
        <w:pStyle w:val="Textoindependiente"/>
      </w:pPr>
      <w:r>
        <w:rPr>
          <w:noProof/>
        </w:rPr>
        <w:lastRenderedPageBreak/>
        <w:drawing>
          <wp:inline distT="0" distB="0" distL="0" distR="0" wp14:anchorId="580F2E69" wp14:editId="580F2E6A">
            <wp:extent cx="3467100" cy="2600324"/>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A_Results/Watters_model/Imputed/Watters_Penguin_performance_imputed.png"/>
                    <pic:cNvPicPr>
                      <a:picLocks noChangeAspect="1" noChangeArrowheads="1"/>
                    </pic:cNvPicPr>
                  </pic:nvPicPr>
                  <pic:blipFill>
                    <a:blip r:embed="rId12"/>
                    <a:stretch>
                      <a:fillRect/>
                    </a:stretch>
                  </pic:blipFill>
                  <pic:spPr bwMode="auto">
                    <a:xfrm>
                      <a:off x="0" y="0"/>
                      <a:ext cx="3467100" cy="2600324"/>
                    </a:xfrm>
                    <a:prstGeom prst="rect">
                      <a:avLst/>
                    </a:prstGeom>
                    <a:noFill/>
                    <a:ln w="9525">
                      <a:noFill/>
                      <a:headEnd/>
                      <a:tailEnd/>
                    </a:ln>
                  </pic:spPr>
                </pic:pic>
              </a:graphicData>
            </a:graphic>
          </wp:inline>
        </w:drawing>
      </w:r>
      <w:r>
        <w:rPr>
          <w:noProof/>
        </w:rPr>
        <w:drawing>
          <wp:inline distT="0" distB="0" distL="0" distR="0" wp14:anchorId="580F2E6B" wp14:editId="580F2E6C">
            <wp:extent cx="3467100" cy="2600324"/>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A_Results/Model02_SSMU/Penguin_performance_ALL_mod02_SSMU.png"/>
                    <pic:cNvPicPr>
                      <a:picLocks noChangeAspect="1" noChangeArrowheads="1"/>
                    </pic:cNvPicPr>
                  </pic:nvPicPr>
                  <pic:blipFill>
                    <a:blip r:embed="rId13"/>
                    <a:stretch>
                      <a:fillRect/>
                    </a:stretch>
                  </pic:blipFill>
                  <pic:spPr bwMode="auto">
                    <a:xfrm>
                      <a:off x="0" y="0"/>
                      <a:ext cx="3467100" cy="2600324"/>
                    </a:xfrm>
                    <a:prstGeom prst="rect">
                      <a:avLst/>
                    </a:prstGeom>
                    <a:noFill/>
                    <a:ln w="9525">
                      <a:noFill/>
                      <a:headEnd/>
                      <a:tailEnd/>
                    </a:ln>
                  </pic:spPr>
                </pic:pic>
              </a:graphicData>
            </a:graphic>
          </wp:inline>
        </w:drawing>
      </w:r>
      <w:r>
        <w:rPr>
          <w:noProof/>
        </w:rPr>
        <w:drawing>
          <wp:inline distT="0" distB="0" distL="0" distR="0" wp14:anchorId="580F2E6D" wp14:editId="580F2E6E">
            <wp:extent cx="3467100" cy="2600324"/>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A_Results/Model02_SSMU_MarchWinter/Penguin_performance_ALL_mod02_SSMU_W.png"/>
                    <pic:cNvPicPr>
                      <a:picLocks noChangeAspect="1" noChangeArrowheads="1"/>
                    </pic:cNvPicPr>
                  </pic:nvPicPr>
                  <pic:blipFill>
                    <a:blip r:embed="rId14"/>
                    <a:stretch>
                      <a:fillRect/>
                    </a:stretch>
                  </pic:blipFill>
                  <pic:spPr bwMode="auto">
                    <a:xfrm>
                      <a:off x="0" y="0"/>
                      <a:ext cx="3467100" cy="2600324"/>
                    </a:xfrm>
                    <a:prstGeom prst="rect">
                      <a:avLst/>
                    </a:prstGeom>
                    <a:noFill/>
                    <a:ln w="9525">
                      <a:noFill/>
                      <a:headEnd/>
                      <a:tailEnd/>
                    </a:ln>
                  </pic:spPr>
                </pic:pic>
              </a:graphicData>
            </a:graphic>
          </wp:inline>
        </w:drawing>
      </w:r>
    </w:p>
    <w:p w14:paraId="580F2E54" w14:textId="77777777" w:rsidR="008C65E7" w:rsidRDefault="00000000">
      <w:pPr>
        <w:pStyle w:val="Textoindependiente"/>
      </w:pPr>
      <w:r>
        <w:lastRenderedPageBreak/>
        <w:t>Figure 6. Expected performance of penguins, all combinations. A) From Watters et al. 2020 model. B) Summer and Winter distributions modified according to penguins’ use of SSMUs (see text). C) Same as B) but March catches allocated to winter.</w:t>
      </w:r>
    </w:p>
    <w:p w14:paraId="580F2E55" w14:textId="77777777" w:rsidR="008C65E7" w:rsidRDefault="00000000">
      <w:pPr>
        <w:pStyle w:val="Textoindependiente"/>
      </w:pPr>
      <w:r>
        <w:rPr>
          <w:noProof/>
        </w:rPr>
        <w:drawing>
          <wp:inline distT="0" distB="0" distL="0" distR="0" wp14:anchorId="580F2E6F" wp14:editId="580F2E70">
            <wp:extent cx="3467100" cy="2022475"/>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A_Results/Watters_model/Imputed/Watters_Penguin_performance.png"/>
                    <pic:cNvPicPr>
                      <a:picLocks noChangeAspect="1" noChangeArrowheads="1"/>
                    </pic:cNvPicPr>
                  </pic:nvPicPr>
                  <pic:blipFill>
                    <a:blip r:embed="rId15"/>
                    <a:stretch>
                      <a:fillRect/>
                    </a:stretch>
                  </pic:blipFill>
                  <pic:spPr bwMode="auto">
                    <a:xfrm>
                      <a:off x="0" y="0"/>
                      <a:ext cx="3467100" cy="2022475"/>
                    </a:xfrm>
                    <a:prstGeom prst="rect">
                      <a:avLst/>
                    </a:prstGeom>
                    <a:noFill/>
                    <a:ln w="9525">
                      <a:noFill/>
                      <a:headEnd/>
                      <a:tailEnd/>
                    </a:ln>
                  </pic:spPr>
                </pic:pic>
              </a:graphicData>
            </a:graphic>
          </wp:inline>
        </w:drawing>
      </w:r>
      <w:r>
        <w:rPr>
          <w:noProof/>
        </w:rPr>
        <w:drawing>
          <wp:inline distT="0" distB="0" distL="0" distR="0" wp14:anchorId="580F2E71" wp14:editId="580F2E72">
            <wp:extent cx="3467100" cy="2022475"/>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A_Results/Model02_SSMU/Penguin_performance_mod02_SSMU.png"/>
                    <pic:cNvPicPr>
                      <a:picLocks noChangeAspect="1" noChangeArrowheads="1"/>
                    </pic:cNvPicPr>
                  </pic:nvPicPr>
                  <pic:blipFill>
                    <a:blip r:embed="rId16"/>
                    <a:stretch>
                      <a:fillRect/>
                    </a:stretch>
                  </pic:blipFill>
                  <pic:spPr bwMode="auto">
                    <a:xfrm>
                      <a:off x="0" y="0"/>
                      <a:ext cx="3467100" cy="2022475"/>
                    </a:xfrm>
                    <a:prstGeom prst="rect">
                      <a:avLst/>
                    </a:prstGeom>
                    <a:noFill/>
                    <a:ln w="9525">
                      <a:noFill/>
                      <a:headEnd/>
                      <a:tailEnd/>
                    </a:ln>
                  </pic:spPr>
                </pic:pic>
              </a:graphicData>
            </a:graphic>
          </wp:inline>
        </w:drawing>
      </w:r>
      <w:r>
        <w:rPr>
          <w:noProof/>
        </w:rPr>
        <w:drawing>
          <wp:inline distT="0" distB="0" distL="0" distR="0" wp14:anchorId="580F2E73" wp14:editId="580F2E74">
            <wp:extent cx="3467100" cy="2022475"/>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A_Results/Model02_SSMU_MarchWinter/Penguin_performance_mod02_SSMU_W.png"/>
                    <pic:cNvPicPr>
                      <a:picLocks noChangeAspect="1" noChangeArrowheads="1"/>
                    </pic:cNvPicPr>
                  </pic:nvPicPr>
                  <pic:blipFill>
                    <a:blip r:embed="rId17"/>
                    <a:stretch>
                      <a:fillRect/>
                    </a:stretch>
                  </pic:blipFill>
                  <pic:spPr bwMode="auto">
                    <a:xfrm>
                      <a:off x="0" y="0"/>
                      <a:ext cx="3467100" cy="2022475"/>
                    </a:xfrm>
                    <a:prstGeom prst="rect">
                      <a:avLst/>
                    </a:prstGeom>
                    <a:noFill/>
                    <a:ln w="9525">
                      <a:noFill/>
                      <a:headEnd/>
                      <a:tailEnd/>
                    </a:ln>
                  </pic:spPr>
                </pic:pic>
              </a:graphicData>
            </a:graphic>
          </wp:inline>
        </w:drawing>
      </w:r>
    </w:p>
    <w:p w14:paraId="580F2E56" w14:textId="77777777" w:rsidR="008C65E7" w:rsidRDefault="00000000">
      <w:pPr>
        <w:pStyle w:val="Textoindependiente"/>
      </w:pPr>
      <w:r>
        <w:t xml:space="preserve">Figure 7. Expected performance of penguins attributable to the marginal effects of the Oceanic Niño Index (ONI), local krill biomass (LKB) and local harvest rate (LHR) relative to the “best case”. The best case is ONI ≤ −0.5 °C; LKB ≤ 1 Mt; and LHR ≤ 0.01. The “worst case” is −0.5 °C &lt; ONI &lt; 0.5 °C; LKB &gt; 1 Mt; and LHR ≥ 0.1. The median, interquartile range, and range of the posterior expectations are indicated by each boxplot. Reference lines respectively indicate the median expected performance in the best case (dashed line) and the long-term mean performance. A) Watters et al. 2020 model. B) Summer and Winter </w:t>
      </w:r>
      <w:r>
        <w:lastRenderedPageBreak/>
        <w:t>distributions modified according to penguin’s use of SSMUs (see text). C) Same as B) but March catches allocated to winter.</w:t>
      </w:r>
    </w:p>
    <w:p w14:paraId="580F2E57" w14:textId="77777777" w:rsidR="008C65E7" w:rsidRDefault="00000000">
      <w:pPr>
        <w:pStyle w:val="Textoindependiente"/>
      </w:pPr>
      <w:r>
        <w:t>Figure 8.</w:t>
      </w:r>
    </w:p>
    <w:p w14:paraId="580F2E58" w14:textId="77777777" w:rsidR="008C65E7" w:rsidRDefault="00000000">
      <w:pPr>
        <w:pStyle w:val="Textoindependiente"/>
      </w:pPr>
      <w:r>
        <w:rPr>
          <w:noProof/>
        </w:rPr>
        <w:drawing>
          <wp:inline distT="0" distB="0" distL="0" distR="0" wp14:anchorId="580F2E75" wp14:editId="580F2E76">
            <wp:extent cx="4000500" cy="5461809"/>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Watters%20EMM%20figures/Watters%20original%20and%20mistake.png"/>
                    <pic:cNvPicPr>
                      <a:picLocks noChangeAspect="1" noChangeArrowheads="1"/>
                    </pic:cNvPicPr>
                  </pic:nvPicPr>
                  <pic:blipFill>
                    <a:blip r:embed="rId18"/>
                    <a:stretch>
                      <a:fillRect/>
                    </a:stretch>
                  </pic:blipFill>
                  <pic:spPr bwMode="auto">
                    <a:xfrm>
                      <a:off x="0" y="0"/>
                      <a:ext cx="4000500" cy="5461809"/>
                    </a:xfrm>
                    <a:prstGeom prst="rect">
                      <a:avLst/>
                    </a:prstGeom>
                    <a:noFill/>
                    <a:ln w="9525">
                      <a:noFill/>
                      <a:headEnd/>
                      <a:tailEnd/>
                    </a:ln>
                  </pic:spPr>
                </pic:pic>
              </a:graphicData>
            </a:graphic>
          </wp:inline>
        </w:drawing>
      </w:r>
    </w:p>
    <w:p w14:paraId="580F2E59" w14:textId="77777777" w:rsidR="008C65E7" w:rsidRDefault="00000000">
      <w:pPr>
        <w:pStyle w:val="Textoindependiente"/>
      </w:pPr>
      <w:r>
        <w:t>Figure x. Original Figure 1 plot from Watters et al. 2020 with A) Neutral ONI and B) B) Warm ONI constituting the “Worst Case” selected. C) Displays the original case-by-case plots recreated from the paper, with Case 12 representing the intention while data from Case 18 was selected for rendering the boxplot. Note that the expected performance under neutral ONI “Worst Case” is poorer than under the warm ONI that was presented in the original paper. Henceforth, to facilitate comparison, we refer to the ONI Neutral plot however we consider this unrealistic if the intention is to portray a “Worst Case” of a continuing warming climate.</w:t>
      </w:r>
    </w:p>
    <w:p w14:paraId="580F2E5A" w14:textId="77777777" w:rsidR="008C65E7" w:rsidRDefault="00000000">
      <w:pPr>
        <w:pStyle w:val="Textoindependiente"/>
      </w:pPr>
      <w:r>
        <w:rPr>
          <w:noProof/>
        </w:rPr>
        <w:lastRenderedPageBreak/>
        <w:drawing>
          <wp:inline distT="0" distB="0" distL="0" distR="0" wp14:anchorId="580F2E77" wp14:editId="580F2E78">
            <wp:extent cx="5334000" cy="6258674"/>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Watters%20EMM%20figures/All%20spp%20summer%20then%20winter%2037.png"/>
                    <pic:cNvPicPr>
                      <a:picLocks noChangeAspect="1" noChangeArrowheads="1"/>
                    </pic:cNvPicPr>
                  </pic:nvPicPr>
                  <pic:blipFill>
                    <a:blip r:embed="rId19"/>
                    <a:stretch>
                      <a:fillRect/>
                    </a:stretch>
                  </pic:blipFill>
                  <pic:spPr bwMode="auto">
                    <a:xfrm>
                      <a:off x="0" y="0"/>
                      <a:ext cx="5334000" cy="6258674"/>
                    </a:xfrm>
                    <a:prstGeom prst="rect">
                      <a:avLst/>
                    </a:prstGeom>
                    <a:noFill/>
                    <a:ln w="9525">
                      <a:noFill/>
                      <a:headEnd/>
                      <a:tailEnd/>
                    </a:ln>
                  </pic:spPr>
                </pic:pic>
              </a:graphicData>
            </a:graphic>
          </wp:inline>
        </w:drawing>
      </w:r>
    </w:p>
    <w:p w14:paraId="580F2E5B" w14:textId="77777777" w:rsidR="008C65E7" w:rsidRDefault="00000000">
      <w:pPr>
        <w:pStyle w:val="Textoindependiente"/>
      </w:pPr>
      <w:r>
        <w:t>Figure x2. Model output for the alternatve Watters et al. 2020 scenario outlined above (all species initially present, Adélie and Chinstrap penguins migrate out of the area after breeding, LKB and LHR rescaled to SSMU and March included in summer or winter). Selected cases as per Watters et al. 2020 for March in A) Summer and B) Winter are provided, with the corresponding case-by-case boxplots presented beneath. Boxplots are colour-coded by ONI state (red=warm, white=neutral, blue=cold). In all cases, the marginal effect of ONI dominated the expected performance of penguins against their long-term mean, irrespective of LKB or LHR.</w:t>
      </w:r>
    </w:p>
    <w:p w14:paraId="580F2E5C" w14:textId="77777777" w:rsidR="008C65E7" w:rsidRDefault="00000000">
      <w:pPr>
        <w:pStyle w:val="Textoindependiente"/>
      </w:pPr>
      <w:r>
        <w:lastRenderedPageBreak/>
        <w:t>Figure x3. Model output for Watters et al. 2020 Scenario #2 outlined above (all species initially present, Adélie and Chinstrap penguins migrate out of the area after breeding, LKB and LHR rescaled to SSMU and March included in summer or winter). Selected cases as per Watters et al. 2020 for March in A) Summer and B) Winter are provided, with the corresponding case-by-case boxplots presented beneath. Boxplots are colour-coded by ONI state (red:warm; white:neutral; blue:cold). In all cases, the marginal effect of ONI dominated the expected performance of penguins against their long-term mean, irrespective of LKB or LHR.</w:t>
      </w:r>
    </w:p>
    <w:p w14:paraId="580F2E5D" w14:textId="77777777" w:rsidR="008C65E7" w:rsidRDefault="00000000">
      <w:pPr>
        <w:pStyle w:val="Textoindependiente"/>
      </w:pPr>
      <w:r>
        <w:t>Figure 9. Model output for Scenario \#3 outlined above (all species initially present,Adélie and chinstrap penguins migrate out of the area after breeding, LKB and LHR rescaled to SSMU and March included in summer or winter). Selected cases as per Watters et al. 2020 for March in A) Summer and B) Winter are provided, with the corresponding case-by-case boxplots presented beneath. Boxplots are colour-coded by ONI state (red;warm, white;neutral, blue;cold). In all cases, the marginal effect of ONI dominated the expected performance of penguins against their long-term mean, irrespective of LKB or LHR.</w:t>
      </w:r>
    </w:p>
    <w:p w14:paraId="580F2E5E" w14:textId="77777777" w:rsidR="008C65E7" w:rsidRDefault="00000000">
      <w:pPr>
        <w:pStyle w:val="Textoindependiente"/>
      </w:pPr>
      <w:r>
        <w:t>Figure 10. Daily accumulated catch (and fitted LOESS smooth curves) in Subarea 48.1 between 20</w:t>
      </w:r>
      <m:oMath>
        <m:sSup>
          <m:sSupPr>
            <m:ctrlPr>
              <w:rPr>
                <w:rFonts w:ascii="Cambria Math" w:hAnsi="Cambria Math"/>
              </w:rPr>
            </m:ctrlPr>
          </m:sSupPr>
          <m:e>
            <m:r>
              <w:rPr>
                <w:rFonts w:ascii="Cambria Math" w:hAnsi="Cambria Math"/>
              </w:rPr>
              <m:t>​</m:t>
            </m:r>
          </m:e>
          <m:sup>
            <m:r>
              <w:rPr>
                <w:rFonts w:ascii="Cambria Math" w:hAnsi="Cambria Math"/>
              </w:rPr>
              <m:t>th</m:t>
            </m:r>
          </m:sup>
        </m:sSup>
      </m:oMath>
      <w:r>
        <w:t xml:space="preserve"> February and March 31</w:t>
      </w:r>
      <m:oMath>
        <m:sSup>
          <m:sSupPr>
            <m:ctrlPr>
              <w:rPr>
                <w:rFonts w:ascii="Cambria Math" w:hAnsi="Cambria Math"/>
              </w:rPr>
            </m:ctrlPr>
          </m:sSupPr>
          <m:e>
            <m:r>
              <w:rPr>
                <w:rFonts w:ascii="Cambria Math" w:hAnsi="Cambria Math"/>
              </w:rPr>
              <m:t>​</m:t>
            </m:r>
          </m:e>
          <m:sup>
            <m:r>
              <w:rPr>
                <w:rFonts w:ascii="Cambria Math" w:hAnsi="Cambria Math"/>
              </w:rPr>
              <m:t>st</m:t>
            </m:r>
          </m:sup>
        </m:sSup>
      </m:oMath>
      <w:r>
        <w:t xml:space="preserve"> between A) 1990-2010 and B) 2010 to 2020. Catch in the Subarea was relatively consistent during the latter stages of penguin breeding at approximately 250tonnes/d (NOTE: different scaling of catch on y-axis between plots). However, since 2010 there has been a tendency for the fishery to increase its effort in the Subarea, starting around the middle of March. C) During this latter period, the fishery increased effort earlier on three occasions (2013, 2015 and 2016), starting before the beginning of March.</w:t>
      </w:r>
      <w:bookmarkEnd w:id="1"/>
    </w:p>
    <w:sectPr w:rsidR="008C65E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52FBF" w14:textId="77777777" w:rsidR="00720488" w:rsidRDefault="00720488">
      <w:pPr>
        <w:spacing w:after="0"/>
      </w:pPr>
      <w:r>
        <w:separator/>
      </w:r>
    </w:p>
  </w:endnote>
  <w:endnote w:type="continuationSeparator" w:id="0">
    <w:p w14:paraId="22420AE2" w14:textId="77777777" w:rsidR="00720488" w:rsidRDefault="0072048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CAB3A" w14:textId="77777777" w:rsidR="00720488" w:rsidRDefault="00720488">
      <w:r>
        <w:separator/>
      </w:r>
    </w:p>
  </w:footnote>
  <w:footnote w:type="continuationSeparator" w:id="0">
    <w:p w14:paraId="50DFCC32" w14:textId="77777777" w:rsidR="00720488" w:rsidRDefault="007204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AD6C71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570502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xtDA2NrO0NDc2MTM3MTNU0lEKTi0uzszPAykwrQUAsOBdnCwAAAA="/>
  </w:docVars>
  <w:rsids>
    <w:rsidRoot w:val="008C65E7"/>
    <w:rsid w:val="000E29E2"/>
    <w:rsid w:val="00214DE7"/>
    <w:rsid w:val="00360A64"/>
    <w:rsid w:val="003B3C29"/>
    <w:rsid w:val="00454030"/>
    <w:rsid w:val="0047364C"/>
    <w:rsid w:val="004D16E0"/>
    <w:rsid w:val="00593763"/>
    <w:rsid w:val="005C12E9"/>
    <w:rsid w:val="00720488"/>
    <w:rsid w:val="007B0C75"/>
    <w:rsid w:val="008C65E7"/>
    <w:rsid w:val="0099705D"/>
    <w:rsid w:val="009E4673"/>
    <w:rsid w:val="00AF2752"/>
    <w:rsid w:val="00DC56C6"/>
    <w:rsid w:val="00E47B9A"/>
    <w:rsid w:val="00FB1316"/>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F2DA2"/>
  <w15:docId w15:val="{CD5CC97B-CFFF-4A5F-A6C5-194E4F162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13</Pages>
  <Words>1504</Words>
  <Characters>7568</Characters>
  <Application>Microsoft Office Word</Application>
  <DocSecurity>0</DocSecurity>
  <Lines>280</Lines>
  <Paragraphs>185</Paragraphs>
  <ScaleCrop>false</ScaleCrop>
  <Company/>
  <LinksUpToDate>false</LinksUpToDate>
  <CharactersWithSpaces>8887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rebuttal to Watters et al. ´2020 Long-term observations from Antarctica demonstrate that mismatched scales of fisheries management and predator-prey interaction lead to erroneous conclusions about precaution´</dc:title>
  <dc:creator/>
  <cp:keywords/>
  <cp:lastModifiedBy>JAVIER ARATA</cp:lastModifiedBy>
  <cp:revision>7</cp:revision>
  <dcterms:created xsi:type="dcterms:W3CDTF">2026-03-17T16:51:00Z</dcterms:created>
  <dcterms:modified xsi:type="dcterms:W3CDTF">2026-03-24T00:33:00Z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date">
    <vt:lpwstr>2026-03-17</vt:lpwstr>
  </property>
  <property fmtid="{D5CDD505-2E9C-101B-9397-08002B2CF9AE}" pid="4" name="editor_options">
    <vt:lpwstr/>
  </property>
  <property fmtid="{D5CDD505-2E9C-101B-9397-08002B2CF9AE}" pid="5" name="geometry">
    <vt:lpwstr>margin=3cm</vt:lpwstr>
  </property>
  <property fmtid="{D5CDD505-2E9C-101B-9397-08002B2CF9AE}" pid="6" name="header-includes">
    <vt:lpwstr/>
  </property>
  <property fmtid="{D5CDD505-2E9C-101B-9397-08002B2CF9AE}" pid="7" name="output">
    <vt:lpwstr/>
  </property>
</Properties>
</file>