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B2DFD" w14:textId="77777777" w:rsidR="00813649" w:rsidRDefault="00000000">
      <w:pPr>
        <w:pStyle w:val="Ttulo"/>
      </w:pPr>
      <w:r>
        <w:t>A rebuttal to Watters et al. ´2020 Long-term observations from Antarctica demonstrate that mismatched scales of fisheries management and predator-prey interaction lead to erroneous conclusions about precaution´</w:t>
      </w:r>
    </w:p>
    <w:p w14:paraId="46AB2DFE" w14:textId="77777777" w:rsidR="00813649" w:rsidRDefault="00000000">
      <w:pPr>
        <w:pStyle w:val="Fecha"/>
      </w:pPr>
      <w:r>
        <w:t>2025-12-18</w:t>
      </w:r>
    </w:p>
    <w:p w14:paraId="46AB2DFF" w14:textId="77777777" w:rsidR="00813649" w:rsidRDefault="00000000">
      <w:pPr>
        <w:pStyle w:val="Ttulo1"/>
      </w:pPr>
      <w:bookmarkStart w:id="0" w:name="tables"/>
      <w:r>
        <w:t>Tables:</w:t>
      </w:r>
    </w:p>
    <w:p w14:paraId="46AB2E00" w14:textId="77777777" w:rsidR="00813649" w:rsidRDefault="00000000">
      <w:pPr>
        <w:pStyle w:val="FirstParagraph"/>
      </w:pPr>
      <w:r>
        <w:t>Table 1. Estimates of the mean (mu) and standard deviation (sd) of Ln(LKB) by gSSMU and SAM sign, derived from Equation (2) of Watters et al. (2020). Statistical results from the nonparametric one-way ANOVA are reported as follows: p-value_1 compares SAM sign within each gSSMU, and p-value_2 compares gSSMUs within each SAM sign. The corresponding LKB estimates appear in the column labelled mean LKB.</w:t>
      </w:r>
    </w:p>
    <w:tbl>
      <w:tblPr>
        <w:tblStyle w:val="Table"/>
        <w:tblW w:w="0" w:type="auto"/>
        <w:tblLook w:val="0020" w:firstRow="1" w:lastRow="0" w:firstColumn="0" w:lastColumn="0" w:noHBand="0" w:noVBand="0"/>
      </w:tblPr>
      <w:tblGrid>
        <w:gridCol w:w="924"/>
        <w:gridCol w:w="1108"/>
        <w:gridCol w:w="482"/>
        <w:gridCol w:w="930"/>
        <w:gridCol w:w="797"/>
        <w:gridCol w:w="1204"/>
        <w:gridCol w:w="1496"/>
        <w:gridCol w:w="1204"/>
      </w:tblGrid>
      <w:tr w:rsidR="00813649" w14:paraId="46AB2E09" w14:textId="77777777" w:rsidTr="00813649">
        <w:trPr>
          <w:cnfStyle w:val="100000000000" w:firstRow="1" w:lastRow="0" w:firstColumn="0" w:lastColumn="0" w:oddVBand="0" w:evenVBand="0" w:oddHBand="0" w:evenHBand="0" w:firstRowFirstColumn="0" w:firstRowLastColumn="0" w:lastRowFirstColumn="0" w:lastRowLastColumn="0"/>
          <w:tblHeader/>
        </w:trPr>
        <w:tc>
          <w:tcPr>
            <w:tcW w:w="0" w:type="auto"/>
          </w:tcPr>
          <w:p w14:paraId="46AB2E01" w14:textId="77777777" w:rsidR="00813649" w:rsidRDefault="00000000">
            <w:pPr>
              <w:pStyle w:val="Compact"/>
              <w:jc w:val="right"/>
            </w:pPr>
            <w:r>
              <w:t>gSSMU</w:t>
            </w:r>
          </w:p>
        </w:tc>
        <w:tc>
          <w:tcPr>
            <w:tcW w:w="0" w:type="auto"/>
          </w:tcPr>
          <w:p w14:paraId="46AB2E02" w14:textId="77777777" w:rsidR="00813649" w:rsidRDefault="00000000">
            <w:pPr>
              <w:pStyle w:val="Compact"/>
            </w:pPr>
            <w:r>
              <w:t>sam.sign</w:t>
            </w:r>
          </w:p>
        </w:tc>
        <w:tc>
          <w:tcPr>
            <w:tcW w:w="0" w:type="auto"/>
          </w:tcPr>
          <w:p w14:paraId="46AB2E03" w14:textId="77777777" w:rsidR="00813649" w:rsidRDefault="00000000">
            <w:pPr>
              <w:pStyle w:val="Compact"/>
              <w:jc w:val="right"/>
            </w:pPr>
            <w:r>
              <w:t>n</w:t>
            </w:r>
          </w:p>
        </w:tc>
        <w:tc>
          <w:tcPr>
            <w:tcW w:w="0" w:type="auto"/>
          </w:tcPr>
          <w:p w14:paraId="46AB2E04" w14:textId="77777777" w:rsidR="00813649" w:rsidRDefault="00000000">
            <w:pPr>
              <w:pStyle w:val="Compact"/>
              <w:jc w:val="right"/>
            </w:pPr>
            <w:r>
              <w:t>mu</w:t>
            </w:r>
          </w:p>
        </w:tc>
        <w:tc>
          <w:tcPr>
            <w:tcW w:w="0" w:type="auto"/>
          </w:tcPr>
          <w:p w14:paraId="46AB2E05" w14:textId="77777777" w:rsidR="00813649" w:rsidRDefault="00000000">
            <w:pPr>
              <w:pStyle w:val="Compact"/>
              <w:jc w:val="right"/>
            </w:pPr>
            <w:r>
              <w:t>sd</w:t>
            </w:r>
          </w:p>
        </w:tc>
        <w:tc>
          <w:tcPr>
            <w:tcW w:w="0" w:type="auto"/>
          </w:tcPr>
          <w:p w14:paraId="46AB2E06" w14:textId="77777777" w:rsidR="00813649" w:rsidRDefault="00000000">
            <w:pPr>
              <w:pStyle w:val="Compact"/>
              <w:jc w:val="right"/>
            </w:pPr>
            <w:r>
              <w:t>p-value_1</w:t>
            </w:r>
          </w:p>
        </w:tc>
        <w:tc>
          <w:tcPr>
            <w:tcW w:w="0" w:type="auto"/>
          </w:tcPr>
          <w:p w14:paraId="46AB2E07" w14:textId="77777777" w:rsidR="00813649" w:rsidRDefault="00000000">
            <w:pPr>
              <w:pStyle w:val="Compact"/>
              <w:jc w:val="right"/>
            </w:pPr>
            <w:r>
              <w:t>Median_LKB</w:t>
            </w:r>
          </w:p>
        </w:tc>
        <w:tc>
          <w:tcPr>
            <w:tcW w:w="0" w:type="auto"/>
          </w:tcPr>
          <w:p w14:paraId="46AB2E08" w14:textId="77777777" w:rsidR="00813649" w:rsidRDefault="00000000">
            <w:pPr>
              <w:pStyle w:val="Compact"/>
              <w:jc w:val="right"/>
            </w:pPr>
            <w:r>
              <w:t>p-value_2</w:t>
            </w:r>
          </w:p>
        </w:tc>
      </w:tr>
      <w:tr w:rsidR="00813649" w14:paraId="46AB2E12" w14:textId="77777777">
        <w:tc>
          <w:tcPr>
            <w:tcW w:w="0" w:type="auto"/>
          </w:tcPr>
          <w:p w14:paraId="46AB2E0A" w14:textId="77777777" w:rsidR="00813649" w:rsidRDefault="00000000">
            <w:pPr>
              <w:pStyle w:val="Compact"/>
              <w:jc w:val="right"/>
            </w:pPr>
            <w:r>
              <w:t>1</w:t>
            </w:r>
          </w:p>
        </w:tc>
        <w:tc>
          <w:tcPr>
            <w:tcW w:w="0" w:type="auto"/>
          </w:tcPr>
          <w:p w14:paraId="46AB2E0B" w14:textId="77777777" w:rsidR="00813649" w:rsidRDefault="00000000">
            <w:pPr>
              <w:pStyle w:val="Compact"/>
            </w:pPr>
            <w:r>
              <w:t>Neg</w:t>
            </w:r>
          </w:p>
        </w:tc>
        <w:tc>
          <w:tcPr>
            <w:tcW w:w="0" w:type="auto"/>
          </w:tcPr>
          <w:p w14:paraId="46AB2E0C" w14:textId="77777777" w:rsidR="00813649" w:rsidRDefault="00000000">
            <w:pPr>
              <w:pStyle w:val="Compact"/>
              <w:jc w:val="right"/>
            </w:pPr>
            <w:r>
              <w:t>6</w:t>
            </w:r>
          </w:p>
        </w:tc>
        <w:tc>
          <w:tcPr>
            <w:tcW w:w="0" w:type="auto"/>
          </w:tcPr>
          <w:p w14:paraId="46AB2E0D" w14:textId="77777777" w:rsidR="00813649" w:rsidRDefault="00000000">
            <w:pPr>
              <w:pStyle w:val="Compact"/>
              <w:jc w:val="right"/>
            </w:pPr>
            <w:r>
              <w:t>13.627</w:t>
            </w:r>
          </w:p>
        </w:tc>
        <w:tc>
          <w:tcPr>
            <w:tcW w:w="0" w:type="auto"/>
          </w:tcPr>
          <w:p w14:paraId="46AB2E0E" w14:textId="77777777" w:rsidR="00813649" w:rsidRDefault="00000000">
            <w:pPr>
              <w:pStyle w:val="Compact"/>
              <w:jc w:val="right"/>
            </w:pPr>
            <w:r>
              <w:t>1.325</w:t>
            </w:r>
          </w:p>
        </w:tc>
        <w:tc>
          <w:tcPr>
            <w:tcW w:w="0" w:type="auto"/>
          </w:tcPr>
          <w:p w14:paraId="46AB2E0F" w14:textId="77777777" w:rsidR="00813649" w:rsidRDefault="00000000">
            <w:pPr>
              <w:pStyle w:val="Compact"/>
              <w:jc w:val="right"/>
            </w:pPr>
            <w:r>
              <w:t>0.253</w:t>
            </w:r>
          </w:p>
        </w:tc>
        <w:tc>
          <w:tcPr>
            <w:tcW w:w="0" w:type="auto"/>
          </w:tcPr>
          <w:p w14:paraId="46AB2E10" w14:textId="77777777" w:rsidR="00813649" w:rsidRDefault="00000000">
            <w:pPr>
              <w:pStyle w:val="Compact"/>
              <w:jc w:val="right"/>
            </w:pPr>
            <w:r>
              <w:t>828520.6</w:t>
            </w:r>
          </w:p>
        </w:tc>
        <w:tc>
          <w:tcPr>
            <w:tcW w:w="0" w:type="auto"/>
          </w:tcPr>
          <w:p w14:paraId="46AB2E11" w14:textId="77777777" w:rsidR="00813649" w:rsidRDefault="00000000">
            <w:pPr>
              <w:pStyle w:val="Compact"/>
              <w:jc w:val="right"/>
            </w:pPr>
            <w:r>
              <w:t>0.072</w:t>
            </w:r>
          </w:p>
        </w:tc>
      </w:tr>
      <w:tr w:rsidR="00813649" w14:paraId="46AB2E1B" w14:textId="77777777">
        <w:tc>
          <w:tcPr>
            <w:tcW w:w="0" w:type="auto"/>
          </w:tcPr>
          <w:p w14:paraId="46AB2E13" w14:textId="77777777" w:rsidR="00813649" w:rsidRDefault="00000000">
            <w:pPr>
              <w:pStyle w:val="Compact"/>
              <w:jc w:val="right"/>
            </w:pPr>
            <w:r>
              <w:t>1</w:t>
            </w:r>
          </w:p>
        </w:tc>
        <w:tc>
          <w:tcPr>
            <w:tcW w:w="0" w:type="auto"/>
          </w:tcPr>
          <w:p w14:paraId="46AB2E14" w14:textId="77777777" w:rsidR="00813649" w:rsidRDefault="00000000">
            <w:pPr>
              <w:pStyle w:val="Compact"/>
            </w:pPr>
            <w:r>
              <w:t>Pos</w:t>
            </w:r>
          </w:p>
        </w:tc>
        <w:tc>
          <w:tcPr>
            <w:tcW w:w="0" w:type="auto"/>
          </w:tcPr>
          <w:p w14:paraId="46AB2E15" w14:textId="77777777" w:rsidR="00813649" w:rsidRDefault="00000000">
            <w:pPr>
              <w:pStyle w:val="Compact"/>
              <w:jc w:val="right"/>
            </w:pPr>
            <w:r>
              <w:t>10</w:t>
            </w:r>
          </w:p>
        </w:tc>
        <w:tc>
          <w:tcPr>
            <w:tcW w:w="0" w:type="auto"/>
          </w:tcPr>
          <w:p w14:paraId="46AB2E16" w14:textId="77777777" w:rsidR="00813649" w:rsidRDefault="00000000">
            <w:pPr>
              <w:pStyle w:val="Compact"/>
              <w:jc w:val="right"/>
            </w:pPr>
            <w:r>
              <w:t>14.315</w:t>
            </w:r>
          </w:p>
        </w:tc>
        <w:tc>
          <w:tcPr>
            <w:tcW w:w="0" w:type="auto"/>
          </w:tcPr>
          <w:p w14:paraId="46AB2E17" w14:textId="77777777" w:rsidR="00813649" w:rsidRDefault="00000000">
            <w:pPr>
              <w:pStyle w:val="Compact"/>
              <w:jc w:val="right"/>
            </w:pPr>
            <w:r>
              <w:t>0.994</w:t>
            </w:r>
          </w:p>
        </w:tc>
        <w:tc>
          <w:tcPr>
            <w:tcW w:w="0" w:type="auto"/>
          </w:tcPr>
          <w:p w14:paraId="46AB2E18" w14:textId="77777777" w:rsidR="00813649" w:rsidRDefault="00000000">
            <w:pPr>
              <w:pStyle w:val="Compact"/>
              <w:jc w:val="right"/>
            </w:pPr>
            <w:r>
              <w:t>NA</w:t>
            </w:r>
          </w:p>
        </w:tc>
        <w:tc>
          <w:tcPr>
            <w:tcW w:w="0" w:type="auto"/>
          </w:tcPr>
          <w:p w14:paraId="46AB2E19" w14:textId="77777777" w:rsidR="00813649" w:rsidRDefault="00000000">
            <w:pPr>
              <w:pStyle w:val="Compact"/>
              <w:jc w:val="right"/>
            </w:pPr>
            <w:r>
              <w:t>1647467.9</w:t>
            </w:r>
          </w:p>
        </w:tc>
        <w:tc>
          <w:tcPr>
            <w:tcW w:w="0" w:type="auto"/>
          </w:tcPr>
          <w:p w14:paraId="46AB2E1A" w14:textId="77777777" w:rsidR="00813649" w:rsidRDefault="00000000">
            <w:pPr>
              <w:pStyle w:val="Compact"/>
              <w:jc w:val="right"/>
            </w:pPr>
            <w:r>
              <w:t>NA</w:t>
            </w:r>
          </w:p>
        </w:tc>
      </w:tr>
      <w:tr w:rsidR="00813649" w14:paraId="46AB2E24" w14:textId="77777777">
        <w:tc>
          <w:tcPr>
            <w:tcW w:w="0" w:type="auto"/>
          </w:tcPr>
          <w:p w14:paraId="46AB2E1C" w14:textId="77777777" w:rsidR="00813649" w:rsidRDefault="00000000">
            <w:pPr>
              <w:pStyle w:val="Compact"/>
              <w:jc w:val="right"/>
            </w:pPr>
            <w:r>
              <w:t>2</w:t>
            </w:r>
          </w:p>
        </w:tc>
        <w:tc>
          <w:tcPr>
            <w:tcW w:w="0" w:type="auto"/>
          </w:tcPr>
          <w:p w14:paraId="46AB2E1D" w14:textId="77777777" w:rsidR="00813649" w:rsidRDefault="00000000">
            <w:pPr>
              <w:pStyle w:val="Compact"/>
            </w:pPr>
            <w:r>
              <w:t>Neg</w:t>
            </w:r>
          </w:p>
        </w:tc>
        <w:tc>
          <w:tcPr>
            <w:tcW w:w="0" w:type="auto"/>
          </w:tcPr>
          <w:p w14:paraId="46AB2E1E" w14:textId="77777777" w:rsidR="00813649" w:rsidRDefault="00000000">
            <w:pPr>
              <w:pStyle w:val="Compact"/>
              <w:jc w:val="right"/>
            </w:pPr>
            <w:r>
              <w:t>6</w:t>
            </w:r>
          </w:p>
        </w:tc>
        <w:tc>
          <w:tcPr>
            <w:tcW w:w="0" w:type="auto"/>
          </w:tcPr>
          <w:p w14:paraId="46AB2E1F" w14:textId="77777777" w:rsidR="00813649" w:rsidRDefault="00000000">
            <w:pPr>
              <w:pStyle w:val="Compact"/>
              <w:jc w:val="right"/>
            </w:pPr>
            <w:r>
              <w:t>14.809</w:t>
            </w:r>
          </w:p>
        </w:tc>
        <w:tc>
          <w:tcPr>
            <w:tcW w:w="0" w:type="auto"/>
          </w:tcPr>
          <w:p w14:paraId="46AB2E20" w14:textId="77777777" w:rsidR="00813649" w:rsidRDefault="00000000">
            <w:pPr>
              <w:pStyle w:val="Compact"/>
              <w:jc w:val="right"/>
            </w:pPr>
            <w:r>
              <w:t>0.681</w:t>
            </w:r>
          </w:p>
        </w:tc>
        <w:tc>
          <w:tcPr>
            <w:tcW w:w="0" w:type="auto"/>
          </w:tcPr>
          <w:p w14:paraId="46AB2E21" w14:textId="77777777" w:rsidR="00813649" w:rsidRDefault="00000000">
            <w:pPr>
              <w:pStyle w:val="Compact"/>
              <w:jc w:val="right"/>
            </w:pPr>
            <w:r>
              <w:t>0.094</w:t>
            </w:r>
          </w:p>
        </w:tc>
        <w:tc>
          <w:tcPr>
            <w:tcW w:w="0" w:type="auto"/>
          </w:tcPr>
          <w:p w14:paraId="46AB2E22" w14:textId="77777777" w:rsidR="00813649" w:rsidRDefault="00000000">
            <w:pPr>
              <w:pStyle w:val="Compact"/>
              <w:jc w:val="right"/>
            </w:pPr>
            <w:r>
              <w:t>2701181.9</w:t>
            </w:r>
          </w:p>
        </w:tc>
        <w:tc>
          <w:tcPr>
            <w:tcW w:w="0" w:type="auto"/>
          </w:tcPr>
          <w:p w14:paraId="46AB2E23" w14:textId="77777777" w:rsidR="00813649" w:rsidRDefault="00000000">
            <w:pPr>
              <w:pStyle w:val="Compact"/>
              <w:jc w:val="right"/>
            </w:pPr>
            <w:r>
              <w:t>NA</w:t>
            </w:r>
          </w:p>
        </w:tc>
      </w:tr>
      <w:tr w:rsidR="00813649" w14:paraId="46AB2E2D" w14:textId="77777777">
        <w:tc>
          <w:tcPr>
            <w:tcW w:w="0" w:type="auto"/>
          </w:tcPr>
          <w:p w14:paraId="46AB2E25" w14:textId="77777777" w:rsidR="00813649" w:rsidRDefault="00000000">
            <w:pPr>
              <w:pStyle w:val="Compact"/>
              <w:jc w:val="right"/>
            </w:pPr>
            <w:r>
              <w:t>2</w:t>
            </w:r>
          </w:p>
        </w:tc>
        <w:tc>
          <w:tcPr>
            <w:tcW w:w="0" w:type="auto"/>
          </w:tcPr>
          <w:p w14:paraId="46AB2E26" w14:textId="77777777" w:rsidR="00813649" w:rsidRDefault="00000000">
            <w:pPr>
              <w:pStyle w:val="Compact"/>
            </w:pPr>
            <w:r>
              <w:t>Pos</w:t>
            </w:r>
          </w:p>
        </w:tc>
        <w:tc>
          <w:tcPr>
            <w:tcW w:w="0" w:type="auto"/>
          </w:tcPr>
          <w:p w14:paraId="46AB2E27" w14:textId="77777777" w:rsidR="00813649" w:rsidRDefault="00000000">
            <w:pPr>
              <w:pStyle w:val="Compact"/>
              <w:jc w:val="right"/>
            </w:pPr>
            <w:r>
              <w:t>10</w:t>
            </w:r>
          </w:p>
        </w:tc>
        <w:tc>
          <w:tcPr>
            <w:tcW w:w="0" w:type="auto"/>
          </w:tcPr>
          <w:p w14:paraId="46AB2E28" w14:textId="77777777" w:rsidR="00813649" w:rsidRDefault="00000000">
            <w:pPr>
              <w:pStyle w:val="Compact"/>
              <w:jc w:val="right"/>
            </w:pPr>
            <w:r>
              <w:t>15.512</w:t>
            </w:r>
          </w:p>
        </w:tc>
        <w:tc>
          <w:tcPr>
            <w:tcW w:w="0" w:type="auto"/>
          </w:tcPr>
          <w:p w14:paraId="46AB2E29" w14:textId="77777777" w:rsidR="00813649" w:rsidRDefault="00000000">
            <w:pPr>
              <w:pStyle w:val="Compact"/>
              <w:jc w:val="right"/>
            </w:pPr>
            <w:r>
              <w:t>0.792</w:t>
            </w:r>
          </w:p>
        </w:tc>
        <w:tc>
          <w:tcPr>
            <w:tcW w:w="0" w:type="auto"/>
          </w:tcPr>
          <w:p w14:paraId="46AB2E2A" w14:textId="77777777" w:rsidR="00813649" w:rsidRDefault="00000000">
            <w:pPr>
              <w:pStyle w:val="Compact"/>
              <w:jc w:val="right"/>
            </w:pPr>
            <w:r>
              <w:t>NA</w:t>
            </w:r>
          </w:p>
        </w:tc>
        <w:tc>
          <w:tcPr>
            <w:tcW w:w="0" w:type="auto"/>
          </w:tcPr>
          <w:p w14:paraId="46AB2E2B" w14:textId="77777777" w:rsidR="00813649" w:rsidRDefault="00000000">
            <w:pPr>
              <w:pStyle w:val="Compact"/>
              <w:jc w:val="right"/>
            </w:pPr>
            <w:r>
              <w:t>5456188.0</w:t>
            </w:r>
          </w:p>
        </w:tc>
        <w:tc>
          <w:tcPr>
            <w:tcW w:w="0" w:type="auto"/>
          </w:tcPr>
          <w:p w14:paraId="46AB2E2C" w14:textId="77777777" w:rsidR="00813649" w:rsidRDefault="00000000">
            <w:pPr>
              <w:pStyle w:val="Compact"/>
              <w:jc w:val="right"/>
            </w:pPr>
            <w:r>
              <w:t>0.007</w:t>
            </w:r>
          </w:p>
        </w:tc>
      </w:tr>
    </w:tbl>
    <w:p w14:paraId="46AB2E2E" w14:textId="77777777" w:rsidR="00813649" w:rsidRDefault="00000000">
      <w:r>
        <w:br w:type="page"/>
      </w:r>
    </w:p>
    <w:p w14:paraId="46AB2E2F" w14:textId="77777777" w:rsidR="00813649" w:rsidRDefault="00000000">
      <w:pPr>
        <w:pStyle w:val="Ttulo1"/>
      </w:pPr>
      <w:bookmarkStart w:id="1" w:name="figures"/>
      <w:bookmarkEnd w:id="0"/>
      <w:r>
        <w:lastRenderedPageBreak/>
        <w:t>Figures:</w:t>
      </w:r>
    </w:p>
    <w:p w14:paraId="46AB2E30" w14:textId="77777777" w:rsidR="00813649" w:rsidRDefault="00000000">
      <w:pPr>
        <w:pStyle w:val="FirstParagraph"/>
      </w:pPr>
      <w:r>
        <w:rPr>
          <w:noProof/>
        </w:rPr>
        <w:drawing>
          <wp:inline distT="0" distB="0" distL="0" distR="0" wp14:anchorId="46AB2E41" wp14:editId="46AB2E42">
            <wp:extent cx="5334000" cy="472161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_Results/Fig1_gSSMUs.png"/>
                    <pic:cNvPicPr>
                      <a:picLocks noChangeAspect="1" noChangeArrowheads="1"/>
                    </pic:cNvPicPr>
                  </pic:nvPicPr>
                  <pic:blipFill>
                    <a:blip r:embed="rId7"/>
                    <a:stretch>
                      <a:fillRect/>
                    </a:stretch>
                  </pic:blipFill>
                  <pic:spPr bwMode="auto">
                    <a:xfrm>
                      <a:off x="0" y="0"/>
                      <a:ext cx="5334000" cy="4721610"/>
                    </a:xfrm>
                    <a:prstGeom prst="rect">
                      <a:avLst/>
                    </a:prstGeom>
                    <a:noFill/>
                    <a:ln w="9525">
                      <a:noFill/>
                      <a:headEnd/>
                      <a:tailEnd/>
                    </a:ln>
                  </pic:spPr>
                </pic:pic>
              </a:graphicData>
            </a:graphic>
          </wp:inline>
        </w:drawing>
      </w:r>
    </w:p>
    <w:p w14:paraId="46AB2E31" w14:textId="77777777" w:rsidR="00813649" w:rsidRDefault="00000000">
      <w:pPr>
        <w:pStyle w:val="Textoindependiente"/>
      </w:pPr>
      <w:r>
        <w:t>Figure 1. Locations of the penguin colonies (COPA shown in red, SHIRREF shown in blue), the two gSSMUs (gSSMU 1 in the blue dashed area and gSSMU 2 in the red dashed area), and the surrounding SSMUs (APEI: Antarctic Peninsula Elephant Island; APDPE: Antarctic Peninsula Drake Passage East; APDPW: Antarctic Peninsula Drake Passage West; APBSE: Antarctic Peninsula Bransfield Strait East; APBSW: Antarctic Peninsula Bransfield Strait West).</w:t>
      </w:r>
    </w:p>
    <w:p w14:paraId="46AB2E32" w14:textId="77777777" w:rsidR="00813649" w:rsidRDefault="00000000">
      <w:pPr>
        <w:pStyle w:val="Textoindependiente"/>
      </w:pPr>
      <w:r>
        <w:rPr>
          <w:noProof/>
        </w:rPr>
        <w:lastRenderedPageBreak/>
        <w:drawing>
          <wp:inline distT="0" distB="0" distL="0" distR="0" wp14:anchorId="46AB2E43" wp14:editId="46AB2E44">
            <wp:extent cx="4267200" cy="5334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_Results/Figure_2_stacked.png"/>
                    <pic:cNvPicPr>
                      <a:picLocks noChangeAspect="1" noChangeArrowheads="1"/>
                    </pic:cNvPicPr>
                  </pic:nvPicPr>
                  <pic:blipFill>
                    <a:blip r:embed="rId8"/>
                    <a:stretch>
                      <a:fillRect/>
                    </a:stretch>
                  </pic:blipFill>
                  <pic:spPr bwMode="auto">
                    <a:xfrm>
                      <a:off x="0" y="0"/>
                      <a:ext cx="4267200" cy="5334000"/>
                    </a:xfrm>
                    <a:prstGeom prst="rect">
                      <a:avLst/>
                    </a:prstGeom>
                    <a:noFill/>
                    <a:ln w="9525">
                      <a:noFill/>
                      <a:headEnd/>
                      <a:tailEnd/>
                    </a:ln>
                  </pic:spPr>
                </pic:pic>
              </a:graphicData>
            </a:graphic>
          </wp:inline>
        </w:drawing>
      </w:r>
    </w:p>
    <w:p w14:paraId="46AB2E33" w14:textId="77777777" w:rsidR="00813649" w:rsidRDefault="00000000">
      <w:pPr>
        <w:pStyle w:val="Textoindependiente"/>
      </w:pPr>
      <w:r>
        <w:t>Figure 2. (A) Observed and imputed LKB (local krill biomass) by gSSMU and summer SAM value. The dashed black line marks 1 Mt. Red and blue dashed lines show mean values during negative SAM summers, and red and blue solid lines show mean values during positive SAM summers (see Table 1). (B) Boxplots of observed LKB by gSSMU and SAM sign. Black, blue and red lines as in figure (A). gSSMU 1 is shown in red and gSSMU 2 in blue.</w:t>
      </w:r>
    </w:p>
    <w:p w14:paraId="46AB2E34" w14:textId="77777777" w:rsidR="00813649" w:rsidRDefault="00000000">
      <w:pPr>
        <w:pStyle w:val="Textoindependiente"/>
      </w:pPr>
      <w:r>
        <w:rPr>
          <w:noProof/>
        </w:rPr>
        <w:lastRenderedPageBreak/>
        <w:drawing>
          <wp:inline distT="0" distB="0" distL="0" distR="0" wp14:anchorId="46AB2E45" wp14:editId="46AB2E46">
            <wp:extent cx="5334000" cy="58674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_Results/Figures_3_5_stacked.png"/>
                    <pic:cNvPicPr>
                      <a:picLocks noChangeAspect="1" noChangeArrowheads="1"/>
                    </pic:cNvPicPr>
                  </pic:nvPicPr>
                  <pic:blipFill>
                    <a:blip r:embed="rId9"/>
                    <a:stretch>
                      <a:fillRect/>
                    </a:stretch>
                  </pic:blipFill>
                  <pic:spPr bwMode="auto">
                    <a:xfrm>
                      <a:off x="0" y="0"/>
                      <a:ext cx="5334000" cy="5867400"/>
                    </a:xfrm>
                    <a:prstGeom prst="rect">
                      <a:avLst/>
                    </a:prstGeom>
                    <a:noFill/>
                    <a:ln w="9525">
                      <a:noFill/>
                      <a:headEnd/>
                      <a:tailEnd/>
                    </a:ln>
                  </pic:spPr>
                </pic:pic>
              </a:graphicData>
            </a:graphic>
          </wp:inline>
        </w:drawing>
      </w:r>
    </w:p>
    <w:p w14:paraId="46AB2E35" w14:textId="77777777" w:rsidR="00813649" w:rsidRDefault="00000000">
      <w:pPr>
        <w:pStyle w:val="Textoindependiente"/>
      </w:pPr>
      <w:r>
        <w:t>Figure 3. Krill survey estimates (LKB) (left), fishing catch (center) and Local Harvest Rate (LHR) (right) for the study period. Top panel:gSSMU 2 (SSIW-EI). Bottom panel: gSSMU 1 (BS). Filled circles show survey data from Watters et al. 2020. Open circles show the mean imputed median LKB values for negative and positive SAM, as per Table 1. Color code: red = summer; blue = winter. Black dash line: LHR = 0.01; solid black line: LHR = 0.10.</w:t>
      </w:r>
    </w:p>
    <w:p w14:paraId="46AB2E36" w14:textId="77777777" w:rsidR="00813649" w:rsidRDefault="00000000">
      <w:pPr>
        <w:pStyle w:val="Textoindependiente"/>
      </w:pPr>
      <w:r>
        <w:rPr>
          <w:noProof/>
        </w:rPr>
        <w:lastRenderedPageBreak/>
        <w:drawing>
          <wp:inline distT="0" distB="0" distL="0" distR="0" wp14:anchorId="46AB2E47" wp14:editId="46AB2E48">
            <wp:extent cx="3467100" cy="7503294"/>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20EMM%20figures/Penguin%20distributions.png"/>
                    <pic:cNvPicPr>
                      <a:picLocks noChangeAspect="1" noChangeArrowheads="1"/>
                    </pic:cNvPicPr>
                  </pic:nvPicPr>
                  <pic:blipFill>
                    <a:blip r:embed="rId10"/>
                    <a:stretch>
                      <a:fillRect/>
                    </a:stretch>
                  </pic:blipFill>
                  <pic:spPr bwMode="auto">
                    <a:xfrm>
                      <a:off x="0" y="0"/>
                      <a:ext cx="3467100" cy="7503294"/>
                    </a:xfrm>
                    <a:prstGeom prst="rect">
                      <a:avLst/>
                    </a:prstGeom>
                    <a:noFill/>
                    <a:ln w="9525">
                      <a:noFill/>
                      <a:headEnd/>
                      <a:tailEnd/>
                    </a:ln>
                  </pic:spPr>
                </pic:pic>
              </a:graphicData>
            </a:graphic>
          </wp:inline>
        </w:drawing>
      </w:r>
    </w:p>
    <w:p w14:paraId="46AB2E37" w14:textId="77777777" w:rsidR="00813649" w:rsidRDefault="00000000">
      <w:pPr>
        <w:pStyle w:val="Textoindependiente"/>
      </w:pPr>
      <w:r>
        <w:t xml:space="preserve">Figure 4. Penguin foraging behaviour during summer breeding, derived from available ARGOS-CLS PTT data presented in Hinke et al. 2017. A) Chinstrap penguins from Cape Shireff (blue) and Copacabana (green) truncated at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in line with known </w:t>
      </w:r>
      <w:r>
        <w:lastRenderedPageBreak/>
        <w:t xml:space="preserve">phenology (Black 2016; </w:t>
      </w:r>
      <w:r>
        <w:rPr>
          <w:b/>
          <w:bCs/>
          <w:i/>
          <w:iCs/>
        </w:rPr>
        <w:t>Lowther et al.(this meeting).</w:t>
      </w:r>
      <w:r>
        <w:t xml:space="preserve">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w:t>
      </w:r>
    </w:p>
    <w:p w14:paraId="46AB2E38" w14:textId="77777777" w:rsidR="00813649" w:rsidRDefault="00000000">
      <w:pPr>
        <w:pStyle w:val="Textoindependiente"/>
      </w:pPr>
      <w:r>
        <w:rPr>
          <w:noProof/>
        </w:rPr>
        <w:lastRenderedPageBreak/>
        <w:drawing>
          <wp:inline distT="0" distB="0" distL="0" distR="0" wp14:anchorId="46AB2E49" wp14:editId="46AB2E4A">
            <wp:extent cx="4000500" cy="755005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Watters%20EMM%20figures/Overwinter%20pengo%20distributions.png"/>
                    <pic:cNvPicPr>
                      <a:picLocks noChangeAspect="1" noChangeArrowheads="1"/>
                    </pic:cNvPicPr>
                  </pic:nvPicPr>
                  <pic:blipFill>
                    <a:blip r:embed="rId11"/>
                    <a:stretch>
                      <a:fillRect/>
                    </a:stretch>
                  </pic:blipFill>
                  <pic:spPr bwMode="auto">
                    <a:xfrm>
                      <a:off x="0" y="0"/>
                      <a:ext cx="4000500" cy="7550050"/>
                    </a:xfrm>
                    <a:prstGeom prst="rect">
                      <a:avLst/>
                    </a:prstGeom>
                    <a:noFill/>
                    <a:ln w="9525">
                      <a:noFill/>
                      <a:headEnd/>
                      <a:tailEnd/>
                    </a:ln>
                  </pic:spPr>
                </pic:pic>
              </a:graphicData>
            </a:graphic>
          </wp:inline>
        </w:drawing>
      </w:r>
    </w:p>
    <w:p w14:paraId="46AB2E39" w14:textId="77777777" w:rsidR="00813649" w:rsidRDefault="00000000">
      <w:pPr>
        <w:pStyle w:val="Textoindependiente"/>
      </w:pPr>
      <w:r>
        <w:t xml:space="preserve">Figure 5. A) Distribution of overwinter movement for Chinstrap penguins, relative to the gSSMU’s to which they were attributed, created from telemetry data available in Hinke et al. 2019. B) Adélie and Chinstrap penguin movement recorded by light geolocators, </w:t>
      </w:r>
      <w:r>
        <w:lastRenderedPageBreak/>
        <w:t>highlighting the large longitudinal range both species disperse through at the end of breeding (taken from Hinke et al. 2015). In the original model formulation by Watters et al. 2020, the winter performance indices for both species are matched to macroscale levels of ONI variability but gSSMU-scale estimates of LKB and LHR.</w:t>
      </w:r>
    </w:p>
    <w:p w14:paraId="46AB2E3A" w14:textId="77777777" w:rsidR="00813649" w:rsidRDefault="00000000">
      <w:pPr>
        <w:pStyle w:val="Textoindependiente"/>
      </w:pPr>
      <w:r>
        <w:rPr>
          <w:noProof/>
        </w:rPr>
        <w:drawing>
          <wp:inline distT="0" distB="0" distL="0" distR="0" wp14:anchorId="46AB2E4B" wp14:editId="46AB2E4C">
            <wp:extent cx="4000500" cy="5461809"/>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Watters%20EMM%20figures/Watters%20original%20and%20mistake.png"/>
                    <pic:cNvPicPr>
                      <a:picLocks noChangeAspect="1" noChangeArrowheads="1"/>
                    </pic:cNvPicPr>
                  </pic:nvPicPr>
                  <pic:blipFill>
                    <a:blip r:embed="rId12"/>
                    <a:stretch>
                      <a:fillRect/>
                    </a:stretch>
                  </pic:blipFill>
                  <pic:spPr bwMode="auto">
                    <a:xfrm>
                      <a:off x="0" y="0"/>
                      <a:ext cx="4000500" cy="5461809"/>
                    </a:xfrm>
                    <a:prstGeom prst="rect">
                      <a:avLst/>
                    </a:prstGeom>
                    <a:noFill/>
                    <a:ln w="9525">
                      <a:noFill/>
                      <a:headEnd/>
                      <a:tailEnd/>
                    </a:ln>
                  </pic:spPr>
                </pic:pic>
              </a:graphicData>
            </a:graphic>
          </wp:inline>
        </w:drawing>
      </w:r>
    </w:p>
    <w:p w14:paraId="46AB2E3B" w14:textId="77777777" w:rsidR="00813649" w:rsidRDefault="00000000">
      <w:pPr>
        <w:pStyle w:val="Textoindependiente"/>
      </w:pPr>
      <w:r>
        <w:t>Figure 6. 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w:t>
      </w:r>
    </w:p>
    <w:p w14:paraId="46AB2E3C" w14:textId="77777777" w:rsidR="00813649" w:rsidRDefault="00000000">
      <w:pPr>
        <w:pStyle w:val="Textoindependiente"/>
      </w:pPr>
      <w:r>
        <w:rPr>
          <w:noProof/>
        </w:rPr>
        <w:lastRenderedPageBreak/>
        <w:drawing>
          <wp:inline distT="0" distB="0" distL="0" distR="0" wp14:anchorId="46AB2E4D" wp14:editId="46AB2E4E">
            <wp:extent cx="5334000" cy="6258674"/>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Watters%20EMM%20figures/All%20spp%20summer%20then%20winter%2037.png"/>
                    <pic:cNvPicPr>
                      <a:picLocks noChangeAspect="1" noChangeArrowheads="1"/>
                    </pic:cNvPicPr>
                  </pic:nvPicPr>
                  <pic:blipFill>
                    <a:blip r:embed="rId13"/>
                    <a:stretch>
                      <a:fillRect/>
                    </a:stretch>
                  </pic:blipFill>
                  <pic:spPr bwMode="auto">
                    <a:xfrm>
                      <a:off x="0" y="0"/>
                      <a:ext cx="5334000" cy="6258674"/>
                    </a:xfrm>
                    <a:prstGeom prst="rect">
                      <a:avLst/>
                    </a:prstGeom>
                    <a:noFill/>
                    <a:ln w="9525">
                      <a:noFill/>
                      <a:headEnd/>
                      <a:tailEnd/>
                    </a:ln>
                  </pic:spPr>
                </pic:pic>
              </a:graphicData>
            </a:graphic>
          </wp:inline>
        </w:drawing>
      </w:r>
    </w:p>
    <w:p w14:paraId="46AB2E3D" w14:textId="77777777" w:rsidR="00813649" w:rsidRDefault="00000000">
      <w:pPr>
        <w:pStyle w:val="Textoindependiente"/>
      </w:pPr>
      <w:r>
        <w:t>Figure 7. 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46AB2E3E" w14:textId="77777777" w:rsidR="00813649" w:rsidRDefault="00000000">
      <w:pPr>
        <w:pStyle w:val="Textoindependiente"/>
      </w:pPr>
      <w:r>
        <w:lastRenderedPageBreak/>
        <w:t>Figure 8. Model output for Watters et al. 2020 Scenario #2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46AB2E3F" w14:textId="77777777" w:rsidR="00813649" w:rsidRDefault="00000000">
      <w:pPr>
        <w:pStyle w:val="Textoindependiente"/>
      </w:pPr>
      <w:r>
        <w:t>Figure 9. Model output for Scenario \#3 outlined above (all species initially present,Adélie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46AB2E40" w14:textId="77777777" w:rsidR="00813649" w:rsidRDefault="00000000">
      <w:pPr>
        <w:pStyle w:val="Textoindependiente"/>
      </w:pPr>
      <w:r>
        <w:t>Figure 10. Daily accumulated catch (and fitted LOESS smooth curves) in Subarea 48.1 between 20</w:t>
      </w:r>
      <m:oMath>
        <m:sSup>
          <m:sSupPr>
            <m:ctrlPr>
              <w:rPr>
                <w:rFonts w:ascii="Cambria Math" w:hAnsi="Cambria Math"/>
              </w:rPr>
            </m:ctrlPr>
          </m:sSupPr>
          <m:e>
            <m:r>
              <w:rPr>
                <w:rFonts w:ascii="Cambria Math" w:hAnsi="Cambria Math"/>
              </w:rPr>
              <m:t>​</m:t>
            </m:r>
          </m:e>
          <m:sup>
            <m:r>
              <w:rPr>
                <w:rFonts w:ascii="Cambria Math" w:hAnsi="Cambria Math"/>
              </w:rPr>
              <m:t>th</m:t>
            </m:r>
          </m:sup>
        </m:sSup>
      </m:oMath>
      <w:r>
        <w:t xml:space="preserve"> February and March 31</w:t>
      </w:r>
      <m:oMath>
        <m:sSup>
          <m:sSupPr>
            <m:ctrlPr>
              <w:rPr>
                <w:rFonts w:ascii="Cambria Math" w:hAnsi="Cambria Math"/>
              </w:rPr>
            </m:ctrlPr>
          </m:sSupPr>
          <m:e>
            <m:r>
              <w:rPr>
                <w:rFonts w:ascii="Cambria Math" w:hAnsi="Cambria Math"/>
              </w:rPr>
              <m:t>​</m:t>
            </m:r>
          </m:e>
          <m:sup>
            <m:r>
              <w:rPr>
                <w:rFonts w:ascii="Cambria Math" w:hAnsi="Cambria Math"/>
              </w:rPr>
              <m:t>st</m:t>
            </m:r>
          </m:sup>
        </m:sSup>
      </m:oMath>
      <w:r>
        <w:t xml:space="preserve"> between A) 1990-2010 and B) 2010 to 2020. Catch in the Subarea was relatively consistent during the latter stages of penguin breeding at approximately 250tonnes/d (NOTE: different scaling of catch on y-axis between plots). However, since 2010 there has been a tendency for the fishery to increase its effort in the Subarea, starting around the middle of March. C) During this latter period, the fishery increased effort earlier on three occasions (2013, 2015 and 2016), starting before the beginning of March.</w:t>
      </w:r>
      <w:bookmarkEnd w:id="1"/>
    </w:p>
    <w:sectPr w:rsidR="0081364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8B526" w14:textId="77777777" w:rsidR="001979E2" w:rsidRDefault="001979E2">
      <w:pPr>
        <w:spacing w:after="0"/>
      </w:pPr>
      <w:r>
        <w:separator/>
      </w:r>
    </w:p>
  </w:endnote>
  <w:endnote w:type="continuationSeparator" w:id="0">
    <w:p w14:paraId="6835C324" w14:textId="77777777" w:rsidR="001979E2" w:rsidRDefault="001979E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8E306" w14:textId="77777777" w:rsidR="001979E2" w:rsidRDefault="001979E2">
      <w:r>
        <w:separator/>
      </w:r>
    </w:p>
  </w:footnote>
  <w:footnote w:type="continuationSeparator" w:id="0">
    <w:p w14:paraId="76568D85" w14:textId="77777777" w:rsidR="001979E2" w:rsidRDefault="001979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1A4601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398285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NDA1NTAwMzEyNjU1tDRT0lEKTi0uzszPAykwrgUAWeKZdSwAAAA="/>
  </w:docVars>
  <w:rsids>
    <w:rsidRoot w:val="00813649"/>
    <w:rsid w:val="00011C58"/>
    <w:rsid w:val="001979E2"/>
    <w:rsid w:val="00246526"/>
    <w:rsid w:val="00277FEA"/>
    <w:rsid w:val="00813649"/>
    <w:rsid w:val="00936B47"/>
    <w:rsid w:val="009A3C45"/>
    <w:rsid w:val="00A561BF"/>
    <w:rsid w:val="00AE1803"/>
    <w:rsid w:val="00DB3D9E"/>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B2DFD"/>
  <w15:docId w15:val="{EB802810-56B4-4F5D-9BCF-281F94169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10</Pages>
  <Words>1059</Words>
  <Characters>5564</Characters>
  <Application>Microsoft Office Word</Application>
  <DocSecurity>0</DocSecurity>
  <Lines>135</Lines>
  <Paragraphs>65</Paragraphs>
  <ScaleCrop>false</ScaleCrop>
  <Company/>
  <LinksUpToDate>false</LinksUpToDate>
  <CharactersWithSpaces>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
  <cp:keywords/>
  <cp:lastModifiedBy>JAVIER ARATA</cp:lastModifiedBy>
  <cp:revision>4</cp:revision>
  <dcterms:created xsi:type="dcterms:W3CDTF">2025-12-18T16:47:00Z</dcterms:created>
  <dcterms:modified xsi:type="dcterms:W3CDTF">2026-01-09T14:56:00Z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2025-12-18</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