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2566" w14:textId="77777777" w:rsidR="00476D3D" w:rsidRDefault="00000000">
      <w:pPr>
        <w:pStyle w:val="Ttulo"/>
      </w:pPr>
      <w:r>
        <w:t>Supplemtary material: A Rebuttal to Watters et al. (2020): Misinterpretation of Predator-Prey Dynamics leading to erroneous Precautionary Management in Antarctic Krill Fisheries</w:t>
      </w:r>
    </w:p>
    <w:p w14:paraId="60462567" w14:textId="77777777" w:rsidR="00476D3D" w:rsidRDefault="00000000">
      <w:pPr>
        <w:pStyle w:val="Fecha"/>
      </w:pPr>
      <w:r>
        <w:t>2026-01-09</w:t>
      </w:r>
    </w:p>
    <w:p w14:paraId="60462568" w14:textId="77777777" w:rsidR="00476D3D" w:rsidRDefault="00000000">
      <w:pPr>
        <w:pStyle w:val="Ttulo1"/>
      </w:pPr>
      <w:bookmarkStart w:id="0" w:name="a.-analysis-of-survey-coverage"/>
      <w:r>
        <w:t>A. Analysis of Survey Coverage</w:t>
      </w:r>
    </w:p>
    <w:p w14:paraId="60462569" w14:textId="77777777" w:rsidR="00476D3D" w:rsidRDefault="00000000">
      <w:pPr>
        <w:pStyle w:val="FirstParagraph"/>
      </w:pPr>
      <w:r>
        <w:t>Survey coverage, expressed as nautical miles surveyed within each gSSMU and survey leg, varied among years and between legs. In most years, two survey legs were conducted. Watters et al. (2020) proposed excluding surveys with transect coverage of 80 nm or less, but did not apply this criterion.</w:t>
      </w:r>
    </w:p>
    <w:p w14:paraId="6046256A" w14:textId="77777777" w:rsidR="00476D3D" w:rsidRDefault="00000000">
      <w:pPr>
        <w:pStyle w:val="Textoindependiente"/>
      </w:pPr>
      <w:r>
        <w:t>Rather than applying a fixed threshold, we examined the frequency distribution of surveyed transect lengths for gSSMUs 1 and 2 separately and excluded surveys falling below the lower 10th percentile. This approach resulted in the exclusion of three survey legs in gSSMU 1 (≤10 nm; 1996, 1999, 2010, and 2012) and three survey legs in gSSMU 2 (≤200 nm; 2010, 2011 and 2012) (Figure S1).</w:t>
      </w:r>
    </w:p>
    <w:p w14:paraId="6046256B" w14:textId="77777777" w:rsidR="00476D3D" w:rsidRDefault="00000000">
      <w:pPr>
        <w:pStyle w:val="Textoindependiente"/>
      </w:pPr>
      <w:r>
        <w:rPr>
          <w:noProof/>
        </w:rPr>
        <w:lastRenderedPageBreak/>
        <w:drawing>
          <wp:inline distT="0" distB="0" distL="0" distR="0" wp14:anchorId="6046263D" wp14:editId="6046263E">
            <wp:extent cx="4267200" cy="256032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Watters_Rebutt_Suppl_Mat_files/figure-docx/Survey%20cover%20effort-1.png"/>
                    <pic:cNvPicPr>
                      <a:picLocks noChangeAspect="1" noChangeArrowheads="1"/>
                    </pic:cNvPicPr>
                  </pic:nvPicPr>
                  <pic:blipFill>
                    <a:blip r:embed="rId7"/>
                    <a:stretch>
                      <a:fillRect/>
                    </a:stretch>
                  </pic:blipFill>
                  <pic:spPr bwMode="auto">
                    <a:xfrm>
                      <a:off x="0" y="0"/>
                      <a:ext cx="4267200" cy="2560320"/>
                    </a:xfrm>
                    <a:prstGeom prst="rect">
                      <a:avLst/>
                    </a:prstGeom>
                    <a:noFill/>
                    <a:ln w="9525">
                      <a:noFill/>
                      <a:headEnd/>
                      <a:tailEnd/>
                    </a:ln>
                  </pic:spPr>
                </pic:pic>
              </a:graphicData>
            </a:graphic>
          </wp:inline>
        </w:drawing>
      </w:r>
      <w:r>
        <w:rPr>
          <w:noProof/>
        </w:rPr>
        <w:drawing>
          <wp:inline distT="0" distB="0" distL="0" distR="0" wp14:anchorId="6046263F" wp14:editId="60462640">
            <wp:extent cx="4267200" cy="25603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Watters_Rebutt_Suppl_Mat_files/figure-docx/Survey%20cover%20effort-2.png"/>
                    <pic:cNvPicPr>
                      <a:picLocks noChangeAspect="1" noChangeArrowheads="1"/>
                    </pic:cNvPicPr>
                  </pic:nvPicPr>
                  <pic:blipFill>
                    <a:blip r:embed="rId8"/>
                    <a:stretch>
                      <a:fillRect/>
                    </a:stretch>
                  </pic:blipFill>
                  <pic:spPr bwMode="auto">
                    <a:xfrm>
                      <a:off x="0" y="0"/>
                      <a:ext cx="4267200" cy="2560320"/>
                    </a:xfrm>
                    <a:prstGeom prst="rect">
                      <a:avLst/>
                    </a:prstGeom>
                    <a:noFill/>
                    <a:ln w="9525">
                      <a:noFill/>
                      <a:headEnd/>
                      <a:tailEnd/>
                    </a:ln>
                  </pic:spPr>
                </pic:pic>
              </a:graphicData>
            </a:graphic>
          </wp:inline>
        </w:drawing>
      </w:r>
    </w:p>
    <w:p w14:paraId="6046256C" w14:textId="77777777" w:rsidR="00476D3D" w:rsidRDefault="00000000">
      <w:pPr>
        <w:pStyle w:val="Textoindependiente"/>
      </w:pPr>
      <w:r>
        <w:t>Figure S1. Annual survey coverage (total transect length surveyed) by gSSMU, year and survey leg [top panel]. Frequency distribution of summed transect lengths across all surveys, with the 10th percentile marked by the dashed line [bottom panel].</w:t>
      </w:r>
    </w:p>
    <w:p w14:paraId="6046256D" w14:textId="77777777" w:rsidR="00476D3D" w:rsidRDefault="00000000">
      <w:r>
        <w:br w:type="page"/>
      </w:r>
    </w:p>
    <w:p w14:paraId="6046256E" w14:textId="77777777" w:rsidR="00476D3D" w:rsidRDefault="00000000">
      <w:pPr>
        <w:pStyle w:val="Ttulo1"/>
      </w:pPr>
      <w:bookmarkStart w:id="1" w:name="Xdec01b5238bb5b03d97df130ad70050d4a88b3b"/>
      <w:bookmarkEnd w:id="0"/>
      <w:r>
        <w:lastRenderedPageBreak/>
        <w:t>B. Distribution of observed vs imputed summer ln</w:t>
      </w:r>
      <w:r>
        <w:rPr>
          <w:i/>
          <w:iCs/>
        </w:rPr>
        <w:t>LKB</w:t>
      </w:r>
      <w:r>
        <w:t xml:space="preserve"> values</w:t>
      </w:r>
    </w:p>
    <w:p w14:paraId="6046256F" w14:textId="77777777" w:rsidR="00476D3D" w:rsidRDefault="00000000">
      <w:pPr>
        <w:pStyle w:val="FirstParagraph"/>
      </w:pPr>
      <w:r>
        <w:t>We evaluated the procedure used to impute LKB values in years without survey data. First, we assessed whether ln</w:t>
      </w:r>
      <w:r>
        <w:rPr>
          <w:i/>
          <w:iCs/>
        </w:rPr>
        <w:t>LKB</w:t>
      </w:r>
      <w:r>
        <w:t xml:space="preserve"> from survey observations followed an appropriate parametric distribution. We then generated imputed ln</w:t>
      </w:r>
      <w:r>
        <w:rPr>
          <w:i/>
          <w:iCs/>
        </w:rPr>
        <w:t>LKB</w:t>
      </w:r>
      <w:r>
        <w:t xml:space="preserve"> values following equations (1) and (2) of Watters et al. (2020) and compared the resulting distributions with the empirical distribution of observed data.</w:t>
      </w:r>
    </w:p>
    <w:p w14:paraId="60462570" w14:textId="77777777" w:rsidR="00476D3D" w:rsidRDefault="00000000">
      <w:pPr>
        <w:pStyle w:val="Textoindependiente"/>
      </w:pPr>
      <w:r>
        <w:t>We fitted a log-normal distribution to the survey-based LKB data and assessed normality of ln</w:t>
      </w:r>
      <w:r>
        <w:rPr>
          <w:i/>
          <w:iCs/>
        </w:rPr>
        <w:t>LKB</w:t>
      </w:r>
      <w:r>
        <w:t xml:space="preserve"> using the Shapiro–Wilk test. Using the same parameterization, we generated 100,000 imputed ln</w:t>
      </w:r>
      <w:r>
        <w:rPr>
          <w:i/>
          <w:iCs/>
        </w:rPr>
        <w:t>LKB</w:t>
      </w:r>
      <w:r>
        <w:t xml:space="preserve"> values from equations (1) and (2), applying lower and upper bounds of 10,000 t and 1 × 10⁹ t, respectively, as defined in Supplementary Material S1. Normality of the imputed ln</w:t>
      </w:r>
      <w:r>
        <w:rPr>
          <w:i/>
          <w:iCs/>
        </w:rPr>
        <w:t>LKB</w:t>
      </w:r>
      <w:r>
        <w:t xml:space="preserve"> distribution was then re-evaluated using the Shapiro–Wilk test.</w:t>
      </w:r>
    </w:p>
    <w:p w14:paraId="60462571" w14:textId="77777777" w:rsidR="00476D3D" w:rsidRDefault="00000000">
      <w:pPr>
        <w:pStyle w:val="Textoindependiente"/>
      </w:pPr>
      <w:r>
        <w:t>Observed survey-based LKB distributions for all gSSMU–SAM combinations were well described by a log-normal distribution (Supplementary Material, Table S1; Figure S2). In contrast, ln(LKB) values generated through the imputation procedure of Watters et al. (2020) were concentrated toward the upper bound of the imposed limits, with mean ln(LKB) values of 17.5–17.7 (approximately 44 Mt), and did not conform to a log-normal distribution (Supplementary Material, Table S2; Figure S3).</w:t>
      </w:r>
    </w:p>
    <w:p w14:paraId="60462572" w14:textId="77777777" w:rsidR="00476D3D" w:rsidRDefault="00000000">
      <w:pPr>
        <w:pStyle w:val="Textoindependiente"/>
      </w:pPr>
      <w:r>
        <w:t>Table S1. Shapiro–Wilk test results for normality of observed log-transformed LKB values, reported by gSSMU and SAM sign. Columns show sample size (n), p-value, and W-statistic.</w:t>
      </w:r>
    </w:p>
    <w:tbl>
      <w:tblPr>
        <w:tblStyle w:val="Table"/>
        <w:tblW w:w="0" w:type="auto"/>
        <w:tblLook w:val="0020" w:firstRow="1" w:lastRow="0" w:firstColumn="0" w:lastColumn="0" w:noHBand="0" w:noVBand="0"/>
      </w:tblPr>
      <w:tblGrid>
        <w:gridCol w:w="924"/>
        <w:gridCol w:w="1108"/>
        <w:gridCol w:w="482"/>
        <w:gridCol w:w="992"/>
        <w:gridCol w:w="797"/>
      </w:tblGrid>
      <w:tr w:rsidR="00476D3D" w14:paraId="60462578" w14:textId="77777777" w:rsidTr="00476D3D">
        <w:trPr>
          <w:cnfStyle w:val="100000000000" w:firstRow="1" w:lastRow="0" w:firstColumn="0" w:lastColumn="0" w:oddVBand="0" w:evenVBand="0" w:oddHBand="0" w:evenHBand="0" w:firstRowFirstColumn="0" w:firstRowLastColumn="0" w:lastRowFirstColumn="0" w:lastRowLastColumn="0"/>
          <w:tblHeader/>
        </w:trPr>
        <w:tc>
          <w:tcPr>
            <w:tcW w:w="0" w:type="auto"/>
          </w:tcPr>
          <w:p w14:paraId="60462573" w14:textId="77777777" w:rsidR="00476D3D" w:rsidRDefault="00000000">
            <w:pPr>
              <w:pStyle w:val="Compact"/>
            </w:pPr>
            <w:r>
              <w:t>gSSMU</w:t>
            </w:r>
          </w:p>
        </w:tc>
        <w:tc>
          <w:tcPr>
            <w:tcW w:w="0" w:type="auto"/>
          </w:tcPr>
          <w:p w14:paraId="60462574" w14:textId="77777777" w:rsidR="00476D3D" w:rsidRDefault="00000000">
            <w:pPr>
              <w:pStyle w:val="Compact"/>
            </w:pPr>
            <w:r>
              <w:t>sam.sign</w:t>
            </w:r>
          </w:p>
        </w:tc>
        <w:tc>
          <w:tcPr>
            <w:tcW w:w="0" w:type="auto"/>
          </w:tcPr>
          <w:p w14:paraId="60462575" w14:textId="77777777" w:rsidR="00476D3D" w:rsidRDefault="00000000">
            <w:pPr>
              <w:pStyle w:val="Compact"/>
              <w:jc w:val="right"/>
            </w:pPr>
            <w:r>
              <w:t>n</w:t>
            </w:r>
          </w:p>
        </w:tc>
        <w:tc>
          <w:tcPr>
            <w:tcW w:w="0" w:type="auto"/>
          </w:tcPr>
          <w:p w14:paraId="60462576" w14:textId="77777777" w:rsidR="00476D3D" w:rsidRDefault="00000000">
            <w:pPr>
              <w:pStyle w:val="Compact"/>
              <w:jc w:val="right"/>
            </w:pPr>
            <w:r>
              <w:t>p_value</w:t>
            </w:r>
          </w:p>
        </w:tc>
        <w:tc>
          <w:tcPr>
            <w:tcW w:w="0" w:type="auto"/>
          </w:tcPr>
          <w:p w14:paraId="60462577" w14:textId="77777777" w:rsidR="00476D3D" w:rsidRDefault="00000000">
            <w:pPr>
              <w:pStyle w:val="Compact"/>
              <w:jc w:val="right"/>
            </w:pPr>
            <w:r>
              <w:t>W</w:t>
            </w:r>
          </w:p>
        </w:tc>
      </w:tr>
      <w:tr w:rsidR="00476D3D" w14:paraId="6046257E" w14:textId="77777777">
        <w:tc>
          <w:tcPr>
            <w:tcW w:w="0" w:type="auto"/>
          </w:tcPr>
          <w:p w14:paraId="60462579" w14:textId="77777777" w:rsidR="00476D3D" w:rsidRDefault="00000000">
            <w:pPr>
              <w:pStyle w:val="Compact"/>
            </w:pPr>
            <w:r>
              <w:t>1</w:t>
            </w:r>
          </w:p>
        </w:tc>
        <w:tc>
          <w:tcPr>
            <w:tcW w:w="0" w:type="auto"/>
          </w:tcPr>
          <w:p w14:paraId="6046257A" w14:textId="77777777" w:rsidR="00476D3D" w:rsidRDefault="00000000">
            <w:pPr>
              <w:pStyle w:val="Compact"/>
            </w:pPr>
            <w:r>
              <w:t>Neg</w:t>
            </w:r>
          </w:p>
        </w:tc>
        <w:tc>
          <w:tcPr>
            <w:tcW w:w="0" w:type="auto"/>
          </w:tcPr>
          <w:p w14:paraId="6046257B" w14:textId="77777777" w:rsidR="00476D3D" w:rsidRDefault="00000000">
            <w:pPr>
              <w:pStyle w:val="Compact"/>
              <w:jc w:val="right"/>
            </w:pPr>
            <w:r>
              <w:t>6</w:t>
            </w:r>
          </w:p>
        </w:tc>
        <w:tc>
          <w:tcPr>
            <w:tcW w:w="0" w:type="auto"/>
          </w:tcPr>
          <w:p w14:paraId="6046257C" w14:textId="77777777" w:rsidR="00476D3D" w:rsidRDefault="00000000">
            <w:pPr>
              <w:pStyle w:val="Compact"/>
              <w:jc w:val="right"/>
            </w:pPr>
            <w:r>
              <w:t>0.307</w:t>
            </w:r>
          </w:p>
        </w:tc>
        <w:tc>
          <w:tcPr>
            <w:tcW w:w="0" w:type="auto"/>
          </w:tcPr>
          <w:p w14:paraId="6046257D" w14:textId="77777777" w:rsidR="00476D3D" w:rsidRDefault="00000000">
            <w:pPr>
              <w:pStyle w:val="Compact"/>
              <w:jc w:val="right"/>
            </w:pPr>
            <w:r>
              <w:t>0.888</w:t>
            </w:r>
          </w:p>
        </w:tc>
      </w:tr>
      <w:tr w:rsidR="00476D3D" w14:paraId="60462584" w14:textId="77777777">
        <w:tc>
          <w:tcPr>
            <w:tcW w:w="0" w:type="auto"/>
          </w:tcPr>
          <w:p w14:paraId="6046257F" w14:textId="77777777" w:rsidR="00476D3D" w:rsidRDefault="00000000">
            <w:pPr>
              <w:pStyle w:val="Compact"/>
            </w:pPr>
            <w:r>
              <w:t>1</w:t>
            </w:r>
          </w:p>
        </w:tc>
        <w:tc>
          <w:tcPr>
            <w:tcW w:w="0" w:type="auto"/>
          </w:tcPr>
          <w:p w14:paraId="60462580" w14:textId="77777777" w:rsidR="00476D3D" w:rsidRDefault="00000000">
            <w:pPr>
              <w:pStyle w:val="Compact"/>
            </w:pPr>
            <w:r>
              <w:t>Pos</w:t>
            </w:r>
          </w:p>
        </w:tc>
        <w:tc>
          <w:tcPr>
            <w:tcW w:w="0" w:type="auto"/>
          </w:tcPr>
          <w:p w14:paraId="60462581" w14:textId="77777777" w:rsidR="00476D3D" w:rsidRDefault="00000000">
            <w:pPr>
              <w:pStyle w:val="Compact"/>
              <w:jc w:val="right"/>
            </w:pPr>
            <w:r>
              <w:t>10</w:t>
            </w:r>
          </w:p>
        </w:tc>
        <w:tc>
          <w:tcPr>
            <w:tcW w:w="0" w:type="auto"/>
          </w:tcPr>
          <w:p w14:paraId="60462582" w14:textId="77777777" w:rsidR="00476D3D" w:rsidRDefault="00000000">
            <w:pPr>
              <w:pStyle w:val="Compact"/>
              <w:jc w:val="right"/>
            </w:pPr>
            <w:r>
              <w:t>0.827</w:t>
            </w:r>
          </w:p>
        </w:tc>
        <w:tc>
          <w:tcPr>
            <w:tcW w:w="0" w:type="auto"/>
          </w:tcPr>
          <w:p w14:paraId="60462583" w14:textId="77777777" w:rsidR="00476D3D" w:rsidRDefault="00000000">
            <w:pPr>
              <w:pStyle w:val="Compact"/>
              <w:jc w:val="right"/>
            </w:pPr>
            <w:r>
              <w:t>0.964</w:t>
            </w:r>
          </w:p>
        </w:tc>
      </w:tr>
      <w:tr w:rsidR="00476D3D" w14:paraId="6046258A" w14:textId="77777777">
        <w:tc>
          <w:tcPr>
            <w:tcW w:w="0" w:type="auto"/>
          </w:tcPr>
          <w:p w14:paraId="60462585" w14:textId="77777777" w:rsidR="00476D3D" w:rsidRDefault="00000000">
            <w:pPr>
              <w:pStyle w:val="Compact"/>
            </w:pPr>
            <w:r>
              <w:t>2</w:t>
            </w:r>
          </w:p>
        </w:tc>
        <w:tc>
          <w:tcPr>
            <w:tcW w:w="0" w:type="auto"/>
          </w:tcPr>
          <w:p w14:paraId="60462586" w14:textId="77777777" w:rsidR="00476D3D" w:rsidRDefault="00000000">
            <w:pPr>
              <w:pStyle w:val="Compact"/>
            </w:pPr>
            <w:r>
              <w:t>Neg</w:t>
            </w:r>
          </w:p>
        </w:tc>
        <w:tc>
          <w:tcPr>
            <w:tcW w:w="0" w:type="auto"/>
          </w:tcPr>
          <w:p w14:paraId="60462587" w14:textId="77777777" w:rsidR="00476D3D" w:rsidRDefault="00000000">
            <w:pPr>
              <w:pStyle w:val="Compact"/>
              <w:jc w:val="right"/>
            </w:pPr>
            <w:r>
              <w:t>6</w:t>
            </w:r>
          </w:p>
        </w:tc>
        <w:tc>
          <w:tcPr>
            <w:tcW w:w="0" w:type="auto"/>
          </w:tcPr>
          <w:p w14:paraId="60462588" w14:textId="77777777" w:rsidR="00476D3D" w:rsidRDefault="00000000">
            <w:pPr>
              <w:pStyle w:val="Compact"/>
              <w:jc w:val="right"/>
            </w:pPr>
            <w:r>
              <w:t>0.635</w:t>
            </w:r>
          </w:p>
        </w:tc>
        <w:tc>
          <w:tcPr>
            <w:tcW w:w="0" w:type="auto"/>
          </w:tcPr>
          <w:p w14:paraId="60462589" w14:textId="77777777" w:rsidR="00476D3D" w:rsidRDefault="00000000">
            <w:pPr>
              <w:pStyle w:val="Compact"/>
              <w:jc w:val="right"/>
            </w:pPr>
            <w:r>
              <w:t>0.937</w:t>
            </w:r>
          </w:p>
        </w:tc>
      </w:tr>
      <w:tr w:rsidR="00476D3D" w14:paraId="60462590" w14:textId="77777777">
        <w:tc>
          <w:tcPr>
            <w:tcW w:w="0" w:type="auto"/>
          </w:tcPr>
          <w:p w14:paraId="6046258B" w14:textId="77777777" w:rsidR="00476D3D" w:rsidRDefault="00000000">
            <w:pPr>
              <w:pStyle w:val="Compact"/>
            </w:pPr>
            <w:r>
              <w:t>2</w:t>
            </w:r>
          </w:p>
        </w:tc>
        <w:tc>
          <w:tcPr>
            <w:tcW w:w="0" w:type="auto"/>
          </w:tcPr>
          <w:p w14:paraId="6046258C" w14:textId="77777777" w:rsidR="00476D3D" w:rsidRDefault="00000000">
            <w:pPr>
              <w:pStyle w:val="Compact"/>
            </w:pPr>
            <w:r>
              <w:t>Pos</w:t>
            </w:r>
          </w:p>
        </w:tc>
        <w:tc>
          <w:tcPr>
            <w:tcW w:w="0" w:type="auto"/>
          </w:tcPr>
          <w:p w14:paraId="6046258D" w14:textId="77777777" w:rsidR="00476D3D" w:rsidRDefault="00000000">
            <w:pPr>
              <w:pStyle w:val="Compact"/>
              <w:jc w:val="right"/>
            </w:pPr>
            <w:r>
              <w:t>10</w:t>
            </w:r>
          </w:p>
        </w:tc>
        <w:tc>
          <w:tcPr>
            <w:tcW w:w="0" w:type="auto"/>
          </w:tcPr>
          <w:p w14:paraId="6046258E" w14:textId="77777777" w:rsidR="00476D3D" w:rsidRDefault="00000000">
            <w:pPr>
              <w:pStyle w:val="Compact"/>
              <w:jc w:val="right"/>
            </w:pPr>
            <w:r>
              <w:t>0.052</w:t>
            </w:r>
          </w:p>
        </w:tc>
        <w:tc>
          <w:tcPr>
            <w:tcW w:w="0" w:type="auto"/>
          </w:tcPr>
          <w:p w14:paraId="6046258F" w14:textId="77777777" w:rsidR="00476D3D" w:rsidRDefault="00000000">
            <w:pPr>
              <w:pStyle w:val="Compact"/>
              <w:jc w:val="right"/>
            </w:pPr>
            <w:r>
              <w:t>0.846</w:t>
            </w:r>
          </w:p>
        </w:tc>
      </w:tr>
    </w:tbl>
    <w:p w14:paraId="60462591" w14:textId="77777777" w:rsidR="00476D3D" w:rsidRDefault="00000000">
      <w:pPr>
        <w:pStyle w:val="Textoindependiente"/>
      </w:pPr>
      <w:r>
        <w:t>Table S2. Shapiro–Wilk test results for normality of imputed log-transformed LKB values. The table reports the total number of imputations generated (n_total), the subsample used for the test (n_used), and the corresponding W and p values for each gSSMU and SAM sign.</w:t>
      </w:r>
    </w:p>
    <w:tbl>
      <w:tblPr>
        <w:tblStyle w:val="Table"/>
        <w:tblW w:w="0" w:type="auto"/>
        <w:tblLook w:val="0020" w:firstRow="1" w:lastRow="0" w:firstColumn="0" w:lastColumn="0" w:noHBand="0" w:noVBand="0"/>
      </w:tblPr>
      <w:tblGrid>
        <w:gridCol w:w="924"/>
        <w:gridCol w:w="1108"/>
        <w:gridCol w:w="912"/>
        <w:gridCol w:w="925"/>
        <w:gridCol w:w="797"/>
        <w:gridCol w:w="992"/>
      </w:tblGrid>
      <w:tr w:rsidR="00476D3D" w14:paraId="60462598" w14:textId="77777777" w:rsidTr="00476D3D">
        <w:trPr>
          <w:cnfStyle w:val="100000000000" w:firstRow="1" w:lastRow="0" w:firstColumn="0" w:lastColumn="0" w:oddVBand="0" w:evenVBand="0" w:oddHBand="0" w:evenHBand="0" w:firstRowFirstColumn="0" w:firstRowLastColumn="0" w:lastRowFirstColumn="0" w:lastRowLastColumn="0"/>
          <w:tblHeader/>
        </w:trPr>
        <w:tc>
          <w:tcPr>
            <w:tcW w:w="0" w:type="auto"/>
          </w:tcPr>
          <w:p w14:paraId="60462592" w14:textId="77777777" w:rsidR="00476D3D" w:rsidRDefault="00000000">
            <w:pPr>
              <w:pStyle w:val="Compact"/>
            </w:pPr>
            <w:r>
              <w:t>gSSMU</w:t>
            </w:r>
          </w:p>
        </w:tc>
        <w:tc>
          <w:tcPr>
            <w:tcW w:w="0" w:type="auto"/>
          </w:tcPr>
          <w:p w14:paraId="60462593" w14:textId="77777777" w:rsidR="00476D3D" w:rsidRDefault="00000000">
            <w:pPr>
              <w:pStyle w:val="Compact"/>
            </w:pPr>
            <w:r>
              <w:t>sam.sign</w:t>
            </w:r>
          </w:p>
        </w:tc>
        <w:tc>
          <w:tcPr>
            <w:tcW w:w="0" w:type="auto"/>
          </w:tcPr>
          <w:p w14:paraId="60462594" w14:textId="77777777" w:rsidR="00476D3D" w:rsidRDefault="00000000">
            <w:pPr>
              <w:pStyle w:val="Compact"/>
              <w:jc w:val="right"/>
            </w:pPr>
            <w:r>
              <w:t>n_total</w:t>
            </w:r>
          </w:p>
        </w:tc>
        <w:tc>
          <w:tcPr>
            <w:tcW w:w="0" w:type="auto"/>
          </w:tcPr>
          <w:p w14:paraId="60462595" w14:textId="77777777" w:rsidR="00476D3D" w:rsidRDefault="00000000">
            <w:pPr>
              <w:pStyle w:val="Compact"/>
              <w:jc w:val="right"/>
            </w:pPr>
            <w:r>
              <w:t>n_used</w:t>
            </w:r>
          </w:p>
        </w:tc>
        <w:tc>
          <w:tcPr>
            <w:tcW w:w="0" w:type="auto"/>
          </w:tcPr>
          <w:p w14:paraId="60462596" w14:textId="77777777" w:rsidR="00476D3D" w:rsidRDefault="00000000">
            <w:pPr>
              <w:pStyle w:val="Compact"/>
              <w:jc w:val="right"/>
            </w:pPr>
            <w:r>
              <w:t>W</w:t>
            </w:r>
          </w:p>
        </w:tc>
        <w:tc>
          <w:tcPr>
            <w:tcW w:w="0" w:type="auto"/>
          </w:tcPr>
          <w:p w14:paraId="60462597" w14:textId="77777777" w:rsidR="00476D3D" w:rsidRDefault="00000000">
            <w:pPr>
              <w:pStyle w:val="Compact"/>
              <w:jc w:val="right"/>
            </w:pPr>
            <w:r>
              <w:t>p_value</w:t>
            </w:r>
          </w:p>
        </w:tc>
      </w:tr>
      <w:tr w:rsidR="00476D3D" w14:paraId="6046259F" w14:textId="77777777">
        <w:tc>
          <w:tcPr>
            <w:tcW w:w="0" w:type="auto"/>
          </w:tcPr>
          <w:p w14:paraId="60462599" w14:textId="77777777" w:rsidR="00476D3D" w:rsidRDefault="00000000">
            <w:pPr>
              <w:pStyle w:val="Compact"/>
            </w:pPr>
            <w:r>
              <w:t>1</w:t>
            </w:r>
          </w:p>
        </w:tc>
        <w:tc>
          <w:tcPr>
            <w:tcW w:w="0" w:type="auto"/>
          </w:tcPr>
          <w:p w14:paraId="6046259A" w14:textId="77777777" w:rsidR="00476D3D" w:rsidRDefault="00000000">
            <w:pPr>
              <w:pStyle w:val="Compact"/>
            </w:pPr>
            <w:r>
              <w:t>Neg</w:t>
            </w:r>
          </w:p>
        </w:tc>
        <w:tc>
          <w:tcPr>
            <w:tcW w:w="0" w:type="auto"/>
          </w:tcPr>
          <w:p w14:paraId="6046259B" w14:textId="77777777" w:rsidR="00476D3D" w:rsidRDefault="00000000">
            <w:pPr>
              <w:pStyle w:val="Compact"/>
              <w:jc w:val="right"/>
            </w:pPr>
            <w:r>
              <w:t>1e+05</w:t>
            </w:r>
          </w:p>
        </w:tc>
        <w:tc>
          <w:tcPr>
            <w:tcW w:w="0" w:type="auto"/>
          </w:tcPr>
          <w:p w14:paraId="6046259C" w14:textId="77777777" w:rsidR="00476D3D" w:rsidRDefault="00000000">
            <w:pPr>
              <w:pStyle w:val="Compact"/>
              <w:jc w:val="right"/>
            </w:pPr>
            <w:r>
              <w:t>5000</w:t>
            </w:r>
          </w:p>
        </w:tc>
        <w:tc>
          <w:tcPr>
            <w:tcW w:w="0" w:type="auto"/>
          </w:tcPr>
          <w:p w14:paraId="6046259D" w14:textId="77777777" w:rsidR="00476D3D" w:rsidRDefault="00000000">
            <w:pPr>
              <w:pStyle w:val="Compact"/>
              <w:jc w:val="right"/>
            </w:pPr>
            <w:r>
              <w:t>0.366</w:t>
            </w:r>
          </w:p>
        </w:tc>
        <w:tc>
          <w:tcPr>
            <w:tcW w:w="0" w:type="auto"/>
          </w:tcPr>
          <w:p w14:paraId="6046259E" w14:textId="77777777" w:rsidR="00476D3D" w:rsidRDefault="00000000">
            <w:pPr>
              <w:pStyle w:val="Compact"/>
              <w:jc w:val="right"/>
            </w:pPr>
            <w:r>
              <w:t>0</w:t>
            </w:r>
          </w:p>
        </w:tc>
      </w:tr>
      <w:tr w:rsidR="00476D3D" w14:paraId="604625A6" w14:textId="77777777">
        <w:tc>
          <w:tcPr>
            <w:tcW w:w="0" w:type="auto"/>
          </w:tcPr>
          <w:p w14:paraId="604625A0" w14:textId="77777777" w:rsidR="00476D3D" w:rsidRDefault="00000000">
            <w:pPr>
              <w:pStyle w:val="Compact"/>
            </w:pPr>
            <w:r>
              <w:t>1</w:t>
            </w:r>
          </w:p>
        </w:tc>
        <w:tc>
          <w:tcPr>
            <w:tcW w:w="0" w:type="auto"/>
          </w:tcPr>
          <w:p w14:paraId="604625A1" w14:textId="77777777" w:rsidR="00476D3D" w:rsidRDefault="00000000">
            <w:pPr>
              <w:pStyle w:val="Compact"/>
            </w:pPr>
            <w:r>
              <w:t>Pos</w:t>
            </w:r>
          </w:p>
        </w:tc>
        <w:tc>
          <w:tcPr>
            <w:tcW w:w="0" w:type="auto"/>
          </w:tcPr>
          <w:p w14:paraId="604625A2" w14:textId="77777777" w:rsidR="00476D3D" w:rsidRDefault="00000000">
            <w:pPr>
              <w:pStyle w:val="Compact"/>
              <w:jc w:val="right"/>
            </w:pPr>
            <w:r>
              <w:t>1e+05</w:t>
            </w:r>
          </w:p>
        </w:tc>
        <w:tc>
          <w:tcPr>
            <w:tcW w:w="0" w:type="auto"/>
          </w:tcPr>
          <w:p w14:paraId="604625A3" w14:textId="77777777" w:rsidR="00476D3D" w:rsidRDefault="00000000">
            <w:pPr>
              <w:pStyle w:val="Compact"/>
              <w:jc w:val="right"/>
            </w:pPr>
            <w:r>
              <w:t>5000</w:t>
            </w:r>
          </w:p>
        </w:tc>
        <w:tc>
          <w:tcPr>
            <w:tcW w:w="0" w:type="auto"/>
          </w:tcPr>
          <w:p w14:paraId="604625A4" w14:textId="77777777" w:rsidR="00476D3D" w:rsidRDefault="00000000">
            <w:pPr>
              <w:pStyle w:val="Compact"/>
              <w:jc w:val="right"/>
            </w:pPr>
            <w:r>
              <w:t>0.367</w:t>
            </w:r>
          </w:p>
        </w:tc>
        <w:tc>
          <w:tcPr>
            <w:tcW w:w="0" w:type="auto"/>
          </w:tcPr>
          <w:p w14:paraId="604625A5" w14:textId="77777777" w:rsidR="00476D3D" w:rsidRDefault="00000000">
            <w:pPr>
              <w:pStyle w:val="Compact"/>
              <w:jc w:val="right"/>
            </w:pPr>
            <w:r>
              <w:t>0</w:t>
            </w:r>
          </w:p>
        </w:tc>
      </w:tr>
      <w:tr w:rsidR="00476D3D" w14:paraId="604625AD" w14:textId="77777777">
        <w:tc>
          <w:tcPr>
            <w:tcW w:w="0" w:type="auto"/>
          </w:tcPr>
          <w:p w14:paraId="604625A7" w14:textId="77777777" w:rsidR="00476D3D" w:rsidRDefault="00000000">
            <w:pPr>
              <w:pStyle w:val="Compact"/>
            </w:pPr>
            <w:r>
              <w:t>2</w:t>
            </w:r>
          </w:p>
        </w:tc>
        <w:tc>
          <w:tcPr>
            <w:tcW w:w="0" w:type="auto"/>
          </w:tcPr>
          <w:p w14:paraId="604625A8" w14:textId="77777777" w:rsidR="00476D3D" w:rsidRDefault="00000000">
            <w:pPr>
              <w:pStyle w:val="Compact"/>
            </w:pPr>
            <w:r>
              <w:t>Neg</w:t>
            </w:r>
          </w:p>
        </w:tc>
        <w:tc>
          <w:tcPr>
            <w:tcW w:w="0" w:type="auto"/>
          </w:tcPr>
          <w:p w14:paraId="604625A9" w14:textId="77777777" w:rsidR="00476D3D" w:rsidRDefault="00000000">
            <w:pPr>
              <w:pStyle w:val="Compact"/>
              <w:jc w:val="right"/>
            </w:pPr>
            <w:r>
              <w:t>1e+05</w:t>
            </w:r>
          </w:p>
        </w:tc>
        <w:tc>
          <w:tcPr>
            <w:tcW w:w="0" w:type="auto"/>
          </w:tcPr>
          <w:p w14:paraId="604625AA" w14:textId="77777777" w:rsidR="00476D3D" w:rsidRDefault="00000000">
            <w:pPr>
              <w:pStyle w:val="Compact"/>
              <w:jc w:val="right"/>
            </w:pPr>
            <w:r>
              <w:t>5000</w:t>
            </w:r>
          </w:p>
        </w:tc>
        <w:tc>
          <w:tcPr>
            <w:tcW w:w="0" w:type="auto"/>
          </w:tcPr>
          <w:p w14:paraId="604625AB" w14:textId="77777777" w:rsidR="00476D3D" w:rsidRDefault="00000000">
            <w:pPr>
              <w:pStyle w:val="Compact"/>
              <w:jc w:val="right"/>
            </w:pPr>
            <w:r>
              <w:t>0.366</w:t>
            </w:r>
          </w:p>
        </w:tc>
        <w:tc>
          <w:tcPr>
            <w:tcW w:w="0" w:type="auto"/>
          </w:tcPr>
          <w:p w14:paraId="604625AC" w14:textId="77777777" w:rsidR="00476D3D" w:rsidRDefault="00000000">
            <w:pPr>
              <w:pStyle w:val="Compact"/>
              <w:jc w:val="right"/>
            </w:pPr>
            <w:r>
              <w:t>0</w:t>
            </w:r>
          </w:p>
        </w:tc>
      </w:tr>
      <w:tr w:rsidR="00476D3D" w14:paraId="604625B4" w14:textId="77777777">
        <w:tc>
          <w:tcPr>
            <w:tcW w:w="0" w:type="auto"/>
          </w:tcPr>
          <w:p w14:paraId="604625AE" w14:textId="77777777" w:rsidR="00476D3D" w:rsidRDefault="00000000">
            <w:pPr>
              <w:pStyle w:val="Compact"/>
            </w:pPr>
            <w:r>
              <w:t>2</w:t>
            </w:r>
          </w:p>
        </w:tc>
        <w:tc>
          <w:tcPr>
            <w:tcW w:w="0" w:type="auto"/>
          </w:tcPr>
          <w:p w14:paraId="604625AF" w14:textId="77777777" w:rsidR="00476D3D" w:rsidRDefault="00000000">
            <w:pPr>
              <w:pStyle w:val="Compact"/>
            </w:pPr>
            <w:r>
              <w:t>Pos</w:t>
            </w:r>
          </w:p>
        </w:tc>
        <w:tc>
          <w:tcPr>
            <w:tcW w:w="0" w:type="auto"/>
          </w:tcPr>
          <w:p w14:paraId="604625B0" w14:textId="77777777" w:rsidR="00476D3D" w:rsidRDefault="00000000">
            <w:pPr>
              <w:pStyle w:val="Compact"/>
              <w:jc w:val="right"/>
            </w:pPr>
            <w:r>
              <w:t>1e+05</w:t>
            </w:r>
          </w:p>
        </w:tc>
        <w:tc>
          <w:tcPr>
            <w:tcW w:w="0" w:type="auto"/>
          </w:tcPr>
          <w:p w14:paraId="604625B1" w14:textId="77777777" w:rsidR="00476D3D" w:rsidRDefault="00000000">
            <w:pPr>
              <w:pStyle w:val="Compact"/>
              <w:jc w:val="right"/>
            </w:pPr>
            <w:r>
              <w:t>5000</w:t>
            </w:r>
          </w:p>
        </w:tc>
        <w:tc>
          <w:tcPr>
            <w:tcW w:w="0" w:type="auto"/>
          </w:tcPr>
          <w:p w14:paraId="604625B2" w14:textId="77777777" w:rsidR="00476D3D" w:rsidRDefault="00000000">
            <w:pPr>
              <w:pStyle w:val="Compact"/>
              <w:jc w:val="right"/>
            </w:pPr>
            <w:r>
              <w:t>0.338</w:t>
            </w:r>
          </w:p>
        </w:tc>
        <w:tc>
          <w:tcPr>
            <w:tcW w:w="0" w:type="auto"/>
          </w:tcPr>
          <w:p w14:paraId="604625B3" w14:textId="77777777" w:rsidR="00476D3D" w:rsidRDefault="00000000">
            <w:pPr>
              <w:pStyle w:val="Compact"/>
              <w:jc w:val="right"/>
            </w:pPr>
            <w:r>
              <w:t>0</w:t>
            </w:r>
          </w:p>
        </w:tc>
      </w:tr>
    </w:tbl>
    <w:p w14:paraId="604625B5" w14:textId="77777777" w:rsidR="00476D3D" w:rsidRDefault="00000000">
      <w:pPr>
        <w:pStyle w:val="Textoindependiente"/>
      </w:pPr>
      <w:r>
        <w:rPr>
          <w:noProof/>
        </w:rPr>
        <w:lastRenderedPageBreak/>
        <w:drawing>
          <wp:inline distT="0" distB="0" distL="0" distR="0" wp14:anchorId="60462641" wp14:editId="60462642">
            <wp:extent cx="4267200" cy="298704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Watters_Rebutt_Suppl_Mat_files/figure-docx/Survey%20histogram-1.png"/>
                    <pic:cNvPicPr>
                      <a:picLocks noChangeAspect="1" noChangeArrowheads="1"/>
                    </pic:cNvPicPr>
                  </pic:nvPicPr>
                  <pic:blipFill>
                    <a:blip r:embed="rId9"/>
                    <a:stretch>
                      <a:fillRect/>
                    </a:stretch>
                  </pic:blipFill>
                  <pic:spPr bwMode="auto">
                    <a:xfrm>
                      <a:off x="0" y="0"/>
                      <a:ext cx="4267200" cy="2987040"/>
                    </a:xfrm>
                    <a:prstGeom prst="rect">
                      <a:avLst/>
                    </a:prstGeom>
                    <a:noFill/>
                    <a:ln w="9525">
                      <a:noFill/>
                      <a:headEnd/>
                      <a:tailEnd/>
                    </a:ln>
                  </pic:spPr>
                </pic:pic>
              </a:graphicData>
            </a:graphic>
          </wp:inline>
        </w:drawing>
      </w:r>
    </w:p>
    <w:p w14:paraId="604625B6" w14:textId="77777777" w:rsidR="00476D3D" w:rsidRDefault="00000000">
      <w:pPr>
        <w:pStyle w:val="Textoindependiente"/>
      </w:pPr>
      <w:r>
        <w:t>Figure S2. Distribution of ln-transformed acoustic biomass (LnSurvey) shown as histograms stratified by gSSMU (1, 2) and SAM sign (Neg, Pos). The solid curve in each panel shows the log-normal density fitted to the observed survey values.</w:t>
      </w:r>
    </w:p>
    <w:p w14:paraId="604625B7" w14:textId="77777777" w:rsidR="00476D3D" w:rsidRDefault="00000000">
      <w:pPr>
        <w:pStyle w:val="Textoindependiente"/>
      </w:pPr>
      <w:r>
        <w:rPr>
          <w:noProof/>
        </w:rPr>
        <w:drawing>
          <wp:inline distT="0" distB="0" distL="0" distR="0" wp14:anchorId="60462643" wp14:editId="60462644">
            <wp:extent cx="4267200" cy="276957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atters_Rebutt_Suppl_Mat_files/figure-docx/Imputed%20Survey-1.png"/>
                    <pic:cNvPicPr>
                      <a:picLocks noChangeAspect="1" noChangeArrowheads="1"/>
                    </pic:cNvPicPr>
                  </pic:nvPicPr>
                  <pic:blipFill>
                    <a:blip r:embed="rId10"/>
                    <a:stretch>
                      <a:fillRect/>
                    </a:stretch>
                  </pic:blipFill>
                  <pic:spPr bwMode="auto">
                    <a:xfrm>
                      <a:off x="0" y="0"/>
                      <a:ext cx="4267200" cy="2769576"/>
                    </a:xfrm>
                    <a:prstGeom prst="rect">
                      <a:avLst/>
                    </a:prstGeom>
                    <a:noFill/>
                    <a:ln w="9525">
                      <a:noFill/>
                      <a:headEnd/>
                      <a:tailEnd/>
                    </a:ln>
                  </pic:spPr>
                </pic:pic>
              </a:graphicData>
            </a:graphic>
          </wp:inline>
        </w:drawing>
      </w:r>
    </w:p>
    <w:p w14:paraId="604625B8" w14:textId="77777777" w:rsidR="00476D3D" w:rsidRDefault="00000000">
      <w:pPr>
        <w:pStyle w:val="Textoindependiente"/>
      </w:pPr>
      <w:r>
        <w:t>Figure S3. Distribution of ln-transformed imputed biomass (LnSurvey) shown as histograms stratified by gSSMU (1, 2) and SAM sign (Neg, Pos). The solid curve in each panel shows the log-normal density fitted to the observed survey values.</w:t>
      </w:r>
    </w:p>
    <w:p w14:paraId="604625B9" w14:textId="77777777" w:rsidR="00476D3D" w:rsidRDefault="00000000">
      <w:pPr>
        <w:pStyle w:val="Ttulo1"/>
      </w:pPr>
      <w:bookmarkStart w:id="2" w:name="X3d5f127bfb3c908c1c6d4f349b238ac75f03dd1"/>
      <w:bookmarkEnd w:id="1"/>
      <w:r>
        <w:lastRenderedPageBreak/>
        <w:t>C. Effect of Survey filtering and imputed-LKB values on Penguin performance</w:t>
      </w:r>
    </w:p>
    <w:p w14:paraId="604625BA" w14:textId="77777777" w:rsidR="00476D3D" w:rsidRDefault="00000000">
      <w:pPr>
        <w:pStyle w:val="FirstParagraph"/>
      </w:pPr>
      <w:r>
        <w:t>Analysis of penguin performance and posterior predictive distribution, after removing surveys with low coverage (Fig. S4-S5).</w:t>
      </w:r>
    </w:p>
    <w:p w14:paraId="604625BB" w14:textId="77777777" w:rsidR="00476D3D" w:rsidRDefault="00000000">
      <w:pPr>
        <w:pStyle w:val="Textoindependiente"/>
      </w:pPr>
      <w:r>
        <w:rPr>
          <w:noProof/>
        </w:rPr>
        <w:drawing>
          <wp:inline distT="0" distB="0" distL="0" distR="0" wp14:anchorId="60462645" wp14:editId="60462646">
            <wp:extent cx="4267200" cy="320039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_Results_Suppl/Model01_filtered/Posterior_predictive_dist_mod01.png"/>
                    <pic:cNvPicPr>
                      <a:picLocks noChangeAspect="1" noChangeArrowheads="1"/>
                    </pic:cNvPicPr>
                  </pic:nvPicPr>
                  <pic:blipFill>
                    <a:blip r:embed="rId11"/>
                    <a:stretch>
                      <a:fillRect/>
                    </a:stretch>
                  </pic:blipFill>
                  <pic:spPr bwMode="auto">
                    <a:xfrm>
                      <a:off x="0" y="0"/>
                      <a:ext cx="4267200" cy="3200399"/>
                    </a:xfrm>
                    <a:prstGeom prst="rect">
                      <a:avLst/>
                    </a:prstGeom>
                    <a:noFill/>
                    <a:ln w="9525">
                      <a:noFill/>
                      <a:headEnd/>
                      <a:tailEnd/>
                    </a:ln>
                  </pic:spPr>
                </pic:pic>
              </a:graphicData>
            </a:graphic>
          </wp:inline>
        </w:drawing>
      </w:r>
    </w:p>
    <w:p w14:paraId="604625BC" w14:textId="77777777" w:rsidR="00476D3D" w:rsidRDefault="00000000">
      <w:pPr>
        <w:pStyle w:val="Textoindependiente"/>
      </w:pPr>
      <w:r>
        <w:t>Figure S4. Posterior predictive distributions (boxplots) and jittered observations (colored circles) of penguin performance, after removing low coverage survey data; missing summer LKB were not imputed. Case 1 is ONI ≤ -0.5°C; LKB ≤ 1 Mt; and LHR ≤ 0.01 (the “best case”). Case 2 is ONI ≤ -0.5°C; LKB &gt; 1 Mt; and LHR ≤ 0.01. Case 3 is ONI ≤ -0.5°C; LKB ≤ 1 Mt; and 0.01 &lt; LHR &lt; 0.1. Case 4 is ONI ≤ -0.5°C; LKB &gt; 1 Mt; and 0.01 &lt; LHR &lt; 0.01. Case 5 is ONI ≤ -0.5°C; LKB ≤ 1 Mt; and LHR ≥ 0.1. Case 6 is ONI ≤ -0.5°C; LKB &gt; 1 Mt; and LHR ≥ 0.1. Cases 7-12 are the same as Cases 1-6 except -0.5°C &lt; ONI &lt; 0.5°C; Case 12 is the “worst case.” Cases 13-18 are the same as Cases 1-6 except ONI ≥ 0.5°C. Filled red circles represent summer observations from krill surveys. Blue circles represent winter observations. Boxes characterize interquartile ranges with medians indicated by bold horizontal lines and whiskers extending to 1.5 times these ranges.</w:t>
      </w:r>
    </w:p>
    <w:p w14:paraId="604625BD" w14:textId="77777777" w:rsidR="00476D3D" w:rsidRDefault="00000000">
      <w:pPr>
        <w:pStyle w:val="Textoindependiente"/>
      </w:pPr>
      <w:r>
        <w:rPr>
          <w:noProof/>
        </w:rPr>
        <w:lastRenderedPageBreak/>
        <w:drawing>
          <wp:inline distT="0" distB="0" distL="0" distR="0" wp14:anchorId="60462647" wp14:editId="60462648">
            <wp:extent cx="4267200" cy="320039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_Results_Suppl/Model01_filtered/Penguin_performance_mod01.png"/>
                    <pic:cNvPicPr>
                      <a:picLocks noChangeAspect="1" noChangeArrowheads="1"/>
                    </pic:cNvPicPr>
                  </pic:nvPicPr>
                  <pic:blipFill>
                    <a:blip r:embed="rId12"/>
                    <a:stretch>
                      <a:fillRect/>
                    </a:stretch>
                  </pic:blipFill>
                  <pic:spPr bwMode="auto">
                    <a:xfrm>
                      <a:off x="0" y="0"/>
                      <a:ext cx="4267200" cy="3200399"/>
                    </a:xfrm>
                    <a:prstGeom prst="rect">
                      <a:avLst/>
                    </a:prstGeom>
                    <a:noFill/>
                    <a:ln w="9525">
                      <a:noFill/>
                      <a:headEnd/>
                      <a:tailEnd/>
                    </a:ln>
                  </pic:spPr>
                </pic:pic>
              </a:graphicData>
            </a:graphic>
          </wp:inline>
        </w:drawing>
      </w:r>
    </w:p>
    <w:p w14:paraId="604625BE" w14:textId="77777777" w:rsidR="00476D3D" w:rsidRDefault="00000000">
      <w:pPr>
        <w:pStyle w:val="Textoindependiente"/>
      </w:pPr>
      <w:r>
        <w:t>Figure S5. Posterior expectations of penguin performance from the sensitivity test in which: low coverage survey data was removed, and missing summer LKB were not imputed. The “best case” is ONI ≤ -0.5; LKB ≤ 1 Mt; and LHR ≤ 0.01. The “worst case” is -0.5 &lt; ONI &lt; 0.5; LKB &gt; 1 Mt, and LHR ≥ 0.1. All other cases are marginal deviations from the best case. The median, interquartile range, and range of the posterior expectations are provided for each boxplot. Reference lines respectively indicate the median expected performance in the best case (dashed line) and the long-term mean performance (solid line). As per Supplementary Fig. S8, Watters et al. (2020).</w:t>
      </w:r>
    </w:p>
    <w:p w14:paraId="604625BF" w14:textId="77777777" w:rsidR="00476D3D" w:rsidRDefault="00000000">
      <w:pPr>
        <w:pStyle w:val="Textoindependiente"/>
      </w:pPr>
      <w:r>
        <w:t>Analysis of penguin performance and posterior predictive distribution, after removing surveys with low coverage amd imputing missing summer surveys as in Table 1 (Fig. S6-S7).</w:t>
      </w:r>
    </w:p>
    <w:p w14:paraId="604625C0" w14:textId="77777777" w:rsidR="00476D3D" w:rsidRDefault="00000000">
      <w:pPr>
        <w:pStyle w:val="Textoindependiente"/>
      </w:pPr>
      <w:r>
        <w:rPr>
          <w:noProof/>
        </w:rPr>
        <w:lastRenderedPageBreak/>
        <w:drawing>
          <wp:inline distT="0" distB="0" distL="0" distR="0" wp14:anchorId="60462649" wp14:editId="6046264A">
            <wp:extent cx="4267200" cy="3200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_Results_Suppl/Model01_imputed1/Posterior_predictive_dist_mod01imp.png"/>
                    <pic:cNvPicPr>
                      <a:picLocks noChangeAspect="1" noChangeArrowheads="1"/>
                    </pic:cNvPicPr>
                  </pic:nvPicPr>
                  <pic:blipFill>
                    <a:blip r:embed="rId13"/>
                    <a:stretch>
                      <a:fillRect/>
                    </a:stretch>
                  </pic:blipFill>
                  <pic:spPr bwMode="auto">
                    <a:xfrm>
                      <a:off x="0" y="0"/>
                      <a:ext cx="4267200" cy="3200399"/>
                    </a:xfrm>
                    <a:prstGeom prst="rect">
                      <a:avLst/>
                    </a:prstGeom>
                    <a:noFill/>
                    <a:ln w="9525">
                      <a:noFill/>
                      <a:headEnd/>
                      <a:tailEnd/>
                    </a:ln>
                  </pic:spPr>
                </pic:pic>
              </a:graphicData>
            </a:graphic>
          </wp:inline>
        </w:drawing>
      </w:r>
    </w:p>
    <w:p w14:paraId="604625C1" w14:textId="77777777" w:rsidR="00476D3D" w:rsidRDefault="00000000">
      <w:pPr>
        <w:pStyle w:val="Textoindependiente"/>
      </w:pPr>
      <w:r>
        <w:t>Figure S6. Posterior predictive distributions (boxplots) and jittered observations (colored circles) of penguin performance, after removing low coverage survey data; missing summer LKB were imputed according to values in Table 1. Case 1 is ONI ≤ -0.5°C; LKB ≤ 1 Mt; and LHR ≤ 0.01 (the “best case”). Case 2 is ONI ≤ -0.5°C; LKB &gt; 1 Mt; and LHR ≤ 0.01. Case 3 is ONI ≤ -0.5°C; LKB ≤ 1 Mt; and 0.01 &lt; LHR &lt; 0.1. Case 4 is ONI ≤ -0.5°C; LKB &gt; 1 Mt; and 0.01 &lt; LHR &lt; 0.01. Case 5 is ONI ≤ -0.5°C; LKB ≤ 1 Mt; and LHR ≥ 0.1. Case 6 is ONI ≤ -0.5°C; LKB &gt; 1 Mt; and LHR ≥ 0.1. Cases 7-12 are the same as Cases 1-6 except -0.5°C &lt; ONI &lt; 0.5°C; Case 12 is the “worst case.” Cases 13-18 are the same as Cases 1-6 except ONI ≥ 0.5°C. Filled red circles represent summer observations from krill surveys. Blue circles represent winter observations. Boxes characterize interquartile ranges with medians indicated by bold horizontal lines and whiskers extending to 1.5 times these ranges.</w:t>
      </w:r>
    </w:p>
    <w:p w14:paraId="604625C2" w14:textId="77777777" w:rsidR="00476D3D" w:rsidRDefault="00000000">
      <w:pPr>
        <w:pStyle w:val="Textoindependiente"/>
      </w:pPr>
      <w:r>
        <w:rPr>
          <w:noProof/>
        </w:rPr>
        <w:lastRenderedPageBreak/>
        <w:drawing>
          <wp:inline distT="0" distB="0" distL="0" distR="0" wp14:anchorId="6046264B" wp14:editId="6046264C">
            <wp:extent cx="4267200" cy="320039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_Results_Suppl/Model01_imputed1/Penguin_performance_mod01imp.png"/>
                    <pic:cNvPicPr>
                      <a:picLocks noChangeAspect="1" noChangeArrowheads="1"/>
                    </pic:cNvPicPr>
                  </pic:nvPicPr>
                  <pic:blipFill>
                    <a:blip r:embed="rId14"/>
                    <a:stretch>
                      <a:fillRect/>
                    </a:stretch>
                  </pic:blipFill>
                  <pic:spPr bwMode="auto">
                    <a:xfrm>
                      <a:off x="0" y="0"/>
                      <a:ext cx="4267200" cy="3200399"/>
                    </a:xfrm>
                    <a:prstGeom prst="rect">
                      <a:avLst/>
                    </a:prstGeom>
                    <a:noFill/>
                    <a:ln w="9525">
                      <a:noFill/>
                      <a:headEnd/>
                      <a:tailEnd/>
                    </a:ln>
                  </pic:spPr>
                </pic:pic>
              </a:graphicData>
            </a:graphic>
          </wp:inline>
        </w:drawing>
      </w:r>
    </w:p>
    <w:p w14:paraId="604625C3" w14:textId="77777777" w:rsidR="00476D3D" w:rsidRDefault="00000000">
      <w:pPr>
        <w:pStyle w:val="Textoindependiente"/>
      </w:pPr>
      <w:r>
        <w:t>Figure S7. Posterior expectations of penguin performance from the sensitivity test in which: low coverage survey data was removed; missing summer LKB were imputed according to values in Table 1. The “best case” is ONI ≤ -0.5; LKB ≤ 1 Mt; and LHR ≤ 0.01. The “worst case” is -0.5 &lt; ONI &lt; 0.5; LKB &gt; 1 Mt, and LHR ≥ 0.1. All other cases are marginal deviations from the best case. The median, interquartile range, and range of the posterior expectations are provided for each boxplot. Reference lines respectively indicate the median expected performance in the best case (dashed line) and the long-term mean performance (solid line). As per Supplementary Fig. S8, Watters et al. (2020).</w:t>
      </w:r>
    </w:p>
    <w:p w14:paraId="604625C4" w14:textId="77777777" w:rsidR="00476D3D" w:rsidRDefault="00000000">
      <w:pPr>
        <w:pStyle w:val="Ttulo1"/>
      </w:pPr>
      <w:bookmarkStart w:id="3" w:name="Xba250db6147939e267af2d9e82d86f77cf69c4e"/>
      <w:bookmarkEnd w:id="2"/>
      <w:r>
        <w:t>D. Krill consumption by main predator taxa</w:t>
      </w:r>
    </w:p>
    <w:p w14:paraId="604625C5" w14:textId="77777777" w:rsidR="00476D3D" w:rsidRDefault="00000000">
      <w:pPr>
        <w:pStyle w:val="FirstParagraph"/>
      </w:pPr>
      <w:r>
        <w:t>Estimates of krill consumption by major predator groups during the study period have been previously summarized by Hill et al. (2007). During summer, fish accounted for the largest proportion of krill consumption, with estimated removals of 1,425,193 in the Bransfield Strait (gSMSMU #1: APBSW + APBSE) and 845,772 in the Drake Passage (gSSMU #2: APDPW + APDPE). Combined summer consumption by penguins and whales was estimated at 444,674 in the Bransfield Strait and 328,774 in the Drake Passage. Total summer krill consumption therefore exceeded 1 Mt in both gSSMU 1 and gSSMU 2.</w:t>
      </w:r>
    </w:p>
    <w:p w14:paraId="604625C6" w14:textId="77777777" w:rsidR="00476D3D" w:rsidRDefault="00000000">
      <w:pPr>
        <w:pStyle w:val="Textoindependiente"/>
      </w:pPr>
      <w:r>
        <w:t>Watters et al. (2020) noted “krill biomass in the Antarctic Peninsula is generally sufficient to support penguin production.” Consistent with this, no evidence of acute adult penguin mortality or complete lack of bird attending nesting grounds has been documented in the region, unlike patterns reported for other penguin species during severe starvation events (Vianna et al. 2014, Crawford et al. 2025). In this context, summer survey estimates below 1 million tonnes for each gSSMU are inconsistent with observed predator dynamics and likely underestimate krill availability.</w:t>
      </w:r>
    </w:p>
    <w:p w14:paraId="604625C7" w14:textId="77777777" w:rsidR="00476D3D" w:rsidRDefault="00000000">
      <w:pPr>
        <w:pStyle w:val="Textoindependiente"/>
      </w:pPr>
      <w:r>
        <w:lastRenderedPageBreak/>
        <w:t>As Watters et al. (2020) indicates, “krill biomass in the AP is generally sufficient to support penguin production.” As no evidene of accute adult penguin mortality has been recorded for the region (as is the case for other penguin species during accute starvation; Crawford et al. 2025), summer survey estimates below 1 Million tonnes for each gSSMU should be considered as gross subestimations of krill availability.</w:t>
      </w:r>
    </w:p>
    <w:p w14:paraId="604625C8" w14:textId="77777777" w:rsidR="00476D3D" w:rsidRDefault="00000000">
      <w:pPr>
        <w:pStyle w:val="Textoindependiente"/>
      </w:pPr>
      <w:r>
        <w:t>Winter consumption estimates were lower but more uncertain. Hill et al. (2007) estimated fish consumption of 255,990 in the Bransfield Strait and 147,440 in the Drake Passage. Penguin consumption during winter was estimated at 306,416 in the Bransfield Strait and 239,435 in the Drake Passage. Combined winter consumption by fish and penguins therefore exceeded 500,000 t and 350,000 for gSSMU #1 and #2. respectively.</w:t>
      </w:r>
    </w:p>
    <w:p w14:paraId="604625C9" w14:textId="77777777" w:rsidR="00476D3D" w:rsidRDefault="00000000">
      <w:pPr>
        <w:pStyle w:val="Textoindependiente"/>
      </w:pPr>
      <w:r>
        <w:t>Table S3. Estimated krill consumption by major predator taxa during the austral summer. Values from Hill et al. (2007), Table 15.</w:t>
      </w:r>
    </w:p>
    <w:tbl>
      <w:tblPr>
        <w:tblStyle w:val="Table"/>
        <w:tblW w:w="0" w:type="auto"/>
        <w:jc w:val="center"/>
        <w:tblLayout w:type="fixed"/>
        <w:tblLook w:val="0420" w:firstRow="1" w:lastRow="0" w:firstColumn="0" w:lastColumn="0" w:noHBand="0" w:noVBand="1"/>
      </w:tblPr>
      <w:tblGrid>
        <w:gridCol w:w="784"/>
        <w:gridCol w:w="1087"/>
        <w:gridCol w:w="1024"/>
        <w:gridCol w:w="1158"/>
        <w:gridCol w:w="1469"/>
        <w:gridCol w:w="1620"/>
        <w:gridCol w:w="1754"/>
        <w:gridCol w:w="1167"/>
        <w:gridCol w:w="1318"/>
        <w:gridCol w:w="1452"/>
      </w:tblGrid>
      <w:tr w:rsidR="00476D3D" w14:paraId="604625D4" w14:textId="77777777" w:rsidTr="00476D3D">
        <w:trPr>
          <w:cnfStyle w:val="100000000000" w:firstRow="1" w:lastRow="0" w:firstColumn="0" w:lastColumn="0" w:oddVBand="0" w:evenVBand="0" w:oddHBand="0" w:evenHBand="0" w:firstRowFirstColumn="0" w:firstRowLastColumn="0" w:lastRowFirstColumn="0" w:lastRowLastColumn="0"/>
          <w:tblHeader/>
          <w:jc w:val="center"/>
        </w:trPr>
        <w:tc>
          <w:tcPr>
            <w:tcW w:w="7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SSMU</w:t>
            </w:r>
          </w:p>
        </w:tc>
        <w:tc>
          <w:tcPr>
            <w:tcW w:w="10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No_Fish</w:t>
            </w:r>
          </w:p>
        </w:tc>
        <w:tc>
          <w:tcPr>
            <w:tcW w:w="1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No_Whales</w:t>
            </w:r>
          </w:p>
        </w:tc>
        <w:tc>
          <w:tcPr>
            <w:tcW w:w="11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No_Penguins</w:t>
            </w:r>
          </w:p>
        </w:tc>
        <w:tc>
          <w:tcPr>
            <w:tcW w:w="14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Fish_Qsummer_g</w:t>
            </w:r>
          </w:p>
        </w:tc>
        <w:tc>
          <w:tcPr>
            <w:tcW w:w="16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C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Whale_Qsummer_g</w:t>
            </w:r>
          </w:p>
        </w:tc>
        <w:tc>
          <w:tcPr>
            <w:tcW w:w="17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D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Penguin_Qsummer_g</w:t>
            </w:r>
          </w:p>
        </w:tc>
        <w:tc>
          <w:tcPr>
            <w:tcW w:w="11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D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Fish_Krill_ton</w:t>
            </w:r>
          </w:p>
        </w:tc>
        <w:tc>
          <w:tcPr>
            <w:tcW w:w="13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D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Whale_Krill_ton</w:t>
            </w:r>
          </w:p>
        </w:tc>
        <w:tc>
          <w:tcPr>
            <w:tcW w:w="14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D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Penguin_Krill_ton</w:t>
            </w:r>
          </w:p>
        </w:tc>
      </w:tr>
      <w:tr w:rsidR="00476D3D" w14:paraId="604625DF" w14:textId="77777777" w:rsidTr="00476D3D">
        <w:trPr>
          <w:jc w:val="center"/>
        </w:trPr>
        <w:tc>
          <w:tcPr>
            <w:tcW w:w="7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APDPW</w:t>
            </w:r>
          </w:p>
        </w:tc>
        <w:tc>
          <w:tcPr>
            <w:tcW w:w="10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301,932,508</w:t>
            </w:r>
          </w:p>
        </w:tc>
        <w:tc>
          <w:tcPr>
            <w:tcW w:w="1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330</w:t>
            </w:r>
          </w:p>
        </w:tc>
        <w:tc>
          <w:tcPr>
            <w:tcW w:w="11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74,798</w:t>
            </w:r>
          </w:p>
        </w:tc>
        <w:tc>
          <w:tcPr>
            <w:tcW w:w="14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1,325</w:t>
            </w:r>
          </w:p>
        </w:tc>
        <w:tc>
          <w:tcPr>
            <w:tcW w:w="16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54,942,525</w:t>
            </w:r>
          </w:p>
        </w:tc>
        <w:tc>
          <w:tcPr>
            <w:tcW w:w="17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255,235</w:t>
            </w:r>
          </w:p>
        </w:tc>
        <w:tc>
          <w:tcPr>
            <w:tcW w:w="11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400,061</w:t>
            </w:r>
          </w:p>
        </w:tc>
        <w:tc>
          <w:tcPr>
            <w:tcW w:w="13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18,131</w:t>
            </w:r>
          </w:p>
        </w:tc>
        <w:tc>
          <w:tcPr>
            <w:tcW w:w="14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D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19,091</w:t>
            </w:r>
          </w:p>
        </w:tc>
      </w:tr>
      <w:tr w:rsidR="00476D3D" w14:paraId="604625EA" w14:textId="77777777" w:rsidTr="00476D3D">
        <w:trPr>
          <w:jc w:val="center"/>
        </w:trPr>
        <w:tc>
          <w:tcPr>
            <w:tcW w:w="7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APDPE</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322,045,302</w:t>
            </w:r>
          </w:p>
        </w:tc>
        <w:tc>
          <w:tcPr>
            <w:tcW w:w="1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341</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1,084,367</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1,384</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54,942,525</w:t>
            </w:r>
          </w:p>
        </w:tc>
        <w:tc>
          <w:tcPr>
            <w:tcW w:w="17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251,591</w:t>
            </w:r>
          </w:p>
        </w:tc>
        <w:tc>
          <w:tcPr>
            <w:tcW w:w="11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445,711</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18,735</w:t>
            </w:r>
          </w:p>
        </w:tc>
        <w:tc>
          <w:tcPr>
            <w:tcW w:w="14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272,817</w:t>
            </w:r>
          </w:p>
        </w:tc>
      </w:tr>
      <w:tr w:rsidR="00476D3D" w14:paraId="604625F5" w14:textId="77777777" w:rsidTr="00476D3D">
        <w:trPr>
          <w:jc w:val="center"/>
        </w:trPr>
        <w:tc>
          <w:tcPr>
            <w:tcW w:w="7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APBSW</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438,862,551</w:t>
            </w:r>
          </w:p>
        </w:tc>
        <w:tc>
          <w:tcPr>
            <w:tcW w:w="1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460</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1,160,224</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E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1,405</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F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54,942,525</w:t>
            </w:r>
          </w:p>
        </w:tc>
        <w:tc>
          <w:tcPr>
            <w:tcW w:w="17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F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251,988</w:t>
            </w:r>
          </w:p>
        </w:tc>
        <w:tc>
          <w:tcPr>
            <w:tcW w:w="11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F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616,602</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F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25,274</w:t>
            </w:r>
          </w:p>
        </w:tc>
        <w:tc>
          <w:tcPr>
            <w:tcW w:w="14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5F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292,363</w:t>
            </w:r>
          </w:p>
        </w:tc>
      </w:tr>
      <w:tr w:rsidR="00476D3D" w14:paraId="60462600" w14:textId="77777777" w:rsidTr="00476D3D">
        <w:trPr>
          <w:jc w:val="center"/>
        </w:trPr>
        <w:tc>
          <w:tcPr>
            <w:tcW w:w="7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APBSE</w:t>
            </w:r>
          </w:p>
        </w:tc>
        <w:tc>
          <w:tcPr>
            <w:tcW w:w="10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574,691,426</w:t>
            </w:r>
          </w:p>
        </w:tc>
        <w:tc>
          <w:tcPr>
            <w:tcW w:w="1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600</w:t>
            </w:r>
          </w:p>
        </w:tc>
        <w:tc>
          <w:tcPr>
            <w:tcW w:w="11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298,817</w:t>
            </w:r>
          </w:p>
        </w:tc>
        <w:tc>
          <w:tcPr>
            <w:tcW w:w="14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1,407</w:t>
            </w:r>
          </w:p>
        </w:tc>
        <w:tc>
          <w:tcPr>
            <w:tcW w:w="16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54,942,525</w:t>
            </w:r>
          </w:p>
        </w:tc>
        <w:tc>
          <w:tcPr>
            <w:tcW w:w="17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314,812</w:t>
            </w:r>
          </w:p>
        </w:tc>
        <w:tc>
          <w:tcPr>
            <w:tcW w:w="11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808,591</w:t>
            </w:r>
          </w:p>
        </w:tc>
        <w:tc>
          <w:tcPr>
            <w:tcW w:w="13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32,966</w:t>
            </w:r>
          </w:p>
        </w:tc>
        <w:tc>
          <w:tcPr>
            <w:tcW w:w="14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5F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94,071</w:t>
            </w:r>
          </w:p>
        </w:tc>
      </w:tr>
    </w:tbl>
    <w:p w14:paraId="60462601" w14:textId="77777777" w:rsidR="00476D3D" w:rsidRDefault="00000000">
      <w:pPr>
        <w:pStyle w:val="Textoindependiente"/>
      </w:pPr>
      <w:r>
        <w:t>Table S4. Estimated krill consumption by major predator taxa during the austral winter. Values from Hill et al. (2007), Table 15.</w:t>
      </w:r>
    </w:p>
    <w:tbl>
      <w:tblPr>
        <w:tblStyle w:val="Table"/>
        <w:tblW w:w="0" w:type="auto"/>
        <w:jc w:val="center"/>
        <w:tblLayout w:type="fixed"/>
        <w:tblLook w:val="0420" w:firstRow="1" w:lastRow="0" w:firstColumn="0" w:lastColumn="0" w:noHBand="0" w:noVBand="1"/>
      </w:tblPr>
      <w:tblGrid>
        <w:gridCol w:w="784"/>
        <w:gridCol w:w="1087"/>
        <w:gridCol w:w="1024"/>
        <w:gridCol w:w="1158"/>
        <w:gridCol w:w="1318"/>
        <w:gridCol w:w="1469"/>
        <w:gridCol w:w="1603"/>
        <w:gridCol w:w="1167"/>
        <w:gridCol w:w="1318"/>
        <w:gridCol w:w="1452"/>
      </w:tblGrid>
      <w:tr w:rsidR="00476D3D" w14:paraId="6046260C" w14:textId="77777777" w:rsidTr="00476D3D">
        <w:trPr>
          <w:cnfStyle w:val="100000000000" w:firstRow="1" w:lastRow="0" w:firstColumn="0" w:lastColumn="0" w:oddVBand="0" w:evenVBand="0" w:oddHBand="0" w:evenHBand="0" w:firstRowFirstColumn="0" w:firstRowLastColumn="0" w:lastRowFirstColumn="0" w:lastRowLastColumn="0"/>
          <w:tblHeader/>
          <w:jc w:val="center"/>
        </w:trPr>
        <w:tc>
          <w:tcPr>
            <w:tcW w:w="7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SSMU</w:t>
            </w:r>
          </w:p>
        </w:tc>
        <w:tc>
          <w:tcPr>
            <w:tcW w:w="10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No_Fish</w:t>
            </w:r>
          </w:p>
        </w:tc>
        <w:tc>
          <w:tcPr>
            <w:tcW w:w="1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No_Whales</w:t>
            </w:r>
          </w:p>
        </w:tc>
        <w:tc>
          <w:tcPr>
            <w:tcW w:w="11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No_Penguins</w:t>
            </w:r>
          </w:p>
        </w:tc>
        <w:tc>
          <w:tcPr>
            <w:tcW w:w="13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Fish_Qwinter_g</w:t>
            </w:r>
          </w:p>
        </w:tc>
        <w:tc>
          <w:tcPr>
            <w:tcW w:w="14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Whale_Qwinter_g</w:t>
            </w:r>
          </w:p>
        </w:tc>
        <w:tc>
          <w:tcPr>
            <w:tcW w:w="16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Penguin_Qwinter_g</w:t>
            </w:r>
          </w:p>
        </w:tc>
        <w:tc>
          <w:tcPr>
            <w:tcW w:w="11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Fish_Krill_ton</w:t>
            </w:r>
          </w:p>
        </w:tc>
        <w:tc>
          <w:tcPr>
            <w:tcW w:w="13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Whale_Krill_ton</w:t>
            </w:r>
          </w:p>
        </w:tc>
        <w:tc>
          <w:tcPr>
            <w:tcW w:w="14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0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Penguin_Krill_ton</w:t>
            </w:r>
          </w:p>
        </w:tc>
      </w:tr>
      <w:tr w:rsidR="00476D3D" w14:paraId="60462617" w14:textId="77777777" w:rsidTr="00476D3D">
        <w:trPr>
          <w:jc w:val="center"/>
        </w:trPr>
        <w:tc>
          <w:tcPr>
            <w:tcW w:w="7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0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APDPW</w:t>
            </w:r>
          </w:p>
        </w:tc>
        <w:tc>
          <w:tcPr>
            <w:tcW w:w="10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0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301,932,508</w:t>
            </w:r>
          </w:p>
        </w:tc>
        <w:tc>
          <w:tcPr>
            <w:tcW w:w="1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0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330</w:t>
            </w:r>
          </w:p>
        </w:tc>
        <w:tc>
          <w:tcPr>
            <w:tcW w:w="11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74,798</w:t>
            </w:r>
          </w:p>
        </w:tc>
        <w:tc>
          <w:tcPr>
            <w:tcW w:w="13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227</w:t>
            </w:r>
          </w:p>
        </w:tc>
        <w:tc>
          <w:tcPr>
            <w:tcW w:w="14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6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205,329</w:t>
            </w:r>
          </w:p>
        </w:tc>
        <w:tc>
          <w:tcPr>
            <w:tcW w:w="11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68,539</w:t>
            </w:r>
          </w:p>
        </w:tc>
        <w:tc>
          <w:tcPr>
            <w:tcW w:w="13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4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15,358</w:t>
            </w:r>
          </w:p>
        </w:tc>
      </w:tr>
      <w:tr w:rsidR="00476D3D" w14:paraId="60462622" w14:textId="77777777" w:rsidTr="00476D3D">
        <w:trPr>
          <w:jc w:val="center"/>
        </w:trPr>
        <w:tc>
          <w:tcPr>
            <w:tcW w:w="7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APDPE</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322,045,302</w:t>
            </w:r>
          </w:p>
        </w:tc>
        <w:tc>
          <w:tcPr>
            <w:tcW w:w="1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341</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1,084,367</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245</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D"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206,643</w:t>
            </w:r>
          </w:p>
        </w:tc>
        <w:tc>
          <w:tcPr>
            <w:tcW w:w="11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1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78,901</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4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224,077</w:t>
            </w:r>
          </w:p>
        </w:tc>
      </w:tr>
      <w:tr w:rsidR="00476D3D" w14:paraId="6046262D" w14:textId="77777777" w:rsidTr="00476D3D">
        <w:trPr>
          <w:jc w:val="center"/>
        </w:trPr>
        <w:tc>
          <w:tcPr>
            <w:tcW w:w="7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APBSW</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438,862,551</w:t>
            </w:r>
          </w:p>
        </w:tc>
        <w:tc>
          <w:tcPr>
            <w:tcW w:w="1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460</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1,160,224</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252</w:t>
            </w:r>
          </w:p>
        </w:tc>
        <w:tc>
          <w:tcPr>
            <w:tcW w:w="14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8"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9"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206,499</w:t>
            </w:r>
          </w:p>
        </w:tc>
        <w:tc>
          <w:tcPr>
            <w:tcW w:w="11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A"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110,593</w:t>
            </w:r>
          </w:p>
        </w:tc>
        <w:tc>
          <w:tcPr>
            <w:tcW w:w="1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B"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4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262C"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239,585</w:t>
            </w:r>
          </w:p>
        </w:tc>
      </w:tr>
      <w:tr w:rsidR="00476D3D" w14:paraId="60462638" w14:textId="77777777" w:rsidTr="00476D3D">
        <w:trPr>
          <w:jc w:val="center"/>
        </w:trPr>
        <w:tc>
          <w:tcPr>
            <w:tcW w:w="7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2E"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APBSE</w:t>
            </w:r>
          </w:p>
        </w:tc>
        <w:tc>
          <w:tcPr>
            <w:tcW w:w="10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2F"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574,691,426</w:t>
            </w:r>
          </w:p>
        </w:tc>
        <w:tc>
          <w:tcPr>
            <w:tcW w:w="1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0"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600</w:t>
            </w:r>
          </w:p>
        </w:tc>
        <w:tc>
          <w:tcPr>
            <w:tcW w:w="11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1"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298,817</w:t>
            </w:r>
          </w:p>
        </w:tc>
        <w:tc>
          <w:tcPr>
            <w:tcW w:w="13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2"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253</w:t>
            </w:r>
          </w:p>
        </w:tc>
        <w:tc>
          <w:tcPr>
            <w:tcW w:w="14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3"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6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4"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223,652</w:t>
            </w:r>
          </w:p>
        </w:tc>
        <w:tc>
          <w:tcPr>
            <w:tcW w:w="11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5"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145,397</w:t>
            </w:r>
          </w:p>
        </w:tc>
        <w:tc>
          <w:tcPr>
            <w:tcW w:w="13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6"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rPr>
                <w:rFonts w:ascii="Arial" w:eastAsia="Arial" w:hAnsi="Arial" w:cs="Arial"/>
                <w:color w:val="000000"/>
                <w:sz w:val="16"/>
                <w:szCs w:val="16"/>
              </w:rPr>
            </w:pPr>
            <w:r>
              <w:rPr>
                <w:rFonts w:ascii="Arial" w:eastAsia="Arial" w:hAnsi="Arial" w:cs="Arial"/>
                <w:color w:val="000000"/>
                <w:sz w:val="16"/>
                <w:szCs w:val="16"/>
              </w:rPr>
              <w:t xml:space="preserve"> -   </w:t>
            </w:r>
          </w:p>
        </w:tc>
        <w:tc>
          <w:tcPr>
            <w:tcW w:w="14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62637" w14:textId="77777777" w:rsidR="00476D3D"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Arial" w:eastAsia="Arial" w:hAnsi="Arial" w:cs="Arial"/>
                <w:color w:val="000000"/>
                <w:sz w:val="16"/>
                <w:szCs w:val="16"/>
              </w:rPr>
            </w:pPr>
            <w:r>
              <w:rPr>
                <w:rFonts w:ascii="Arial" w:eastAsia="Arial" w:hAnsi="Arial" w:cs="Arial"/>
                <w:color w:val="000000"/>
                <w:sz w:val="16"/>
                <w:szCs w:val="16"/>
              </w:rPr>
              <w:t>66,831</w:t>
            </w:r>
          </w:p>
        </w:tc>
      </w:tr>
    </w:tbl>
    <w:p w14:paraId="60462639" w14:textId="77777777" w:rsidR="00476D3D" w:rsidRDefault="00000000">
      <w:pPr>
        <w:pStyle w:val="Ttulo1"/>
      </w:pPr>
      <w:bookmarkStart w:id="4" w:name="citations"/>
      <w:bookmarkEnd w:id="3"/>
      <w:r>
        <w:t>Citations</w:t>
      </w:r>
    </w:p>
    <w:p w14:paraId="6046263A" w14:textId="77777777" w:rsidR="00476D3D" w:rsidRDefault="00000000">
      <w:pPr>
        <w:pStyle w:val="FirstParagraph"/>
      </w:pPr>
      <w:r>
        <w:t>Hill, S., K. Reid, S. E. Thorpe, J. T. Hinke, and G. M. Watters. 2007. “A Compilation of Parameters for Ecosystem Dynamics Models of the Scotia Sea–Antarctic Peninsula Region.” CCAMLR Science 14: 1-25.</w:t>
      </w:r>
    </w:p>
    <w:p w14:paraId="6046263B" w14:textId="77777777" w:rsidR="00476D3D" w:rsidRDefault="00000000">
      <w:pPr>
        <w:pStyle w:val="Textoindependiente"/>
      </w:pPr>
      <w:r>
        <w:t>Vianna J.A. , M. Cortez, B. Ramos, N. Sallaberry-Pincheira, D. González-Acuña, G. P. M. Dantas, J. Morgante, A. Simeone, and G. Luna-Jorquera. 2014. Changes in abundance and distribution of Humboldt penguin Spheniscus humboldti. Marine Ornithology 42:153-159.</w:t>
      </w:r>
    </w:p>
    <w:p w14:paraId="6046263C" w14:textId="77777777" w:rsidR="00476D3D" w:rsidRDefault="00000000">
      <w:pPr>
        <w:pStyle w:val="Textoindependiente"/>
      </w:pPr>
      <w:r>
        <w:t xml:space="preserve">Watters, George M., Jefferson T. Hinke, and Christian S. Reiss. 2020. “Long-Term Observations from Antarctica Demonstrate That Mismatched Scales of Fisheries Management and Predator-Prey Interaction Lead to Erroneous Conclusions about Precaution.” Scientific Reports 10 (1). </w:t>
      </w:r>
      <w:hyperlink r:id="rId15">
        <w:r>
          <w:rPr>
            <w:rStyle w:val="Hipervnculo"/>
          </w:rPr>
          <w:t>https://doi.org/10.1038/s41598-020-59223-9</w:t>
        </w:r>
      </w:hyperlink>
      <w:r>
        <w:t>.</w:t>
      </w:r>
      <w:bookmarkEnd w:id="4"/>
    </w:p>
    <w:sectPr w:rsidR="00476D3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DDD9" w14:textId="77777777" w:rsidR="00467167" w:rsidRDefault="00467167">
      <w:pPr>
        <w:spacing w:after="0"/>
      </w:pPr>
      <w:r>
        <w:separator/>
      </w:r>
    </w:p>
  </w:endnote>
  <w:endnote w:type="continuationSeparator" w:id="0">
    <w:p w14:paraId="02D59416" w14:textId="77777777" w:rsidR="00467167" w:rsidRDefault="004671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7AD5" w14:textId="77777777" w:rsidR="00467167" w:rsidRDefault="00467167">
      <w:r>
        <w:separator/>
      </w:r>
    </w:p>
  </w:footnote>
  <w:footnote w:type="continuationSeparator" w:id="0">
    <w:p w14:paraId="47989C65" w14:textId="77777777" w:rsidR="00467167" w:rsidRDefault="00467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5481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015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DIxNzQ3MDAwNTAxMbZQ0lEKTi0uzszPAykwrAUA4nKY8SwAAAA="/>
  </w:docVars>
  <w:rsids>
    <w:rsidRoot w:val="00476D3D"/>
    <w:rsid w:val="000E2DD8"/>
    <w:rsid w:val="00467167"/>
    <w:rsid w:val="00476D3D"/>
    <w:rsid w:val="00A7798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2566"/>
  <w15:docId w15:val="{0DAE044D-D5CE-4E14-9456-F9502142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38/s41598-020-59223-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1814</Words>
  <Characters>9564</Characters>
  <Application>Microsoft Office Word</Application>
  <DocSecurity>0</DocSecurity>
  <Lines>308</Lines>
  <Paragraphs>223</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Supplemtary material: A Rebuttal to Watters et al. (2020): Misinterpretation of Predator-Prey Dynamics leading to erroneous Precautionary Management in Antarctic Krill Fisheries</dc:title>
  <dc:creator/>
  <cp:keywords/>
  <cp:lastModifiedBy>JAVIER ARATA</cp:lastModifiedBy>
  <cp:revision>2</cp:revision>
  <dcterms:created xsi:type="dcterms:W3CDTF">2026-01-09T22:34:00Z</dcterms:created>
  <dcterms:modified xsi:type="dcterms:W3CDTF">2026-01-09T22:35:00Z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date">
    <vt:lpwstr>2026-01-09</vt:lpwstr>
  </property>
  <property fmtid="{D5CDD505-2E9C-101B-9397-08002B2CF9AE}" pid="5" name="editor_options">
    <vt:lpwstr/>
  </property>
  <property fmtid="{D5CDD505-2E9C-101B-9397-08002B2CF9AE}" pid="6" name="geometry">
    <vt:lpwstr>margin=3cm</vt:lpwstr>
  </property>
  <property fmtid="{D5CDD505-2E9C-101B-9397-08002B2CF9AE}" pid="7" name="header-includes">
    <vt:lpwstr/>
  </property>
  <property fmtid="{D5CDD505-2E9C-101B-9397-08002B2CF9AE}" pid="8" name="output">
    <vt:lpwstr>word_document</vt:lpwstr>
  </property>
</Properties>
</file>