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0.png" ContentType="image/png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</w:t>
      </w:r>
      <w:r>
        <w:t xml:space="preserve"> </w:t>
      </w:r>
      <w:r>
        <w:t xml:space="preserve">Rebuttal</w:t>
      </w:r>
      <w:r>
        <w:t xml:space="preserve"> </w:t>
      </w:r>
      <w:r>
        <w:t xml:space="preserve">to</w:t>
      </w:r>
      <w:r>
        <w:t xml:space="preserve"> </w:t>
      </w:r>
      <w:r>
        <w:t xml:space="preserve">Watters</w:t>
      </w:r>
      <w:r>
        <w:t xml:space="preserve"> </w:t>
      </w:r>
      <w:r>
        <w:t xml:space="preserve">et</w:t>
      </w:r>
      <w:r>
        <w:t xml:space="preserve"> </w:t>
      </w:r>
      <w:r>
        <w:t xml:space="preserve">al. (2020):</w:t>
      </w:r>
      <w:r>
        <w:t xml:space="preserve"> </w:t>
      </w:r>
      <w:r>
        <w:t xml:space="preserve">Misinterpretation</w:t>
      </w:r>
      <w:r>
        <w:t xml:space="preserve"> </w:t>
      </w:r>
      <w:r>
        <w:t xml:space="preserve">of</w:t>
      </w:r>
      <w:r>
        <w:t xml:space="preserve"> </w:t>
      </w:r>
      <w:r>
        <w:t xml:space="preserve">Predator-Prey</w:t>
      </w:r>
      <w:r>
        <w:t xml:space="preserve"> </w:t>
      </w:r>
      <w:r>
        <w:t xml:space="preserve">Dynamics</w:t>
      </w:r>
      <w:r>
        <w:t xml:space="preserve"> </w:t>
      </w:r>
      <w:r>
        <w:t xml:space="preserve">leading</w:t>
      </w:r>
      <w:r>
        <w:t xml:space="preserve"> </w:t>
      </w:r>
      <w:r>
        <w:t xml:space="preserve">to</w:t>
      </w:r>
      <w:r>
        <w:t xml:space="preserve"> </w:t>
      </w:r>
      <w:r>
        <w:t xml:space="preserve">erroneous</w:t>
      </w:r>
      <w:r>
        <w:t xml:space="preserve"> </w:t>
      </w:r>
      <w:r>
        <w:t xml:space="preserve">Precautionary</w:t>
      </w:r>
      <w:r>
        <w:t xml:space="preserve"> </w:t>
      </w:r>
      <w:r>
        <w:t xml:space="preserve">Management</w:t>
      </w:r>
      <w:r>
        <w:t xml:space="preserve"> </w:t>
      </w:r>
      <w:r>
        <w:t xml:space="preserve">in</w:t>
      </w:r>
      <w:r>
        <w:t xml:space="preserve"> </w:t>
      </w:r>
      <w:r>
        <w:t xml:space="preserve">Antarctic</w:t>
      </w:r>
      <w:r>
        <w:t xml:space="preserve"> </w:t>
      </w:r>
      <w:r>
        <w:t xml:space="preserve">Krill</w:t>
      </w:r>
      <w:r>
        <w:t xml:space="preserve"> </w:t>
      </w:r>
      <w:r>
        <w:t xml:space="preserve">Fisheries</w:t>
      </w:r>
    </w:p>
    <w:p>
      <w:pPr>
        <w:pStyle w:val="Date"/>
      </w:pPr>
      <w:r>
        <w:t xml:space="preserve">2025-12-17</w:t>
      </w:r>
    </w:p>
    <w:bookmarkStart w:id="26" w:name="a.-analysis-of-survey-coverage"/>
    <w:p>
      <w:pPr>
        <w:pStyle w:val="Heading1"/>
      </w:pPr>
      <w:r>
        <w:t xml:space="preserve">A. Analysis of Survey Coverage</w:t>
      </w:r>
    </w:p>
    <w:p>
      <w:pPr>
        <w:pStyle w:val="FirstParagraph"/>
      </w:pPr>
      <w:r>
        <w:t xml:space="preserve">Survey coverage, expressed as nautical miles surveyed within each gSSMU</w:t>
      </w:r>
      <w:r>
        <w:t xml:space="preserve"> </w:t>
      </w:r>
      <w:r>
        <w:t xml:space="preserve">and survey leg, varied among years and between legs. In most years, two</w:t>
      </w:r>
      <w:r>
        <w:t xml:space="preserve"> </w:t>
      </w:r>
      <w:r>
        <w:t xml:space="preserve">survey legs were conducted. Watters et al. (2020) proposed excluding</w:t>
      </w:r>
      <w:r>
        <w:t xml:space="preserve"> </w:t>
      </w:r>
      <w:r>
        <w:t xml:space="preserve">surveys with transect coverage of 80 nm or less, but did not apply this</w:t>
      </w:r>
      <w:r>
        <w:t xml:space="preserve"> </w:t>
      </w:r>
      <w:r>
        <w:t xml:space="preserve">criterion.</w:t>
      </w:r>
    </w:p>
    <w:p>
      <w:pPr>
        <w:pStyle w:val="BodyText"/>
      </w:pPr>
      <w:r>
        <w:t xml:space="preserve">Rather than applying a fixed threshold, we examined the frequency</w:t>
      </w:r>
      <w:r>
        <w:t xml:space="preserve"> </w:t>
      </w:r>
      <w:r>
        <w:t xml:space="preserve">distribution of surveyed transect lengths for gSSMUs 1 and 2 separately</w:t>
      </w:r>
      <w:r>
        <w:t xml:space="preserve"> </w:t>
      </w:r>
      <w:r>
        <w:t xml:space="preserve">and excluded surveys falling below the lower 10th percentile, rounded up</w:t>
      </w:r>
      <w:r>
        <w:t xml:space="preserve"> </w:t>
      </w:r>
      <w:r>
        <w:t xml:space="preserve">to the nearest 10 nm. This approach resulted in the exclusion of three</w:t>
      </w:r>
      <w:r>
        <w:t xml:space="preserve"> </w:t>
      </w:r>
      <w:r>
        <w:t xml:space="preserve">survey legs in gSSMU 1 (≤10 nm; 1996, 1999, 2010, and 2012) and four</w:t>
      </w:r>
      <w:r>
        <w:t xml:space="preserve"> </w:t>
      </w:r>
      <w:r>
        <w:t xml:space="preserve">survey legs in gSSMU 2 (≤200 nm; 2010, 2011, 2012, and 2015) (Figure</w:t>
      </w:r>
      <w:r>
        <w:t xml:space="preserve"> </w:t>
      </w:r>
      <w:r>
        <w:t xml:space="preserve">S1).</w:t>
      </w:r>
    </w:p>
    <w:p>
      <w:pPr>
        <w:pStyle w:val="BodyText"/>
      </w:pPr>
      <w:r>
        <w:drawing>
          <wp:inline>
            <wp:extent cx="4267200" cy="2560320"/>
            <wp:effectExtent b="0" l="0" r="0" t="0"/>
            <wp:docPr descr="Figure S1: Survey coverage (total transect length surveyed) by gSSMU and year (up). Frequency distribution of total transect length, including the 10th percentile (dashed line) is shown below." title="" id="21" name="Picture"/>
            <a:graphic>
              <a:graphicData uri="http://schemas.openxmlformats.org/drawingml/2006/picture">
                <pic:pic>
                  <pic:nvPicPr>
                    <pic:cNvPr descr="Watters_Rebutt_Suppl_Mat_files/figure-docx/Survey%20cover%20effor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267200" cy="2560320"/>
            <wp:effectExtent b="0" l="0" r="0" t="0"/>
            <wp:docPr descr="Figure S1: Survey coverage (total transect length surveyed) by gSSMU and year (up). Frequency distribution of total transect length, including the 10th percentile (dashed line) is shown below." title="" id="24" name="Picture"/>
            <a:graphic>
              <a:graphicData uri="http://schemas.openxmlformats.org/drawingml/2006/picture">
                <pic:pic>
                  <pic:nvPicPr>
                    <pic:cNvPr descr="Watters_Rebutt_Suppl_Mat_files/figure-docx/Survey%20cover%20effort-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S1. Annual survey coverage (total transect length surveyed) by</w:t>
      </w:r>
      <w:r>
        <w:t xml:space="preserve"> </w:t>
      </w:r>
      <w:r>
        <w:t xml:space="preserve">gSSMU, year and survey leg [top panel]. Frequency distribution of summed</w:t>
      </w:r>
      <w:r>
        <w:t xml:space="preserve"> </w:t>
      </w:r>
      <w:r>
        <w:t xml:space="preserve">transect lengths across all surveys, with the 10th percentile marked by</w:t>
      </w:r>
      <w:r>
        <w:t xml:space="preserve"> </w:t>
      </w:r>
      <w:r>
        <w:t xml:space="preserve">the dashed line [bottom panel].</w:t>
      </w:r>
    </w:p>
    <w:p>
      <w:r>
        <w:br w:type="page"/>
      </w:r>
    </w:p>
    <w:bookmarkEnd w:id="26"/>
    <w:bookmarkStart w:id="33" w:name="Xdec01b5238bb5b03d97df130ad70050d4a88b3b"/>
    <w:p>
      <w:pPr>
        <w:pStyle w:val="Heading1"/>
      </w:pPr>
      <w:r>
        <w:t xml:space="preserve">B. Distribution of observed vs imputed summer ln</w:t>
      </w:r>
      <w:r>
        <w:rPr>
          <w:iCs/>
          <w:i/>
        </w:rPr>
        <w:t xml:space="preserve">LKB</w:t>
      </w:r>
      <w:r>
        <w:t xml:space="preserve"> </w:t>
      </w:r>
      <w:r>
        <w:t xml:space="preserve">values</w:t>
      </w:r>
    </w:p>
    <w:p>
      <w:pPr>
        <w:pStyle w:val="FirstParagraph"/>
      </w:pPr>
      <w:r>
        <w:t xml:space="preserve">We evaluated the procedure used to impute LKB values in years without</w:t>
      </w:r>
      <w:r>
        <w:t xml:space="preserve"> </w:t>
      </w:r>
      <w:r>
        <w:t xml:space="preserve">survey data. First, we assessed whether ln</w:t>
      </w:r>
      <w:r>
        <w:rPr>
          <w:iCs/>
          <w:i/>
        </w:rPr>
        <w:t xml:space="preserve">LKB</w:t>
      </w:r>
      <w:r>
        <w:t xml:space="preserve"> </w:t>
      </w:r>
      <w:r>
        <w:t xml:space="preserve">from survey observations</w:t>
      </w:r>
      <w:r>
        <w:t xml:space="preserve"> </w:t>
      </w:r>
      <w:r>
        <w:t xml:space="preserve">followed an appropriate parametric distribution. We then generated</w:t>
      </w:r>
      <w:r>
        <w:t xml:space="preserve"> </w:t>
      </w:r>
      <w:r>
        <w:t xml:space="preserve">imputed ln</w:t>
      </w:r>
      <w:r>
        <w:rPr>
          <w:iCs/>
          <w:i/>
        </w:rPr>
        <w:t xml:space="preserve">LKB</w:t>
      </w:r>
      <w:r>
        <w:t xml:space="preserve"> </w:t>
      </w:r>
      <w:r>
        <w:t xml:space="preserve">values following equations (1) and (2) of Watters et al.</w:t>
      </w:r>
      <w:r>
        <w:t xml:space="preserve"> </w:t>
      </w:r>
      <w:r>
        <w:t xml:space="preserve">(2020) and compared the resulting distributions with the empirical</w:t>
      </w:r>
      <w:r>
        <w:t xml:space="preserve"> </w:t>
      </w:r>
      <w:r>
        <w:t xml:space="preserve">distribution of observed data.</w:t>
      </w:r>
    </w:p>
    <w:p>
      <w:pPr>
        <w:pStyle w:val="BodyText"/>
      </w:pPr>
      <w:r>
        <w:t xml:space="preserve">We fitted a log-normal distribution to the survey-based LKB data and</w:t>
      </w:r>
      <w:r>
        <w:t xml:space="preserve"> </w:t>
      </w:r>
      <w:r>
        <w:t xml:space="preserve">assessed normality of ln</w:t>
      </w:r>
      <w:r>
        <w:rPr>
          <w:iCs/>
          <w:i/>
        </w:rPr>
        <w:t xml:space="preserve">LKB</w:t>
      </w:r>
      <w:r>
        <w:t xml:space="preserve"> </w:t>
      </w:r>
      <w:r>
        <w:t xml:space="preserve">using the Shapiro–Wilk test. Using the</w:t>
      </w:r>
      <w:r>
        <w:t xml:space="preserve"> </w:t>
      </w:r>
      <w:r>
        <w:t xml:space="preserve">same parameterization, we generated 100,000 imputed ln</w:t>
      </w:r>
      <w:r>
        <w:rPr>
          <w:iCs/>
          <w:i/>
        </w:rPr>
        <w:t xml:space="preserve">LKB</w:t>
      </w:r>
      <w:r>
        <w:t xml:space="preserve"> </w:t>
      </w:r>
      <w:r>
        <w:t xml:space="preserve">values from</w:t>
      </w:r>
      <w:r>
        <w:t xml:space="preserve"> </w:t>
      </w:r>
      <w:r>
        <w:t xml:space="preserve">equations (1) and (2), applying lower and upper bounds of 10,000 t and 1</w:t>
      </w:r>
      <w:r>
        <w:t xml:space="preserve"> </w:t>
      </w:r>
      <w:r>
        <w:t xml:space="preserve">× 10⁹ t, respectively, as defined in Supplementary Material S1.</w:t>
      </w:r>
      <w:r>
        <w:t xml:space="preserve"> </w:t>
      </w:r>
      <w:r>
        <w:t xml:space="preserve">Normality of the imputed ln</w:t>
      </w:r>
      <w:r>
        <w:rPr>
          <w:iCs/>
          <w:i/>
        </w:rPr>
        <w:t xml:space="preserve">LKB</w:t>
      </w:r>
      <w:r>
        <w:t xml:space="preserve"> </w:t>
      </w:r>
      <w:r>
        <w:t xml:space="preserve">distribution was then re-evaluated</w:t>
      </w:r>
      <w:r>
        <w:t xml:space="preserve"> </w:t>
      </w:r>
      <w:r>
        <w:t xml:space="preserve">using the Shapiro–Wilk test.</w:t>
      </w:r>
    </w:p>
    <w:p>
      <w:pPr>
        <w:pStyle w:val="BodyText"/>
      </w:pPr>
      <w:r>
        <w:t xml:space="preserve">Observed survey-based LKB distributions for all gSSMU–SAM combinations</w:t>
      </w:r>
      <w:r>
        <w:t xml:space="preserve"> </w:t>
      </w:r>
      <w:r>
        <w:t xml:space="preserve">were well described by a log-normal distribution (Supplementary</w:t>
      </w:r>
      <w:r>
        <w:t xml:space="preserve"> </w:t>
      </w:r>
      <w:r>
        <w:t xml:space="preserve">Material, Table S1; Figure S2). In contrast, ln(LKB) values generated</w:t>
      </w:r>
      <w:r>
        <w:t xml:space="preserve"> </w:t>
      </w:r>
      <w:r>
        <w:t xml:space="preserve">through the imputation procedure of Watters et al. (2020) were</w:t>
      </w:r>
      <w:r>
        <w:t xml:space="preserve"> </w:t>
      </w:r>
      <w:r>
        <w:t xml:space="preserve">concentrated toward the upper bound of the imposed limits, with mean</w:t>
      </w:r>
      <w:r>
        <w:t xml:space="preserve"> </w:t>
      </w:r>
      <w:r>
        <w:t xml:space="preserve">ln(LKB) values of 17.5–17.7 (approximately 44 Mt), and did not conform</w:t>
      </w:r>
      <w:r>
        <w:t xml:space="preserve"> </w:t>
      </w:r>
      <w:r>
        <w:t xml:space="preserve">to a log-normal distribution (Supplementary Material, Table S2; Figure</w:t>
      </w:r>
      <w:r>
        <w:t xml:space="preserve"> </w:t>
      </w:r>
      <w:r>
        <w:t xml:space="preserve">S3).</w:t>
      </w:r>
    </w:p>
    <w:p>
      <w:pPr>
        <w:pStyle w:val="BodyText"/>
      </w:pPr>
      <w:r>
        <w:t xml:space="preserve">Table S1. Shapiro–Wilk test results for normality of observed</w:t>
      </w:r>
      <w:r>
        <w:t xml:space="preserve"> </w:t>
      </w:r>
      <w:r>
        <w:t xml:space="preserve">log-transformed LKB values, reported by gSSMU and SAM sign. Columns show</w:t>
      </w:r>
      <w:r>
        <w:t xml:space="preserve"> </w:t>
      </w:r>
      <w:r>
        <w:t xml:space="preserve">sample size (n), p-value, and W-statistic.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gSSMU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sam.sign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</w:tr>
    </w:tbl>
    <w:p>
      <w:pPr>
        <w:pStyle w:val="BodyText"/>
      </w:pPr>
      <w:r>
        <w:t xml:space="preserve">Table S2. Shapiro–Wilk test results for normality of imputed</w:t>
      </w:r>
      <w:r>
        <w:t xml:space="preserve"> </w:t>
      </w:r>
      <w:r>
        <w:t xml:space="preserve">log-transformed LKB values. The table reports the total number of</w:t>
      </w:r>
      <w:r>
        <w:t xml:space="preserve"> </w:t>
      </w:r>
      <w:r>
        <w:t xml:space="preserve">imputations generated (n_total), the subsample used for the test</w:t>
      </w:r>
      <w:r>
        <w:t xml:space="preserve"> </w:t>
      </w:r>
      <w:r>
        <w:t xml:space="preserve">(n_used), and the corresponding W and p values for each gSSMU and SAM</w:t>
      </w:r>
      <w:r>
        <w:t xml:space="preserve"> </w:t>
      </w:r>
      <w:r>
        <w:t xml:space="preserve">sign.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gSSMU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sam.sign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drawing>
          <wp:inline>
            <wp:extent cx="4267200" cy="298704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Watters_Rebutt_Suppl_Mat_files/figure-docx/Survey%20histo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S2. Distribution of ln-transformed acoustic biomass (LnSurvey)</w:t>
      </w:r>
      <w:r>
        <w:t xml:space="preserve"> </w:t>
      </w:r>
      <w:r>
        <w:t xml:space="preserve">shown as histograms stratified by gSSMU (1, 2) and SAM sign (Neg, Pos).</w:t>
      </w:r>
      <w:r>
        <w:t xml:space="preserve"> </w:t>
      </w:r>
      <w:r>
        <w:t xml:space="preserve">The solid curve in each panel shows the log-normal density fitted to the</w:t>
      </w:r>
      <w:r>
        <w:t xml:space="preserve"> </w:t>
      </w:r>
      <w:r>
        <w:t xml:space="preserve">observed survey values.</w:t>
      </w:r>
    </w:p>
    <w:p>
      <w:pPr>
        <w:pStyle w:val="BodyText"/>
      </w:pPr>
      <w:r>
        <w:drawing>
          <wp:inline>
            <wp:extent cx="4267200" cy="276957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Watters_Rebutt_Suppl_Mat_files/figure-docx/Imputed%20Survey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769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S3. Distribution of ln-transformed imputed biomass (LnSurvey)</w:t>
      </w:r>
      <w:r>
        <w:t xml:space="preserve"> </w:t>
      </w:r>
      <w:r>
        <w:t xml:space="preserve">shown as histograms stratified by gSSMU (1, 2) and SAM sign (Neg, Pos).</w:t>
      </w:r>
      <w:r>
        <w:t xml:space="preserve"> </w:t>
      </w:r>
      <w:r>
        <w:t xml:space="preserve">The solid curve in each panel shows the log-normal density fitted to the</w:t>
      </w:r>
      <w:r>
        <w:t xml:space="preserve"> </w:t>
      </w:r>
      <w:r>
        <w:t xml:space="preserve">observed survey values.</w:t>
      </w:r>
    </w:p>
    <w:p>
      <w:r>
        <w:br w:type="page"/>
      </w:r>
    </w:p>
    <w:bookmarkEnd w:id="33"/>
    <w:bookmarkStart w:id="35" w:name="citations"/>
    <w:p>
      <w:pPr>
        <w:pStyle w:val="Heading1"/>
      </w:pPr>
      <w:r>
        <w:t xml:space="preserve">Citations</w:t>
      </w:r>
    </w:p>
    <w:p>
      <w:pPr>
        <w:pStyle w:val="FirstParagraph"/>
      </w:pPr>
      <w:r>
        <w:t xml:space="preserve">Watters, George M., Jefferson T. Hinke, and Christian S. Reiss. 2020.</w:t>
      </w:r>
      <w:r>
        <w:t xml:space="preserve"> </w:t>
      </w:r>
      <w:r>
        <w:t xml:space="preserve">"Long-Term Observations from Antarctica Demonstrate That Mismatched</w:t>
      </w:r>
      <w:r>
        <w:t xml:space="preserve"> </w:t>
      </w:r>
      <w:r>
        <w:t xml:space="preserve">Scales of Fisheries Management and Predator-Prey Interaction Lead to</w:t>
      </w:r>
      <w:r>
        <w:t xml:space="preserve"> </w:t>
      </w:r>
      <w:r>
        <w:t xml:space="preserve">Erroneous Conclusions about Precaution." Scientific Reports 10 (1).</w:t>
      </w:r>
      <w:r>
        <w:t xml:space="preserve"> </w:t>
      </w:r>
      <w:hyperlink r:id="rId34">
        <w:r>
          <w:rPr>
            <w:rStyle w:val="Hyperlink"/>
          </w:rPr>
          <w:t xml:space="preserve">https://doi.org/10.1038/s41598-020-59223-9</w:t>
        </w:r>
      </w:hyperlink>
      <w:r>
        <w:t xml:space="preserve">.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34" Target="https://doi.org/10.1038/s41598-020-59223-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oi.org/10.1038/s41598-020-59223-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Rebuttal to Watters et al. (2020): Misinterpretation of Predator-Prey Dynamics leading to erroneous Precautionary Management in Antarctic Krill Fisheries</dc:title>
  <dc:creator/>
  <cp:keywords/>
  <dcterms:created xsi:type="dcterms:W3CDTF">2025-12-17T18:50:33Z</dcterms:created>
  <dcterms:modified xsi:type="dcterms:W3CDTF">2025-12-17T18:50:33Z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/>
  </property>
  <property fmtid="{D5CDD505-2E9C-101B-9397-08002B2CF9AE}" pid="3" name="always_allow_html">
    <vt:lpwstr>True</vt:lpwstr>
  </property>
  <property fmtid="{D5CDD505-2E9C-101B-9397-08002B2CF9AE}" pid="4" name="date">
    <vt:lpwstr>2025-12-17</vt:lpwstr>
  </property>
  <property fmtid="{D5CDD505-2E9C-101B-9397-08002B2CF9AE}" pid="5" name="editor_options">
    <vt:lpwstr/>
  </property>
  <property fmtid="{D5CDD505-2E9C-101B-9397-08002B2CF9AE}" pid="6" name="geometry">
    <vt:lpwstr>margin=3cm</vt:lpwstr>
  </property>
  <property fmtid="{D5CDD505-2E9C-101B-9397-08002B2CF9AE}" pid="7" name="header-includes">
    <vt:lpwstr/>
  </property>
  <property fmtid="{D5CDD505-2E9C-101B-9397-08002B2CF9AE}" pid="8" name="output">
    <vt:lpwstr>word_document</vt:lpwstr>
  </property>
</Properties>
</file>