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60.png" ContentType="image/png"/>
  <Override PartName="/word/media/rId63.png" ContentType="image/png"/>
  <Override PartName="/word/media/rId42.png" ContentType="image/png"/>
  <Override PartName="/word/media/rId45.png" ContentType="image/png"/>
  <Override PartName="/word/media/rId107.png" ContentType="image/png"/>
  <Override PartName="/word/media/rId101.png" ContentType="image/png"/>
  <Override PartName="/word/media/rId48.png" ContentType="image/png"/>
  <Override PartName="/word/media/rId51.png" ContentType="image/png"/>
  <Override PartName="/word/media/rId30.png" ContentType="image/png"/>
  <Override PartName="/word/media/rId33.png" ContentType="image/png"/>
  <Override PartName="/word/media/rId67.png" ContentType="image/png"/>
  <Override PartName="/word/media/rId70.png" ContentType="image/png"/>
  <Override PartName="/word/media/rId76.png" ContentType="image/png"/>
  <Override PartName="/word/media/rId73.png" ContentType="image/png"/>
  <Override PartName="/word/media/rId82.png" ContentType="image/png"/>
  <Override PartName="/word/media/rId79.png" ContentType="image/png"/>
  <Override PartName="/word/media/rId89.png" ContentType="image/png"/>
  <Override PartName="/word/media/rId86.png" ContentType="image/png"/>
  <Override PartName="/word/media/rId27.png" ContentType="image/png"/>
  <Override PartName="/word/media/rId54.png" ContentType="image/png"/>
  <Override PartName="/word/media/rId57.png" ContentType="image/png"/>
  <Override PartName="/word/media/rId36.png" ContentType="image/png"/>
  <Override PartName="/word/media/rId39.png" ContentType="image/png"/>
  <Override PartName="/word/media/rId95.png" ContentType="image/png"/>
  <Override PartName="/word/media/rId92.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A</w:t>
      </w:r>
      <w:r>
        <w:t xml:space="preserve"> </w:t>
      </w:r>
      <w:r>
        <w:t xml:space="preserve">Rebuttal</w:t>
      </w:r>
      <w:r>
        <w:t xml:space="preserve"> </w:t>
      </w:r>
      <w:r>
        <w:t xml:space="preserve">to</w:t>
      </w:r>
      <w:r>
        <w:t xml:space="preserve"> </w:t>
      </w:r>
      <w:r>
        <w:t xml:space="preserve">Watters</w:t>
      </w:r>
      <w:r>
        <w:t xml:space="preserve"> </w:t>
      </w:r>
      <w:r>
        <w:t xml:space="preserve">et</w:t>
      </w:r>
      <w:r>
        <w:t xml:space="preserve"> </w:t>
      </w:r>
      <w:r>
        <w:t xml:space="preserve">al. (2020):</w:t>
      </w:r>
      <w:r>
        <w:t xml:space="preserve"> </w:t>
      </w:r>
      <w:r>
        <w:t xml:space="preserve">Misinterpretation</w:t>
      </w:r>
      <w:r>
        <w:t xml:space="preserve"> </w:t>
      </w:r>
      <w:r>
        <w:t xml:space="preserve">of</w:t>
      </w:r>
      <w:r>
        <w:t xml:space="preserve"> </w:t>
      </w:r>
      <w:r>
        <w:t xml:space="preserve">Predator-Prey</w:t>
      </w:r>
      <w:r>
        <w:t xml:space="preserve"> </w:t>
      </w:r>
      <w:r>
        <w:t xml:space="preserve">Dynamics</w:t>
      </w:r>
      <w:r>
        <w:t xml:space="preserve"> </w:t>
      </w:r>
      <w:r>
        <w:t xml:space="preserve">leading</w:t>
      </w:r>
      <w:r>
        <w:t xml:space="preserve"> </w:t>
      </w:r>
      <w:r>
        <w:t xml:space="preserve">to</w:t>
      </w:r>
      <w:r>
        <w:t xml:space="preserve"> </w:t>
      </w:r>
      <w:r>
        <w:t xml:space="preserve">erroneous</w:t>
      </w:r>
      <w:r>
        <w:t xml:space="preserve"> </w:t>
      </w:r>
      <w:r>
        <w:t xml:space="preserve">Precautionary</w:t>
      </w:r>
      <w:r>
        <w:t xml:space="preserve"> </w:t>
      </w:r>
      <w:r>
        <w:t xml:space="preserve">Management</w:t>
      </w:r>
      <w:r>
        <w:t xml:space="preserve"> </w:t>
      </w:r>
      <w:r>
        <w:t xml:space="preserve">in</w:t>
      </w:r>
      <w:r>
        <w:t xml:space="preserve"> </w:t>
      </w:r>
      <w:r>
        <w:t xml:space="preserve">Antarctic</w:t>
      </w:r>
      <w:r>
        <w:t xml:space="preserve"> </w:t>
      </w:r>
      <w:r>
        <w:t xml:space="preserve">Krill</w:t>
      </w:r>
      <w:r>
        <w:t xml:space="preserve"> </w:t>
      </w:r>
      <w:r>
        <w:t xml:space="preserve">Fisheries</w:t>
      </w:r>
    </w:p>
    <w:p>
      <w:pPr>
        <w:pStyle w:val="Date"/>
      </w:pPr>
      <w:r>
        <w:t xml:space="preserve">2026-03-26</w:t>
      </w:r>
    </w:p>
    <w:bookmarkStart w:id="26" w:name="a.-analysis-of-survey-coverage"/>
    <w:p>
      <w:pPr>
        <w:pStyle w:val="Heading1"/>
      </w:pPr>
      <w:r>
        <w:t xml:space="preserve">A. Analysis of Survey Coverage</w:t>
      </w:r>
    </w:p>
    <w:p>
      <w:pPr>
        <w:pStyle w:val="FirstParagraph"/>
      </w:pPr>
      <w:r>
        <w:t xml:space="preserve">Survey coverage, expressed as nautical miles surveyed within each gSSMU</w:t>
      </w:r>
      <w:r>
        <w:t xml:space="preserve"> </w:t>
      </w:r>
      <w:r>
        <w:t xml:space="preserve">and survey leg, varied among years and between legs. In most years, two</w:t>
      </w:r>
      <w:r>
        <w:t xml:space="preserve"> </w:t>
      </w:r>
      <w:r>
        <w:t xml:space="preserve">survey legs were conducted. Watters et al. (2020) proposed excluding</w:t>
      </w:r>
      <w:r>
        <w:t xml:space="preserve"> </w:t>
      </w:r>
      <w:r>
        <w:t xml:space="preserve">surveys with transect coverage of 80 nm or less, but did not apply this</w:t>
      </w:r>
      <w:r>
        <w:t xml:space="preserve"> </w:t>
      </w:r>
      <w:r>
        <w:t xml:space="preserve">criterion.</w:t>
      </w:r>
    </w:p>
    <w:p>
      <w:pPr>
        <w:pStyle w:val="BodyText"/>
      </w:pPr>
      <w:r>
        <w:t xml:space="preserve">Rather than applying a fixed threshold, we examined the frequency</w:t>
      </w:r>
      <w:r>
        <w:t xml:space="preserve"> </w:t>
      </w:r>
      <w:r>
        <w:t xml:space="preserve">distribution of surveyed transect lengths for gSSMUs 1 and 2 separately</w:t>
      </w:r>
      <w:r>
        <w:t xml:space="preserve"> </w:t>
      </w:r>
      <w:r>
        <w:t xml:space="preserve">and excluded surveys falling below the lower 10th percentile. This</w:t>
      </w:r>
      <w:r>
        <w:t xml:space="preserve"> </w:t>
      </w:r>
      <w:r>
        <w:t xml:space="preserve">approach resulted in the exclusion of four survey legs in gSSMU 1 (≤10</w:t>
      </w:r>
      <w:r>
        <w:t xml:space="preserve"> </w:t>
      </w:r>
      <w:r>
        <w:t xml:space="preserve">nm; 1996, 1999, 2010, and 2012) and three survey legs in gSSMU 2 (≤200</w:t>
      </w:r>
      <w:r>
        <w:t xml:space="preserve"> </w:t>
      </w:r>
      <w:r>
        <w:t xml:space="preserve">nm; 2010, 2011 and 2012) (Figure S1).</w:t>
      </w:r>
    </w:p>
    <w:p>
      <w:pPr>
        <w:pStyle w:val="BodyText"/>
      </w:pPr>
      <w:r>
        <w:drawing>
          <wp:inline>
            <wp:extent cx="4267200" cy="2560320"/>
            <wp:effectExtent b="0" l="0" r="0" t="0"/>
            <wp:docPr descr="" title="" id="21" name="Picture"/>
            <a:graphic>
              <a:graphicData uri="http://schemas.openxmlformats.org/drawingml/2006/picture">
                <pic:pic>
                  <pic:nvPicPr>
                    <pic:cNvPr descr="Watters_Rebutt_Suppl_Mat_files/figure-docx/Survey%20cover%20effort-1.png" id="22" name="Picture"/>
                    <pic:cNvPicPr>
                      <a:picLocks noChangeArrowheads="1" noChangeAspect="1"/>
                    </pic:cNvPicPr>
                  </pic:nvPicPr>
                  <pic:blipFill>
                    <a:blip r:embed="rId20"/>
                    <a:stretch>
                      <a:fillRect/>
                    </a:stretch>
                  </pic:blipFill>
                  <pic:spPr bwMode="auto">
                    <a:xfrm>
                      <a:off x="0" y="0"/>
                      <a:ext cx="4267200" cy="2560320"/>
                    </a:xfrm>
                    <a:prstGeom prst="rect">
                      <a:avLst/>
                    </a:prstGeom>
                    <a:noFill/>
                    <a:ln w="9525">
                      <a:noFill/>
                      <a:headEnd/>
                      <a:tailEnd/>
                    </a:ln>
                  </pic:spPr>
                </pic:pic>
              </a:graphicData>
            </a:graphic>
          </wp:inline>
        </w:drawing>
      </w:r>
      <w:r>
        <w:drawing>
          <wp:inline>
            <wp:extent cx="4267200" cy="2560320"/>
            <wp:effectExtent b="0" l="0" r="0" t="0"/>
            <wp:docPr descr="" title="" id="24" name="Picture"/>
            <a:graphic>
              <a:graphicData uri="http://schemas.openxmlformats.org/drawingml/2006/picture">
                <pic:pic>
                  <pic:nvPicPr>
                    <pic:cNvPr descr="Watters_Rebutt_Suppl_Mat_files/figure-docx/Survey%20cover%20effort-2.png" id="25" name="Picture"/>
                    <pic:cNvPicPr>
                      <a:picLocks noChangeArrowheads="1" noChangeAspect="1"/>
                    </pic:cNvPicPr>
                  </pic:nvPicPr>
                  <pic:blipFill>
                    <a:blip r:embed="rId23"/>
                    <a:stretch>
                      <a:fillRect/>
                    </a:stretch>
                  </pic:blipFill>
                  <pic:spPr bwMode="auto">
                    <a:xfrm>
                      <a:off x="0" y="0"/>
                      <a:ext cx="4267200" cy="2560320"/>
                    </a:xfrm>
                    <a:prstGeom prst="rect">
                      <a:avLst/>
                    </a:prstGeom>
                    <a:noFill/>
                    <a:ln w="9525">
                      <a:noFill/>
                      <a:headEnd/>
                      <a:tailEnd/>
                    </a:ln>
                  </pic:spPr>
                </pic:pic>
              </a:graphicData>
            </a:graphic>
          </wp:inline>
        </w:drawing>
      </w:r>
    </w:p>
    <w:p>
      <w:pPr>
        <w:pStyle w:val="BodyText"/>
      </w:pPr>
      <w:r>
        <w:t xml:space="preserve">Figure S1. Annual survey coverage (total transect length surveyed) by</w:t>
      </w:r>
      <w:r>
        <w:t xml:space="preserve"> </w:t>
      </w:r>
      <w:r>
        <w:t xml:space="preserve">gSSMU, year and survey leg [top panel]. Frequency distribution of summed</w:t>
      </w:r>
      <w:r>
        <w:t xml:space="preserve"> </w:t>
      </w:r>
      <w:r>
        <w:t xml:space="preserve">transect lengths across all surveys, with the 10th percentile marked by</w:t>
      </w:r>
      <w:r>
        <w:t xml:space="preserve"> </w:t>
      </w:r>
      <w:r>
        <w:t xml:space="preserve">the dashed line [bottom panel].</w:t>
      </w:r>
    </w:p>
    <w:p>
      <w:r>
        <w:br w:type="page"/>
      </w:r>
    </w:p>
    <w:bookmarkEnd w:id="26"/>
    <w:bookmarkStart w:id="66" w:name="Xdec01b5238bb5b03d97df130ad70050d4a88b3b"/>
    <w:p>
      <w:pPr>
        <w:pStyle w:val="Heading1"/>
      </w:pPr>
      <w:r>
        <w:t xml:space="preserve">B. Distribution of observed vs imputed summer ln</w:t>
      </w:r>
      <w:r>
        <w:rPr>
          <w:iCs/>
          <w:i/>
        </w:rPr>
        <w:t xml:space="preserve">LKB</w:t>
      </w:r>
      <w:r>
        <w:t xml:space="preserve"> </w:t>
      </w:r>
      <w:r>
        <w:t xml:space="preserve">values</w:t>
      </w:r>
    </w:p>
    <w:p>
      <w:pPr>
        <w:pStyle w:val="FirstParagraph"/>
      </w:pPr>
      <w:r>
        <w:t xml:space="preserve">We evaluated the procedure used to impute LKB values in years without survey data. First, we assessed whether lnLKB from survey observations followed a normal distribution, as assumed during the imputation process. We fitted a log-normal distribution to the survey-based LKB data and assessed normality of lnLKB using the Shapiro–Wilk test. Survey data stratified by gSSMU and SAM sign all fitted a log-normal distribution (Table S1).</w:t>
      </w:r>
      <w:r>
        <w:t xml:space="preserve"> </w:t>
      </w:r>
      <w:r>
        <w:t xml:space="preserve">We then compared three sets of LKB and LHR distributions: (i) imputed values from Watters et al. (2020); (ii) observed survey data filtered by survey coverage, with LHR estimated from the filtered data; and (iii) LKB and LHR assigned to SSMUs (Model SSMU; this paper) (Fig. S2).</w:t>
      </w:r>
      <w:r>
        <w:t xml:space="preserve"> </w:t>
      </w:r>
      <w:r>
        <w:t xml:space="preserve">The distribution of LKB and LHR categories across gSSMUs and SAM sign categories was similar across the three estimation methods. However, the use of smaller management units (SSMU) resulted in a higher frequency of seasons with LKB ≤ 1 Mt, particularly in gSSMU #2. However, because fishing catches are aggregated at the same SSMU scale, LHR values remained predominantly ≤ 0.01. The main difference was the increased frequency of seasons with intermediate LHR (0.01 – 0.10) in gSSM#2 (Fig. S3).</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S1. Shapiro–Wilk test results for normality of log-transformed observed LKB values (lnLKB), stratified by gSSMU and SAM sign. Columns report sample size (n), the Shapiro-Wilk W statistic, and the associated p-value.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49"/>
        <w:gridCol w:w="882"/>
        <w:gridCol w:w="375"/>
        <w:gridCol w:w="954"/>
        <w:gridCol w:w="1043"/>
      </w:tblGrid>
      <w:tr>
        <w:trPr>
          <w:trHeight w:val="34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gSSMU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 sign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w:t>
            </w:r>
          </w:p>
        </w:tc>
      </w:tr>
      <w:tr>
        <w:trPr>
          <w:trHeight w:val="34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0.8878652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0.30715278</w:t>
            </w:r>
          </w:p>
        </w:tc>
      </w:tr>
      <w:tr>
        <w:trPr>
          <w:trHeight w:val="3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0.9637180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0.82728920</w:t>
            </w:r>
          </w:p>
        </w:tc>
      </w:tr>
      <w:tr>
        <w:trPr>
          <w:trHeight w:val="34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0.9370316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0.63538466</w:t>
            </w:r>
          </w:p>
        </w:tc>
      </w:tr>
      <w:tr>
        <w:trPr>
          <w:trHeight w:val="31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0.8457413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0.05168203</w:t>
            </w:r>
          </w:p>
        </w:tc>
      </w:tr>
    </w:tbl>
    <w:p>
      <w:r>
        <w:br w:type="page"/>
      </w:r>
    </w:p>
    <w:p>
      <w:pPr>
        <w:pStyle w:val="BodyText"/>
      </w:pPr>
      <w:r>
        <w:drawing>
          <wp:inline>
            <wp:extent cx="2933700" cy="2200275"/>
            <wp:effectExtent b="0" l="0" r="0" t="0"/>
            <wp:docPr descr="" title="" id="28" name="Picture"/>
            <a:graphic>
              <a:graphicData uri="http://schemas.openxmlformats.org/drawingml/2006/picture">
                <pic:pic>
                  <pic:nvPicPr>
                    <pic:cNvPr descr="./A_Results_Suppl/Model01_filtered/hist_LKB_obs_imp.png" id="29" name="Picture"/>
                    <pic:cNvPicPr>
                      <a:picLocks noChangeArrowheads="1" noChangeAspect="1"/>
                    </pic:cNvPicPr>
                  </pic:nvPicPr>
                  <pic:blipFill>
                    <a:blip r:embed="rId27"/>
                    <a:stretch>
                      <a:fillRect/>
                    </a:stretch>
                  </pic:blipFill>
                  <pic:spPr bwMode="auto">
                    <a:xfrm>
                      <a:off x="0" y="0"/>
                      <a:ext cx="2933700" cy="2200275"/>
                    </a:xfrm>
                    <a:prstGeom prst="rect">
                      <a:avLst/>
                    </a:prstGeom>
                    <a:noFill/>
                    <a:ln w="9525">
                      <a:noFill/>
                      <a:headEnd/>
                      <a:tailEnd/>
                    </a:ln>
                  </pic:spPr>
                </pic:pic>
              </a:graphicData>
            </a:graphic>
          </wp:inline>
        </w:drawing>
      </w:r>
    </w:p>
    <w:p>
      <w:pPr>
        <w:pStyle w:val="BodyText"/>
      </w:pPr>
      <w:r>
        <w:t xml:space="preserve">Figure S2. Frequency distribution of summer ln(LKB) for observed (LKB.obs; red) and imputed (LKB.imp; blue) data.</w:t>
      </w:r>
    </w:p>
    <w:p>
      <w:r>
        <w:br w:type="page"/>
      </w:r>
    </w:p>
    <w:p>
      <w:pPr>
        <w:pStyle w:val="BodyText"/>
      </w:pPr>
      <w:r>
        <w:drawing>
          <wp:inline>
            <wp:extent cx="2933700" cy="2200275"/>
            <wp:effectExtent b="0" l="0" r="0" t="0"/>
            <wp:docPr descr="" title="" id="31" name="Picture"/>
            <a:graphic>
              <a:graphicData uri="http://schemas.openxmlformats.org/drawingml/2006/picture">
                <pic:pic>
                  <pic:nvPicPr>
                    <pic:cNvPr descr="./A_Results/Watters_model/Imputed/freq_dist_summer_biomass.png" id="32" name="Picture"/>
                    <pic:cNvPicPr>
                      <a:picLocks noChangeArrowheads="1" noChangeAspect="1"/>
                    </pic:cNvPicPr>
                  </pic:nvPicPr>
                  <pic:blipFill>
                    <a:blip r:embed="rId30"/>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34" name="Picture"/>
            <a:graphic>
              <a:graphicData uri="http://schemas.openxmlformats.org/drawingml/2006/picture">
                <pic:pic>
                  <pic:nvPicPr>
                    <pic:cNvPr descr="./A_Results/Watters_model/Imputed/freq_dist_summer_hr.png" id="35" name="Picture"/>
                    <pic:cNvPicPr>
                      <a:picLocks noChangeArrowheads="1" noChangeAspect="1"/>
                    </pic:cNvPicPr>
                  </pic:nvPicPr>
                  <pic:blipFill>
                    <a:blip r:embed="rId33"/>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37" name="Picture"/>
            <a:graphic>
              <a:graphicData uri="http://schemas.openxmlformats.org/drawingml/2006/picture">
                <pic:pic>
                  <pic:nvPicPr>
                    <pic:cNvPr descr="./A_Results_Suppl/Model01_filtered/obs_freq_dist_summer_biomass.png" id="38" name="Picture"/>
                    <pic:cNvPicPr>
                      <a:picLocks noChangeArrowheads="1" noChangeAspect="1"/>
                    </pic:cNvPicPr>
                  </pic:nvPicPr>
                  <pic:blipFill>
                    <a:blip r:embed="rId36"/>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0" name="Picture"/>
            <a:graphic>
              <a:graphicData uri="http://schemas.openxmlformats.org/drawingml/2006/picture">
                <pic:pic>
                  <pic:nvPicPr>
                    <pic:cNvPr descr="./A_Results_Suppl/Model01_filtered/obs_freq_dist_summer_hr.png" id="41" name="Picture"/>
                    <pic:cNvPicPr>
                      <a:picLocks noChangeArrowheads="1" noChangeAspect="1"/>
                    </pic:cNvPicPr>
                  </pic:nvPicPr>
                  <pic:blipFill>
                    <a:blip r:embed="rId39"/>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3" name="Picture"/>
            <a:graphic>
              <a:graphicData uri="http://schemas.openxmlformats.org/drawingml/2006/picture">
                <pic:pic>
                  <pic:nvPicPr>
                    <pic:cNvPr descr="./A_Results/Model02_SSMU/obs_freq_dist_summer_biomass.png" id="44" name="Picture"/>
                    <pic:cNvPicPr>
                      <a:picLocks noChangeArrowheads="1" noChangeAspect="1"/>
                    </pic:cNvPicPr>
                  </pic:nvPicPr>
                  <pic:blipFill>
                    <a:blip r:embed="rId42"/>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46" name="Picture"/>
            <a:graphic>
              <a:graphicData uri="http://schemas.openxmlformats.org/drawingml/2006/picture">
                <pic:pic>
                  <pic:nvPicPr>
                    <pic:cNvPr descr="./A_Results/Model02_SSMU/obs_freq_dist_summer_hr.png" id="47" name="Picture"/>
                    <pic:cNvPicPr>
                      <a:picLocks noChangeArrowheads="1" noChangeAspect="1"/>
                    </pic:cNvPicPr>
                  </pic:nvPicPr>
                  <pic:blipFill>
                    <a:blip r:embed="rId45"/>
                    <a:stretch>
                      <a:fillRect/>
                    </a:stretch>
                  </pic:blipFill>
                  <pic:spPr bwMode="auto">
                    <a:xfrm>
                      <a:off x="0" y="0"/>
                      <a:ext cx="2933700" cy="2200275"/>
                    </a:xfrm>
                    <a:prstGeom prst="rect">
                      <a:avLst/>
                    </a:prstGeom>
                    <a:noFill/>
                    <a:ln w="9525">
                      <a:noFill/>
                      <a:headEnd/>
                      <a:tailEnd/>
                    </a:ln>
                  </pic:spPr>
                </pic:pic>
              </a:graphicData>
            </a:graphic>
          </wp:inline>
        </w:drawing>
      </w:r>
    </w:p>
    <w:p>
      <w:pPr>
        <w:pStyle w:val="BodyText"/>
      </w:pPr>
      <w:r>
        <w:t xml:space="preserve">Figure S3. Frequency distribution of summer krill biomass (LKB; left panels) and summer harvest rate (LHR; right panels). Rows show imputed values from Watters et al. (2020) (top; blue), observed survey data filtered by survey coverage (middle; red), and Model SSMU estimates (this study; bottom; green). Results are shown separately for each SAM sign and gSSMU combination.</w:t>
      </w:r>
    </w:p>
    <w:p>
      <w:r>
        <w:br w:type="page"/>
      </w:r>
    </w:p>
    <w:p>
      <w:pPr>
        <w:pStyle w:val="BodyText"/>
      </w:pPr>
      <w:r>
        <w:drawing>
          <wp:inline>
            <wp:extent cx="2933700" cy="2200275"/>
            <wp:effectExtent b="0" l="0" r="0" t="0"/>
            <wp:docPr descr="" title="" id="49" name="Picture"/>
            <a:graphic>
              <a:graphicData uri="http://schemas.openxmlformats.org/drawingml/2006/picture">
                <pic:pic>
                  <pic:nvPicPr>
                    <pic:cNvPr descr="./A_Results/Watters_model/Imputed/freq_dist_bclass.png" id="50" name="Picture"/>
                    <pic:cNvPicPr>
                      <a:picLocks noChangeArrowheads="1" noChangeAspect="1"/>
                    </pic:cNvPicPr>
                  </pic:nvPicPr>
                  <pic:blipFill>
                    <a:blip r:embed="rId48"/>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2" name="Picture"/>
            <a:graphic>
              <a:graphicData uri="http://schemas.openxmlformats.org/drawingml/2006/picture">
                <pic:pic>
                  <pic:nvPicPr>
                    <pic:cNvPr descr="./A_Results/Watters_model/Imputed/freq_dist_hrclass.png" id="53" name="Picture"/>
                    <pic:cNvPicPr>
                      <a:picLocks noChangeArrowheads="1" noChangeAspect="1"/>
                    </pic:cNvPicPr>
                  </pic:nvPicPr>
                  <pic:blipFill>
                    <a:blip r:embed="rId51"/>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5" name="Picture"/>
            <a:graphic>
              <a:graphicData uri="http://schemas.openxmlformats.org/drawingml/2006/picture">
                <pic:pic>
                  <pic:nvPicPr>
                    <pic:cNvPr descr="./A_Results_Suppl/Model01_filtered/obs_freq_dist_bclass.png" id="56" name="Picture"/>
                    <pic:cNvPicPr>
                      <a:picLocks noChangeArrowheads="1" noChangeAspect="1"/>
                    </pic:cNvPicPr>
                  </pic:nvPicPr>
                  <pic:blipFill>
                    <a:blip r:embed="rId54"/>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58" name="Picture"/>
            <a:graphic>
              <a:graphicData uri="http://schemas.openxmlformats.org/drawingml/2006/picture">
                <pic:pic>
                  <pic:nvPicPr>
                    <pic:cNvPr descr="./A_Results_Suppl/Model01_filtered/obs_freq_dist_hrclass.png" id="59" name="Picture"/>
                    <pic:cNvPicPr>
                      <a:picLocks noChangeArrowheads="1" noChangeAspect="1"/>
                    </pic:cNvPicPr>
                  </pic:nvPicPr>
                  <pic:blipFill>
                    <a:blip r:embed="rId57"/>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61" name="Picture"/>
            <a:graphic>
              <a:graphicData uri="http://schemas.openxmlformats.org/drawingml/2006/picture">
                <pic:pic>
                  <pic:nvPicPr>
                    <pic:cNvPr descr="./A_Results/Model02_SSMU/obs_freq_dist_bclass.png" id="62" name="Picture"/>
                    <pic:cNvPicPr>
                      <a:picLocks noChangeArrowheads="1" noChangeAspect="1"/>
                    </pic:cNvPicPr>
                  </pic:nvPicPr>
                  <pic:blipFill>
                    <a:blip r:embed="rId60"/>
                    <a:stretch>
                      <a:fillRect/>
                    </a:stretch>
                  </pic:blipFill>
                  <pic:spPr bwMode="auto">
                    <a:xfrm>
                      <a:off x="0" y="0"/>
                      <a:ext cx="2933700" cy="2200275"/>
                    </a:xfrm>
                    <a:prstGeom prst="rect">
                      <a:avLst/>
                    </a:prstGeom>
                    <a:noFill/>
                    <a:ln w="9525">
                      <a:noFill/>
                      <a:headEnd/>
                      <a:tailEnd/>
                    </a:ln>
                  </pic:spPr>
                </pic:pic>
              </a:graphicData>
            </a:graphic>
          </wp:inline>
        </w:drawing>
      </w:r>
      <w:r>
        <w:drawing>
          <wp:inline>
            <wp:extent cx="2933700" cy="2200275"/>
            <wp:effectExtent b="0" l="0" r="0" t="0"/>
            <wp:docPr descr="" title="" id="64" name="Picture"/>
            <a:graphic>
              <a:graphicData uri="http://schemas.openxmlformats.org/drawingml/2006/picture">
                <pic:pic>
                  <pic:nvPicPr>
                    <pic:cNvPr descr="./A_Results/Model02_SSMU/obs_freq_dist_hrclass.png" id="65" name="Picture"/>
                    <pic:cNvPicPr>
                      <a:picLocks noChangeArrowheads="1" noChangeAspect="1"/>
                    </pic:cNvPicPr>
                  </pic:nvPicPr>
                  <pic:blipFill>
                    <a:blip r:embed="rId63"/>
                    <a:stretch>
                      <a:fillRect/>
                    </a:stretch>
                  </pic:blipFill>
                  <pic:spPr bwMode="auto">
                    <a:xfrm>
                      <a:off x="0" y="0"/>
                      <a:ext cx="2933700" cy="2200275"/>
                    </a:xfrm>
                    <a:prstGeom prst="rect">
                      <a:avLst/>
                    </a:prstGeom>
                    <a:noFill/>
                    <a:ln w="9525">
                      <a:noFill/>
                      <a:headEnd/>
                      <a:tailEnd/>
                    </a:ln>
                  </pic:spPr>
                </pic:pic>
              </a:graphicData>
            </a:graphic>
          </wp:inline>
        </w:drawing>
      </w:r>
    </w:p>
    <w:p>
      <w:pPr>
        <w:pStyle w:val="BodyText"/>
      </w:pPr>
      <w:r>
        <w:t xml:space="preserve">Figure S4. Frequency distribution of LKB categories (left panels) and LHR categories (right panels). Rows show imputed values from Watters et al. (2020) (top; blue), observed survey data filtered by survey coverage (middle; red), and Model SSMU estimates (this study; bottom; green). Results are shown separately for each SAM sign and gSSMU combination.</w:t>
      </w:r>
    </w:p>
    <w:p>
      <w:r>
        <w:br w:type="page"/>
      </w:r>
    </w:p>
    <w:bookmarkEnd w:id="66"/>
    <w:bookmarkStart w:id="85" w:name="Xfd00718f1dbe1b269a33db37bb90550cd8f9475"/>
    <w:p>
      <w:pPr>
        <w:pStyle w:val="Heading1"/>
      </w:pPr>
      <w:r>
        <w:t xml:space="preserve">C. Relationship between penguin performance indices and environmental and krill related categories</w:t>
      </w:r>
    </w:p>
    <w:p>
      <w:pPr>
        <w:pStyle w:val="FirstParagraph"/>
      </w:pPr>
      <w:r>
        <w:t xml:space="preserve">We analysed the relationship between penguin indices and the variables used to assess its performance: SAM sign, ONI value (cold, neutral, warm), krill biomass (LKB) and harvest rate (LHR).</w:t>
      </w:r>
      <w:r>
        <w:t xml:space="preserve"> </w:t>
      </w:r>
      <w:r>
        <w:t xml:space="preserve">Our results indicate that there was no significant relationship between summer or winter indices with either SAM, ONI, LKB and LHR categories (Table S2; Figs. S5-S6). When LKB and LHR actual values were used, fledgling weight (FWT) and trip duration (REVTD) were positivey corrated with summer LHR, although non significant. The only significant relationship was clutching initiation date (REVCID) and winter LHR (p = 0.0076), with clutching date being earlier as LHR increases, indictive of better performace (Table S3; Fig. S7-S8).</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S2. Statistical analyses of penguin indices versus environmental and krill related categories. FWT: fledge weight; PHS: post-hatch success; REVTD: reverse trip duration; EGG: mean egg density; REVCID: reverse clutch initiation date.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02"/>
        <w:gridCol w:w="802"/>
        <w:gridCol w:w="838"/>
        <w:gridCol w:w="1211"/>
        <w:gridCol w:w="1389"/>
        <w:gridCol w:w="3181"/>
        <w:gridCol w:w="776"/>
        <w:gridCol w:w="713"/>
        <w:gridCol w:w="1060"/>
      </w:tblGrid>
      <w:tr>
        <w:trPr>
          <w:trHeight w:val="34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Groups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Significance</w:t>
            </w:r>
          </w:p>
        </w:tc>
      </w:tr>
      <w:tr>
        <w:trPr>
          <w:trHeight w:val="34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bclass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High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(n=14); High (n=42)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(n=14); High (n=45)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(n=3); High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(n=54); Mid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(n=57); Mid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(n=20); Mid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(n=27); Neutral (n=10); Warm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(n=30); Neutral (n=10); Warm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vs Neutral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(n=11); Neutral (n=2); Warm (n=8)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vs Warm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(n=11); Neutral (n=2); Warm (n=8)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Neutral vs Warm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(n=11); Neutral (n=2); Warm (n=8)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Cool (n=11); Neutral (n=2); Warm (n=8)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vs Pos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(n=24); Pos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vs Pos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(n=23); Pos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vs Pos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Neg (n=8); Pos (n=13)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Wilcoxon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(n=5); High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 Mid (n=1); High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 Mid (n=3); High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vs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 Mid (n=3); High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Dunn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Mid vs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 Mid (n=3); High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hrclass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Low (n=2); Mid (n=3); High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Neutral (n=2); Warm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body23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oni.class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Kruskal-Wallis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Overall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Neutral (n=4); Warm (n=4)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S3. Statistical analyses of penguin indices versus environmental and krill related categories. FWT: fledge weight; PHS: post-hatch success; REVTD: reverse trip duration; EGG: mean egg density; REVCID: reverse clutch initiation date.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02"/>
        <w:gridCol w:w="802"/>
        <w:gridCol w:w="1762"/>
        <w:gridCol w:w="1211"/>
        <w:gridCol w:w="375"/>
        <w:gridCol w:w="757"/>
        <w:gridCol w:w="713"/>
        <w:gridCol w:w="1060"/>
      </w:tblGrid>
      <w:tr>
        <w:trPr>
          <w:trHeight w:val="34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Significance</w:t>
            </w:r>
          </w:p>
        </w:tc>
      </w:tr>
      <w:tr>
        <w:trPr>
          <w:trHeight w:val="34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LHR (catch/LKB)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LHR (catch/LKB)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LHR (catch/LKB)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LKB (survey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LKB (survey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LKB (survey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r>
        <w:trPr>
          <w:trHeight w:val="34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LHR (catch/LKB)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r>
      <w:tr>
        <w:trPr>
          <w:trHeight w:val="34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REVCID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LKB (survey biomass)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Spearman rho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ns</w:t>
            </w:r>
          </w:p>
        </w:tc>
      </w:tr>
    </w:tbl>
    <w:p>
      <w:pPr>
        <w:pStyle w:val="BodyText"/>
      </w:pPr>
      <w:r>
        <w:drawing>
          <wp:inline>
            <wp:extent cx="4800600" cy="3428999"/>
            <wp:effectExtent b="0" l="0" r="0" t="0"/>
            <wp:docPr descr="" title="" id="68" name="Picture"/>
            <a:graphic>
              <a:graphicData uri="http://schemas.openxmlformats.org/drawingml/2006/picture">
                <pic:pic>
                  <pic:nvPicPr>
                    <pic:cNvPr descr="./A_Results_Suppl/Model01_filtered/Fig_Boxplot_Summer.png" id="69" name="Picture"/>
                    <pic:cNvPicPr>
                      <a:picLocks noChangeArrowheads="1" noChangeAspect="1"/>
                    </pic:cNvPicPr>
                  </pic:nvPicPr>
                  <pic:blipFill>
                    <a:blip r:embed="rId67"/>
                    <a:stretch>
                      <a:fillRect/>
                    </a:stretch>
                  </pic:blipFill>
                  <pic:spPr bwMode="auto">
                    <a:xfrm>
                      <a:off x="0" y="0"/>
                      <a:ext cx="4800600" cy="3428999"/>
                    </a:xfrm>
                    <a:prstGeom prst="rect">
                      <a:avLst/>
                    </a:prstGeom>
                    <a:noFill/>
                    <a:ln w="9525">
                      <a:noFill/>
                      <a:headEnd/>
                      <a:tailEnd/>
                    </a:ln>
                  </pic:spPr>
                </pic:pic>
              </a:graphicData>
            </a:graphic>
          </wp:inline>
        </w:drawing>
      </w:r>
    </w:p>
    <w:p>
      <w:pPr>
        <w:pStyle w:val="BodyText"/>
      </w:pPr>
      <w:r>
        <w:t xml:space="preserve">Figure S5. Boxplot of summer penguin indices in relationship to environmental variables (SAM, ONI) and krill biomass (LKB) and harvest rate (LHR).</w:t>
      </w:r>
    </w:p>
    <w:p>
      <w:pPr>
        <w:pStyle w:val="BodyText"/>
      </w:pPr>
      <w:r>
        <w:drawing>
          <wp:inline>
            <wp:extent cx="4800600" cy="3428999"/>
            <wp:effectExtent b="0" l="0" r="0" t="0"/>
            <wp:docPr descr="" title="" id="71" name="Picture"/>
            <a:graphic>
              <a:graphicData uri="http://schemas.openxmlformats.org/drawingml/2006/picture">
                <pic:pic>
                  <pic:nvPicPr>
                    <pic:cNvPr descr="./A_Results_Suppl/Model01_filtered/Fig_Boxplot_Winter.png" id="72" name="Picture"/>
                    <pic:cNvPicPr>
                      <a:picLocks noChangeArrowheads="1" noChangeAspect="1"/>
                    </pic:cNvPicPr>
                  </pic:nvPicPr>
                  <pic:blipFill>
                    <a:blip r:embed="rId70"/>
                    <a:stretch>
                      <a:fillRect/>
                    </a:stretch>
                  </pic:blipFill>
                  <pic:spPr bwMode="auto">
                    <a:xfrm>
                      <a:off x="0" y="0"/>
                      <a:ext cx="4800600" cy="3428999"/>
                    </a:xfrm>
                    <a:prstGeom prst="rect">
                      <a:avLst/>
                    </a:prstGeom>
                    <a:noFill/>
                    <a:ln w="9525">
                      <a:noFill/>
                      <a:headEnd/>
                      <a:tailEnd/>
                    </a:ln>
                  </pic:spPr>
                </pic:pic>
              </a:graphicData>
            </a:graphic>
          </wp:inline>
        </w:drawing>
      </w:r>
    </w:p>
    <w:p>
      <w:pPr>
        <w:pStyle w:val="BodyText"/>
      </w:pPr>
      <w:r>
        <w:t xml:space="preserve">Figure S6. Boxplot of winter penguin indices in relationship to environmental variables (SAM, ONI) and krill biomass (LKB) and harvest rate (LHR).</w:t>
      </w:r>
    </w:p>
    <w:p>
      <w:pPr>
        <w:pStyle w:val="BodyText"/>
      </w:pPr>
      <w:r>
        <w:drawing>
          <wp:inline>
            <wp:extent cx="4800600" cy="2000249"/>
            <wp:effectExtent b="0" l="0" r="0" t="0"/>
            <wp:docPr descr="" title="" id="74" name="Picture"/>
            <a:graphic>
              <a:graphicData uri="http://schemas.openxmlformats.org/drawingml/2006/picture">
                <pic:pic>
                  <pic:nvPicPr>
                    <pic:cNvPr descr="./A_Results_Suppl/Model01_filtered/Fig_Scatter_Summer_LKB.png" id="75" name="Picture"/>
                    <pic:cNvPicPr>
                      <a:picLocks noChangeArrowheads="1" noChangeAspect="1"/>
                    </pic:cNvPicPr>
                  </pic:nvPicPr>
                  <pic:blipFill>
                    <a:blip r:embed="rId73"/>
                    <a:stretch>
                      <a:fillRect/>
                    </a:stretch>
                  </pic:blipFill>
                  <pic:spPr bwMode="auto">
                    <a:xfrm>
                      <a:off x="0" y="0"/>
                      <a:ext cx="4800600" cy="2000249"/>
                    </a:xfrm>
                    <a:prstGeom prst="rect">
                      <a:avLst/>
                    </a:prstGeom>
                    <a:noFill/>
                    <a:ln w="9525">
                      <a:noFill/>
                      <a:headEnd/>
                      <a:tailEnd/>
                    </a:ln>
                  </pic:spPr>
                </pic:pic>
              </a:graphicData>
            </a:graphic>
          </wp:inline>
        </w:drawing>
      </w:r>
    </w:p>
    <w:p>
      <w:pPr>
        <w:pStyle w:val="BodyText"/>
      </w:pPr>
      <w:r>
        <w:drawing>
          <wp:inline>
            <wp:extent cx="4800600" cy="2000249"/>
            <wp:effectExtent b="0" l="0" r="0" t="0"/>
            <wp:docPr descr="" title="" id="77" name="Picture"/>
            <a:graphic>
              <a:graphicData uri="http://schemas.openxmlformats.org/drawingml/2006/picture">
                <pic:pic>
                  <pic:nvPicPr>
                    <pic:cNvPr descr="./A_Results_Suppl/Model01_filtered/Fig_Scatter_Summer_LHR.png" id="78" name="Picture"/>
                    <pic:cNvPicPr>
                      <a:picLocks noChangeArrowheads="1" noChangeAspect="1"/>
                    </pic:cNvPicPr>
                  </pic:nvPicPr>
                  <pic:blipFill>
                    <a:blip r:embed="rId76"/>
                    <a:stretch>
                      <a:fillRect/>
                    </a:stretch>
                  </pic:blipFill>
                  <pic:spPr bwMode="auto">
                    <a:xfrm>
                      <a:off x="0" y="0"/>
                      <a:ext cx="4800600" cy="2000249"/>
                    </a:xfrm>
                    <a:prstGeom prst="rect">
                      <a:avLst/>
                    </a:prstGeom>
                    <a:noFill/>
                    <a:ln w="9525">
                      <a:noFill/>
                      <a:headEnd/>
                      <a:tailEnd/>
                    </a:ln>
                  </pic:spPr>
                </pic:pic>
              </a:graphicData>
            </a:graphic>
          </wp:inline>
        </w:drawing>
      </w:r>
    </w:p>
    <w:p>
      <w:pPr>
        <w:pStyle w:val="BodyText"/>
      </w:pPr>
      <w:r>
        <w:t xml:space="preserve">Figure S7. Scatter plot of summer penguin indices and krill biomass (LKB; top) and harvest rate (LHR; bottom).</w:t>
      </w:r>
    </w:p>
    <w:p>
      <w:pPr>
        <w:pStyle w:val="BodyText"/>
      </w:pPr>
      <w:r>
        <w:drawing>
          <wp:inline>
            <wp:extent cx="4800600" cy="2400300"/>
            <wp:effectExtent b="0" l="0" r="0" t="0"/>
            <wp:docPr descr="" title="" id="80" name="Picture"/>
            <a:graphic>
              <a:graphicData uri="http://schemas.openxmlformats.org/drawingml/2006/picture">
                <pic:pic>
                  <pic:nvPicPr>
                    <pic:cNvPr descr="./A_Results_Suppl/Model01_filtered/Fig_Scatter_Winter_LKB.png" id="81" name="Picture"/>
                    <pic:cNvPicPr>
                      <a:picLocks noChangeArrowheads="1" noChangeAspect="1"/>
                    </pic:cNvPicPr>
                  </pic:nvPicPr>
                  <pic:blipFill>
                    <a:blip r:embed="rId79"/>
                    <a:stretch>
                      <a:fillRect/>
                    </a:stretch>
                  </pic:blipFill>
                  <pic:spPr bwMode="auto">
                    <a:xfrm>
                      <a:off x="0" y="0"/>
                      <a:ext cx="4800600" cy="2400300"/>
                    </a:xfrm>
                    <a:prstGeom prst="rect">
                      <a:avLst/>
                    </a:prstGeom>
                    <a:noFill/>
                    <a:ln w="9525">
                      <a:noFill/>
                      <a:headEnd/>
                      <a:tailEnd/>
                    </a:ln>
                  </pic:spPr>
                </pic:pic>
              </a:graphicData>
            </a:graphic>
          </wp:inline>
        </w:drawing>
      </w:r>
    </w:p>
    <w:p>
      <w:pPr>
        <w:pStyle w:val="BodyText"/>
      </w:pPr>
      <w:r>
        <w:drawing>
          <wp:inline>
            <wp:extent cx="4800600" cy="2400300"/>
            <wp:effectExtent b="0" l="0" r="0" t="0"/>
            <wp:docPr descr="" title="" id="83" name="Picture"/>
            <a:graphic>
              <a:graphicData uri="http://schemas.openxmlformats.org/drawingml/2006/picture">
                <pic:pic>
                  <pic:nvPicPr>
                    <pic:cNvPr descr="./A_Results_Suppl/Model01_filtered/Fig_Scatter_Winter_LHR.png" id="84" name="Picture"/>
                    <pic:cNvPicPr>
                      <a:picLocks noChangeArrowheads="1" noChangeAspect="1"/>
                    </pic:cNvPicPr>
                  </pic:nvPicPr>
                  <pic:blipFill>
                    <a:blip r:embed="rId82"/>
                    <a:stretch>
                      <a:fillRect/>
                    </a:stretch>
                  </pic:blipFill>
                  <pic:spPr bwMode="auto">
                    <a:xfrm>
                      <a:off x="0" y="0"/>
                      <a:ext cx="4800600" cy="2400300"/>
                    </a:xfrm>
                    <a:prstGeom prst="rect">
                      <a:avLst/>
                    </a:prstGeom>
                    <a:noFill/>
                    <a:ln w="9525">
                      <a:noFill/>
                      <a:headEnd/>
                      <a:tailEnd/>
                    </a:ln>
                  </pic:spPr>
                </pic:pic>
              </a:graphicData>
            </a:graphic>
          </wp:inline>
        </w:drawing>
      </w:r>
    </w:p>
    <w:p>
      <w:pPr>
        <w:pStyle w:val="BodyText"/>
      </w:pPr>
      <w:r>
        <w:t xml:space="preserve">Figure S8. Scatter plot of winter penguin indices and krill biomass (LKB; top) and harvest rate (LHR; bottom).</w:t>
      </w:r>
    </w:p>
    <w:p>
      <w:r>
        <w:br w:type="page"/>
      </w:r>
    </w:p>
    <w:bookmarkEnd w:id="85"/>
    <w:bookmarkStart w:id="98" w:name="X2a0c5addbc7b559e629a91ba96d10fc7bb8863d"/>
    <w:p>
      <w:pPr>
        <w:pStyle w:val="Heading1"/>
      </w:pPr>
      <w:r>
        <w:t xml:space="preserve">D. Effect of Survey filtering and imputed LKB values on penguin performance</w:t>
      </w:r>
    </w:p>
    <w:p>
      <w:pPr>
        <w:pStyle w:val="FirstParagraph"/>
      </w:pPr>
      <w:r>
        <w:t xml:space="preserve">Penguin performance and posterior predictive distributions were</w:t>
      </w:r>
      <w:r>
        <w:t xml:space="preserve"> </w:t>
      </w:r>
      <w:r>
        <w:t xml:space="preserve">re-analysed after excluding surveys with low spatial coverage. In this</w:t>
      </w:r>
      <w:r>
        <w:t xml:space="preserve"> </w:t>
      </w:r>
      <w:r>
        <w:t xml:space="preserve">initial sensitivity analysis, missing summer LKB values were not imputed</w:t>
      </w:r>
      <w:r>
        <w:t xml:space="preserve"> </w:t>
      </w:r>
      <w:r>
        <w:t xml:space="preserve">(Figures S4–S5). These analyses are directly comparable to</w:t>
      </w:r>
      <w:r>
        <w:t xml:space="preserve"> </w:t>
      </w:r>
      <w:r>
        <w:t xml:space="preserve">Supplementary Figures S7–S8 of Watters et al. (2020). We then repeated</w:t>
      </w:r>
      <w:r>
        <w:t xml:space="preserve"> </w:t>
      </w:r>
      <w:r>
        <w:t xml:space="preserve">the analysis with missing summer LKB values imputed using the median</w:t>
      </w:r>
      <w:r>
        <w:t xml:space="preserve"> </w:t>
      </w:r>
      <w:r>
        <w:t xml:space="preserve">summer LKB derived from surveyed years (Table 1; Figures S6–S7).</w:t>
      </w:r>
    </w:p>
    <w:p>
      <w:pPr>
        <w:pStyle w:val="BodyText"/>
      </w:pPr>
      <w:r>
        <w:t xml:space="preserve">Posterior predictive distributions showed that only a subset of the</w:t>
      </w:r>
      <w:r>
        <w:t xml:space="preserve"> </w:t>
      </w:r>
      <w:r>
        <w:t xml:space="preserve">possible ONI–LKB–LHR combinations were supported by empirical</w:t>
      </w:r>
      <w:r>
        <w:t xml:space="preserve"> </w:t>
      </w:r>
      <w:r>
        <w:t xml:space="preserve">observations (Figure S4; Table S3). Most data were concentrated in</w:t>
      </w:r>
      <w:r>
        <w:t xml:space="preserve"> </w:t>
      </w:r>
      <w:r>
        <w:t xml:space="preserve">summer cases with low harvest rates (LHR ≤0.01) across all ONI</w:t>
      </w:r>
      <w:r>
        <w:t xml:space="preserve"> </w:t>
      </w:r>
      <w:r>
        <w:t xml:space="preserve">categories and both LKB classes, together with a limited number of</w:t>
      </w:r>
      <w:r>
        <w:t xml:space="preserve"> </w:t>
      </w:r>
      <w:r>
        <w:t xml:space="preserve">winter cases characterized by intermediate or high harvest rates.</w:t>
      </w:r>
      <w:r>
        <w:t xml:space="preserve"> </w:t>
      </w:r>
      <w:r>
        <w:t xml:space="preserve">Several combinations, including the nominal</w:t>
      </w:r>
      <w:r>
        <w:t xml:space="preserve"> </w:t>
      </w:r>
      <w:r>
        <w:t xml:space="preserve">“</w:t>
      </w:r>
      <w:r>
        <w:t xml:space="preserve">worst case</w:t>
      </w:r>
      <w:r>
        <w:t xml:space="preserve">”</w:t>
      </w:r>
      <w:r>
        <w:t xml:space="preserve"> </w:t>
      </w:r>
      <w:r>
        <w:t xml:space="preserve">scenario (−0.5</w:t>
      </w:r>
      <w:r>
        <w:t xml:space="preserve"> </w:t>
      </w:r>
      <w:r>
        <w:t xml:space="preserve">&lt; ONI &lt; 0.5; LKB &gt; 1 Mt; LHR ≥0.10), had no empirical observations.</w:t>
      </w:r>
    </w:p>
    <w:p>
      <w:pPr>
        <w:pStyle w:val="BodyText"/>
      </w:pPr>
      <w:r>
        <w:t xml:space="preserve">Across supported cases, penguin performance varied most strongly among</w:t>
      </w:r>
      <w:r>
        <w:t xml:space="preserve"> </w:t>
      </w:r>
      <w:r>
        <w:t xml:space="preserve">ONI categories. Comparisons between otherwise identical cases differing</w:t>
      </w:r>
      <w:r>
        <w:t xml:space="preserve"> </w:t>
      </w:r>
      <w:r>
        <w:t xml:space="preserve">only in ONI (e.g., cases 1–2, 7–8, and 13–14) showed consistently</w:t>
      </w:r>
      <w:r>
        <w:t xml:space="preserve"> </w:t>
      </w:r>
      <w:r>
        <w:t xml:space="preserve">higher performance under negative ONI conditions and lower performance</w:t>
      </w:r>
      <w:r>
        <w:t xml:space="preserve"> </w:t>
      </w:r>
      <w:r>
        <w:t xml:space="preserve">under intermediate ONI conditions, based on summer-derived indices.</w:t>
      </w:r>
      <w:r>
        <w:t xml:space="preserve"> </w:t>
      </w:r>
      <w:r>
        <w:t xml:space="preserve">Winter observations were sparse but included the lowest performance</w:t>
      </w:r>
      <w:r>
        <w:t xml:space="preserve"> </w:t>
      </w:r>
      <w:r>
        <w:t xml:space="preserve">values observed, particularly for the combination −0.5 &lt; ONI &lt; 0.5,</w:t>
      </w:r>
      <w:r>
        <w:t xml:space="preserve"> </w:t>
      </w:r>
      <w:r>
        <w:t xml:space="preserve">LKB &gt; 1 Mt, and 0.01 &lt; LHR &lt; 0.10 (case 10).</w:t>
      </w:r>
    </w:p>
    <w:p>
      <w:pPr>
        <w:pStyle w:val="BodyText"/>
      </w:pPr>
      <w:r>
        <w:t xml:space="preserve">Imputing missing summer LKB values resulted in only minor changes to</w:t>
      </w:r>
      <w:r>
        <w:t xml:space="preserve"> </w:t>
      </w:r>
      <w:r>
        <w:t xml:space="preserve">posterior predictive distributions of penguin performance (Figure S6).</w:t>
      </w:r>
      <w:r>
        <w:t xml:space="preserve"> </w:t>
      </w:r>
      <w:r>
        <w:t xml:space="preserve">The primary effect was increased support for reduced performance in case</w:t>
      </w:r>
      <w:r>
        <w:t xml:space="preserve"> </w:t>
      </w:r>
      <w:r>
        <w:t xml:space="preserve">9 (−0.5 &lt; ONI &lt; 0.5; LKB ≤ 1 Mt; 0.01 &lt; LHR &lt; 0.10). The nominal</w:t>
      </w:r>
      <w:r>
        <w:t xml:space="preserve"> </w:t>
      </w:r>
      <w:r>
        <w:t xml:space="preserve">“</w:t>
      </w:r>
      <w:r>
        <w:t xml:space="preserve">worst case</w:t>
      </w:r>
      <w:r>
        <w:t xml:space="preserve">”</w:t>
      </w:r>
      <w:r>
        <w:t xml:space="preserve"> </w:t>
      </w:r>
      <w:r>
        <w:t xml:space="preserve">scenario (case 12) remained unsupported by either observed</w:t>
      </w:r>
      <w:r>
        <w:t xml:space="preserve"> </w:t>
      </w:r>
      <w:r>
        <w:t xml:space="preserve">or imputed data.</w:t>
      </w:r>
    </w:p>
    <w:p>
      <w:pPr>
        <w:pStyle w:val="BodyText"/>
      </w:pPr>
      <w:r>
        <w:t xml:space="preserve">Posterior expectations of penguin performance after filtering for survey</w:t>
      </w:r>
      <w:r>
        <w:t xml:space="preserve"> </w:t>
      </w:r>
      <w:r>
        <w:t xml:space="preserve">coverage (Figure S5) were broadly similar to those reported by Watters</w:t>
      </w:r>
      <w:r>
        <w:t xml:space="preserve"> </w:t>
      </w:r>
      <w:r>
        <w:t xml:space="preserve">et al. (2020, Supplementary Figure S8), but differed in three key</w:t>
      </w:r>
      <w:r>
        <w:t xml:space="preserve"> </w:t>
      </w:r>
      <w:r>
        <w:t xml:space="preserve">respects. First, the nominal</w:t>
      </w:r>
      <w:r>
        <w:t xml:space="preserve"> </w:t>
      </w:r>
      <w:r>
        <w:t xml:space="preserve">“</w:t>
      </w:r>
      <w:r>
        <w:t xml:space="preserve">worst case</w:t>
      </w:r>
      <w:r>
        <w:t xml:space="preserve">”</w:t>
      </w:r>
      <w:r>
        <w:t xml:space="preserve"> </w:t>
      </w:r>
      <w:r>
        <w:t xml:space="preserve">scenario no longer produced</w:t>
      </w:r>
      <w:r>
        <w:t xml:space="preserve"> </w:t>
      </w:r>
      <w:r>
        <w:t xml:space="preserve">the lowest expected performance and instead lay close to the long-term</w:t>
      </w:r>
      <w:r>
        <w:t xml:space="preserve"> </w:t>
      </w:r>
      <w:r>
        <w:t xml:space="preserve">mean. Second, scenarios with high harvest rates (LHR ≥0.10) exhibited</w:t>
      </w:r>
      <w:r>
        <w:t xml:space="preserve"> </w:t>
      </w:r>
      <w:r>
        <w:t xml:space="preserve">median performance comparable to the</w:t>
      </w:r>
      <w:r>
        <w:t xml:space="preserve"> </w:t>
      </w:r>
      <w:r>
        <w:t xml:space="preserve">“</w:t>
      </w:r>
      <w:r>
        <w:t xml:space="preserve">best case.</w:t>
      </w:r>
      <w:r>
        <w:t xml:space="preserve">”</w:t>
      </w:r>
      <w:r>
        <w:t xml:space="preserve"> </w:t>
      </w:r>
      <w:r>
        <w:t xml:space="preserve">Third, the lowest</w:t>
      </w:r>
      <w:r>
        <w:t xml:space="preserve"> </w:t>
      </w:r>
      <w:r>
        <w:t xml:space="preserve">median performance was associated with intermediate harvest rates (0.01</w:t>
      </w:r>
      <w:r>
        <w:t xml:space="preserve"> </w:t>
      </w:r>
      <w:r>
        <w:t xml:space="preserve">&lt; LHR &lt; 0.10; equivalent to case 3), followed by intermediate ONI</w:t>
      </w:r>
      <w:r>
        <w:t xml:space="preserve"> </w:t>
      </w:r>
      <w:r>
        <w:t xml:space="preserve">conditions (equivalent to case 7; Figure S5). These patterns were</w:t>
      </w:r>
      <w:r>
        <w:t xml:space="preserve"> </w:t>
      </w:r>
      <w:r>
        <w:t xml:space="preserve">maintained, and further accentuated, when missing summer LKB values were</w:t>
      </w:r>
      <w:r>
        <w:t xml:space="preserve"> </w:t>
      </w:r>
      <w:r>
        <w:t xml:space="preserve">imputed (Figure S7). Consistent with Watters et al. (2020), variation in</w:t>
      </w:r>
      <w:r>
        <w:t xml:space="preserve"> </w:t>
      </w:r>
      <w:r>
        <w:t xml:space="preserve">LKB (&lt;1 Mt versus &gt;1 Mt) exhibited the weakest association with</w:t>
      </w:r>
      <w:r>
        <w:t xml:space="preserve"> </w:t>
      </w:r>
      <w:r>
        <w:t xml:space="preserve">penguin performance.</w:t>
      </w:r>
    </w:p>
    <w:p>
      <w:pPr>
        <w:pStyle w:val="BodyText"/>
      </w:pPr>
      <w:r>
        <w:t xml:space="preserve">Taken together, these results indicate that, once surveys with low</w:t>
      </w:r>
      <w:r>
        <w:t xml:space="preserve"> </w:t>
      </w:r>
      <w:r>
        <w:t xml:space="preserve">spatial coverage are excluded, penguin performance is most strongly</w:t>
      </w:r>
      <w:r>
        <w:t xml:space="preserve"> </w:t>
      </w:r>
      <w:r>
        <w:t xml:space="preserve">associated with intermediate ONI conditions, with intermediate (neutral) ONI linked to poorer performance across cases. Secondarily, intermediate LHR yielded lower performance within each ONI category. High</w:t>
      </w:r>
      <w:r>
        <w:t xml:space="preserve"> </w:t>
      </w:r>
      <w:r>
        <w:t xml:space="preserve">LKB (&gt;1 Mt) and high LHR (≥0.10) scenarios show limited influence on</w:t>
      </w:r>
      <w:r>
        <w:t xml:space="preserve"> </w:t>
      </w:r>
      <w:r>
        <w:t xml:space="preserve">expected performance, and the nominal</w:t>
      </w:r>
      <w:r>
        <w:t xml:space="preserve"> </w:t>
      </w:r>
      <w:r>
        <w:t xml:space="preserve">“</w:t>
      </w:r>
      <w:r>
        <w:t xml:space="preserve">worst case</w:t>
      </w:r>
      <w:r>
        <w:t xml:space="preserve">”</w:t>
      </w:r>
      <w:r>
        <w:t xml:space="preserve"> </w:t>
      </w:r>
      <w:r>
        <w:t xml:space="preserve">scenario remains</w:t>
      </w:r>
      <w:r>
        <w:t xml:space="preserve"> </w:t>
      </w:r>
      <w:r>
        <w:t xml:space="preserve">close to the long-term mean (Figures S5 and S7) and unsupported by</w:t>
      </w:r>
      <w:r>
        <w:t xml:space="preserve"> </w:t>
      </w:r>
      <w:r>
        <w:t xml:space="preserve">empirical data (Figures S4 and S6).</w:t>
      </w:r>
    </w:p>
    <w:p>
      <w:pPr>
        <w:pStyle w:val="BodyText"/>
      </w:pPr>
      <w:r>
        <w:t xml:space="preserve">Table S4. The posterior predictive distributions shows that only some of</w:t>
      </w:r>
      <w:r>
        <w:t xml:space="preserve"> </w:t>
      </w:r>
      <w:r>
        <w:t xml:space="preserve">the potential combinations have actual data (Fig. S4). Specifically,</w:t>
      </w:r>
      <w:r>
        <w:t xml:space="preserve"> </w:t>
      </w:r>
      <w:r>
        <w:t xml:space="preserve">most data comes from the following combinations:</w:t>
      </w:r>
    </w:p>
    <w:tbl>
      <w:tblPr>
        <w:tblStyle w:val="Table"/>
        <w:tblW w:type="pct" w:w="5000"/>
        <w:tblLook w:firstRow="1" w:lastRow="0" w:firstColumn="0" w:lastColumn="0" w:noHBand="0" w:noVBand="0" w:val="0020"/>
        <w:jc w:val="start"/>
      </w:tblPr>
      <w:tblGrid>
        <w:gridCol w:w="1844"/>
        <w:gridCol w:w="2061"/>
        <w:gridCol w:w="976"/>
        <w:gridCol w:w="2169"/>
        <w:gridCol w:w="867"/>
      </w:tblGrid>
      <w:tr>
        <w:trPr>
          <w:tblHeader w:val="true"/>
        </w:trPr>
        <w:tc>
          <w:tcPr/>
          <w:p>
            <w:pPr>
              <w:pStyle w:val="Compact"/>
              <w:jc w:val="left"/>
            </w:pPr>
            <w:r>
              <w:t xml:space="preserve">Scenario</w:t>
            </w:r>
          </w:p>
        </w:tc>
        <w:tc>
          <w:tcPr/>
          <w:p>
            <w:pPr>
              <w:pStyle w:val="Compact"/>
              <w:jc w:val="left"/>
            </w:pPr>
            <w:r>
              <w:t xml:space="preserve">ONI</w:t>
            </w:r>
          </w:p>
        </w:tc>
        <w:tc>
          <w:tcPr/>
          <w:p>
            <w:pPr>
              <w:pStyle w:val="Compact"/>
              <w:jc w:val="left"/>
            </w:pPr>
            <w:r>
              <w:t xml:space="preserve">LKB</w:t>
            </w:r>
          </w:p>
        </w:tc>
        <w:tc>
          <w:tcPr/>
          <w:p>
            <w:pPr>
              <w:pStyle w:val="Compact"/>
              <w:jc w:val="left"/>
            </w:pPr>
            <w:r>
              <w:t xml:space="preserve">LHR</w:t>
            </w:r>
          </w:p>
        </w:tc>
        <w:tc>
          <w:tcPr/>
          <w:p>
            <w:pPr>
              <w:pStyle w:val="Compact"/>
              <w:jc w:val="left"/>
            </w:pPr>
            <w:r>
              <w:t xml:space="preserve">Season</w:t>
            </w:r>
          </w:p>
        </w:tc>
      </w:tr>
      <w:tr>
        <w:tc>
          <w:tcPr/>
          <w:p>
            <w:pPr>
              <w:pStyle w:val="Compact"/>
              <w:jc w:val="left"/>
            </w:pPr>
            <w:r>
              <w:t xml:space="preserve">Case 1 (</w:t>
            </w:r>
            <w:r>
              <w:t xml:space="preserve">‘</w:t>
            </w:r>
            <w:r>
              <w:t xml:space="preserve">best</w:t>
            </w:r>
            <w:r>
              <w:t xml:space="preserve">’</w:t>
            </w:r>
            <w:r>
              <w:t xml:space="preserve">)</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2</w:t>
            </w:r>
          </w:p>
        </w:tc>
        <w:tc>
          <w:tcPr/>
          <w:p>
            <w:pPr>
              <w:pStyle w:val="Compact"/>
              <w:jc w:val="left"/>
            </w:pPr>
            <w:r>
              <w:t xml:space="preserve">≤ -0.5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7</w:t>
            </w:r>
          </w:p>
        </w:tc>
        <w:tc>
          <w:tcPr/>
          <w:p>
            <w:pPr>
              <w:pStyle w:val="Compact"/>
              <w:jc w:val="left"/>
            </w:pPr>
            <w:r>
              <w:t xml:space="preserve">-0.5 &lt; ONI &lt;0.5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8</w:t>
            </w:r>
          </w:p>
        </w:tc>
        <w:tc>
          <w:tcPr/>
          <w:p>
            <w:pPr>
              <w:pStyle w:val="Compact"/>
              <w:jc w:val="left"/>
            </w:pPr>
            <w:r>
              <w:t xml:space="preserve">-0.5 &lt; ONI &lt;0.5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10</w:t>
            </w:r>
          </w:p>
        </w:tc>
        <w:tc>
          <w:tcPr/>
          <w:p>
            <w:pPr>
              <w:pStyle w:val="Compact"/>
              <w:jc w:val="left"/>
            </w:pPr>
            <w:r>
              <w:t xml:space="preserve">-0.5 &lt; ONI &lt;0.5</w:t>
            </w:r>
          </w:p>
        </w:tc>
        <w:tc>
          <w:tcPr/>
          <w:p>
            <w:pPr>
              <w:pStyle w:val="Compact"/>
              <w:jc w:val="left"/>
            </w:pPr>
            <w:r>
              <w:t xml:space="preserve">&gt; 1 Mt</w:t>
            </w:r>
          </w:p>
        </w:tc>
        <w:tc>
          <w:tcPr/>
          <w:p>
            <w:pPr>
              <w:pStyle w:val="Compact"/>
              <w:jc w:val="left"/>
            </w:pPr>
            <w:r>
              <w:t xml:space="preserve">0.01 &lt; LHR &lt; 0.1</w:t>
            </w:r>
          </w:p>
        </w:tc>
        <w:tc>
          <w:tcPr/>
          <w:p>
            <w:pPr>
              <w:pStyle w:val="Compact"/>
              <w:jc w:val="left"/>
            </w:pPr>
            <w:r>
              <w:t xml:space="preserve">winter</w:t>
            </w:r>
          </w:p>
        </w:tc>
      </w:tr>
      <w:tr>
        <w:tc>
          <w:tcPr/>
          <w:p>
            <w:pPr>
              <w:pStyle w:val="Compact"/>
              <w:jc w:val="left"/>
            </w:pPr>
            <w:r>
              <w:t xml:space="preserve">Case 13</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14</w:t>
            </w:r>
          </w:p>
        </w:tc>
        <w:tc>
          <w:tcPr/>
          <w:p>
            <w:pPr>
              <w:pStyle w:val="Compact"/>
              <w:jc w:val="left"/>
            </w:pPr>
            <w:r>
              <w:t xml:space="preserve">≥ 0.5</w:t>
            </w:r>
          </w:p>
        </w:tc>
        <w:tc>
          <w:tcPr/>
          <w:p>
            <w:pPr>
              <w:pStyle w:val="Compact"/>
              <w:jc w:val="left"/>
            </w:pPr>
            <w:r>
              <w:t xml:space="preserve">&gt; 1 Mt</w:t>
            </w:r>
          </w:p>
        </w:tc>
        <w:tc>
          <w:tcPr/>
          <w:p>
            <w:pPr>
              <w:pStyle w:val="Compact"/>
              <w:jc w:val="left"/>
            </w:pPr>
            <w:r>
              <w:t xml:space="preserve">≤ 0.01</w:t>
            </w:r>
          </w:p>
        </w:tc>
        <w:tc>
          <w:tcPr/>
          <w:p>
            <w:pPr>
              <w:pStyle w:val="Compact"/>
              <w:jc w:val="left"/>
            </w:pPr>
            <w:r>
              <w:t xml:space="preserve">summer</w:t>
            </w:r>
          </w:p>
        </w:tc>
      </w:tr>
      <w:tr>
        <w:tc>
          <w:tcPr/>
          <w:p>
            <w:pPr>
              <w:pStyle w:val="Compact"/>
              <w:jc w:val="left"/>
            </w:pPr>
            <w:r>
              <w:t xml:space="preserve">Case 17</w:t>
            </w:r>
          </w:p>
        </w:tc>
        <w:tc>
          <w:tcPr/>
          <w:p>
            <w:pPr>
              <w:pStyle w:val="Compact"/>
              <w:jc w:val="left"/>
            </w:pPr>
            <w:r>
              <w:t xml:space="preserve">≥ 0.5</w:t>
            </w:r>
          </w:p>
        </w:tc>
        <w:tc>
          <w:tcPr/>
          <w:p>
            <w:pPr>
              <w:pStyle w:val="Compact"/>
              <w:jc w:val="left"/>
            </w:pPr>
            <w:r>
              <w:t xml:space="preserve">≤ 1 Mt</w:t>
            </w:r>
          </w:p>
        </w:tc>
        <w:tc>
          <w:tcPr/>
          <w:p>
            <w:pPr>
              <w:pStyle w:val="Compact"/>
              <w:jc w:val="left"/>
            </w:pPr>
            <w:r>
              <w:t xml:space="preserve">≥ 0.1</w:t>
            </w:r>
          </w:p>
        </w:tc>
        <w:tc>
          <w:tcPr/>
          <w:p>
            <w:pPr>
              <w:pStyle w:val="Compact"/>
              <w:jc w:val="left"/>
            </w:pPr>
            <w:r>
              <w:t xml:space="preserve">winter</w:t>
            </w:r>
          </w:p>
        </w:tc>
      </w:tr>
    </w:tbl>
    <w:p>
      <w:r>
        <w:br w:type="page"/>
      </w:r>
    </w:p>
    <w:p>
      <w:pPr>
        <w:pStyle w:val="BodyText"/>
      </w:pPr>
      <w:r>
        <w:drawing>
          <wp:inline>
            <wp:extent cx="5334000" cy="4000499"/>
            <wp:effectExtent b="0" l="0" r="0" t="0"/>
            <wp:docPr descr="" title="" id="87" name="Picture"/>
            <a:graphic>
              <a:graphicData uri="http://schemas.openxmlformats.org/drawingml/2006/picture">
                <pic:pic>
                  <pic:nvPicPr>
                    <pic:cNvPr descr="./A_Results_Suppl/Model01_filtered/Posterior_predictive_dist_mod01.png" id="88" name="Picture"/>
                    <pic:cNvPicPr>
                      <a:picLocks noChangeArrowheads="1" noChangeAspect="1"/>
                    </pic:cNvPicPr>
                  </pic:nvPicPr>
                  <pic:blipFill>
                    <a:blip r:embed="rId8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S9. Posterior predictive distributions (boxplots) and jittered</w:t>
      </w:r>
      <w:r>
        <w:t xml:space="preserve"> </w:t>
      </w:r>
      <w:r>
        <w:t xml:space="preserve">observations (colored circles) of penguin performance, after removing</w:t>
      </w:r>
      <w:r>
        <w:t xml:space="preserve"> </w:t>
      </w:r>
      <w:r>
        <w:t xml:space="preserve">low coverage survey data; missing summer LKB were not imputed. Case 1 is</w:t>
      </w:r>
      <w:r>
        <w:t xml:space="preserve"> </w:t>
      </w:r>
      <w:r>
        <w:t xml:space="preserve">ONI ≤ -0.5°C; LKB ≤ 1 Mt; and LHR ≤ 0.01 (the</w:t>
      </w:r>
      <w:r>
        <w:t xml:space="preserve"> </w:t>
      </w:r>
      <w:r>
        <w:t xml:space="preserve">“</w:t>
      </w:r>
      <w:r>
        <w:t xml:space="preserve">best case</w:t>
      </w:r>
      <w:r>
        <w:t xml:space="preserve">”</w:t>
      </w:r>
      <w:r>
        <w:t xml:space="preserve">). Case 2 is</w:t>
      </w:r>
      <w:r>
        <w:t xml:space="preserve"> </w:t>
      </w:r>
      <w:r>
        <w:t xml:space="preserve">ONI ≤ -0.5°C; LKB &gt; 1 Mt; and LHR ≤ 0.01. Case 3 is ONI ≤ -0.5°C; LKB ≤</w:t>
      </w:r>
      <w:r>
        <w:t xml:space="preserve"> </w:t>
      </w:r>
      <w:r>
        <w:t xml:space="preserve">1 Mt; and 0.01 &lt; LHR &lt; 0.1. Case 4 is ONI ≤ -0.5°C; LKB &gt; 1 Mt; and</w:t>
      </w:r>
      <w:r>
        <w:t xml:space="preserve"> </w:t>
      </w:r>
      <w:r>
        <w:t xml:space="preserve">0.01 &lt; LHR &lt; 0.1. Case 5 is ONI ≤ -0.5°C; LKB ≤ 1 Mt; and LHR ≥ 0.1.</w:t>
      </w:r>
      <w:r>
        <w:t xml:space="preserve"> </w:t>
      </w:r>
      <w:r>
        <w:t xml:space="preserve">Case 6 is ONI ≤ -0.5°C; LKB &gt; 1 Mt; and LHR ≥ 0.1. Cases 7-12 are the</w:t>
      </w:r>
      <w:r>
        <w:t xml:space="preserve"> </w:t>
      </w:r>
      <w:r>
        <w:t xml:space="preserve">same as Cases 1-6 except -0.5°C &lt; ONI &lt; 0.5°C; Case 12 is the</w:t>
      </w:r>
      <w:r>
        <w:t xml:space="preserve"> </w:t>
      </w:r>
      <w:r>
        <w:t xml:space="preserve">“</w:t>
      </w:r>
      <w:r>
        <w:t xml:space="preserve">worst</w:t>
      </w:r>
      <w:r>
        <w:t xml:space="preserve"> </w:t>
      </w:r>
      <w:r>
        <w:t xml:space="preserve">case.</w:t>
      </w:r>
      <w:r>
        <w:t xml:space="preserve">”</w:t>
      </w:r>
      <w:r>
        <w:t xml:space="preserve"> </w:t>
      </w:r>
      <w:r>
        <w:t xml:space="preserve">Cases 13-18 are the same as Cases 1-6 except ONI ≥ 0.5°C. Filled</w:t>
      </w:r>
      <w:r>
        <w:t xml:space="preserve"> </w:t>
      </w:r>
      <w:r>
        <w:t xml:space="preserve">red circles represent summer observations from krill surveys. Blue</w:t>
      </w:r>
      <w:r>
        <w:t xml:space="preserve"> </w:t>
      </w:r>
      <w:r>
        <w:t xml:space="preserve">circles represent winter observations. Boxes characterize interquartile</w:t>
      </w:r>
      <w:r>
        <w:t xml:space="preserve"> </w:t>
      </w:r>
      <w:r>
        <w:t xml:space="preserve">ranges with medians indicated by bold horizontal lines and whiskers</w:t>
      </w:r>
      <w:r>
        <w:t xml:space="preserve"> </w:t>
      </w:r>
      <w:r>
        <w:t xml:space="preserve">extending to 1.5 times these ranges.</w:t>
      </w:r>
    </w:p>
    <w:p>
      <w:r>
        <w:br w:type="page"/>
      </w:r>
    </w:p>
    <w:p>
      <w:pPr>
        <w:pStyle w:val="BodyText"/>
      </w:pPr>
      <w:r>
        <w:drawing>
          <wp:inline>
            <wp:extent cx="5334000" cy="4000499"/>
            <wp:effectExtent b="0" l="0" r="0" t="0"/>
            <wp:docPr descr="" title="" id="90" name="Picture"/>
            <a:graphic>
              <a:graphicData uri="http://schemas.openxmlformats.org/drawingml/2006/picture">
                <pic:pic>
                  <pic:nvPicPr>
                    <pic:cNvPr descr="./A_Results_Suppl/Model01_filtered/Penguin_performance_mod01.png" id="91" name="Picture"/>
                    <pic:cNvPicPr>
                      <a:picLocks noChangeArrowheads="1" noChangeAspect="1"/>
                    </pic:cNvPicPr>
                  </pic:nvPicPr>
                  <pic:blipFill>
                    <a:blip r:embed="rId8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S10. Posterior expectations of penguin performance from the</w:t>
      </w:r>
      <w:r>
        <w:t xml:space="preserve"> </w:t>
      </w:r>
      <w:r>
        <w:t xml:space="preserve">sensitivity test in which: low coverage survey data was removed, and</w:t>
      </w:r>
      <w:r>
        <w:t xml:space="preserve"> </w:t>
      </w:r>
      <w:r>
        <w:t xml:space="preserve">missing summer LKB were not imputed. The</w:t>
      </w:r>
      <w:r>
        <w:t xml:space="preserve"> </w:t>
      </w:r>
      <w:r>
        <w:t xml:space="preserve">“</w:t>
      </w:r>
      <w:r>
        <w:t xml:space="preserve">best case</w:t>
      </w:r>
      <w:r>
        <w:t xml:space="preserve">”</w:t>
      </w:r>
      <w:r>
        <w:t xml:space="preserve"> </w:t>
      </w:r>
      <w:r>
        <w:t xml:space="preserve">is ONI ≤ -0.5; LKB</w:t>
      </w:r>
      <w:r>
        <w:t xml:space="preserve"> </w:t>
      </w:r>
      <w:r>
        <w:t xml:space="preserve">≤ 1 Mt; and LHR ≤ 0.01. The</w:t>
      </w:r>
      <w:r>
        <w:t xml:space="preserve"> </w:t>
      </w:r>
      <w:r>
        <w:t xml:space="preserve">“</w:t>
      </w:r>
      <w:r>
        <w:t xml:space="preserve">worst case</w:t>
      </w:r>
      <w:r>
        <w:t xml:space="preserve">”</w:t>
      </w:r>
      <w:r>
        <w:t xml:space="preserve"> </w:t>
      </w:r>
      <w:r>
        <w:t xml:space="preserve">is -0.5 &lt; ONI &lt; 0.5; LKB &gt; 1</w:t>
      </w:r>
      <w:r>
        <w:t xml:space="preserve"> </w:t>
      </w:r>
      <w:r>
        <w:t xml:space="preserve">Mt, and LHR ≥ 0.1. All other cases are marginal deviations from the best</w:t>
      </w:r>
      <w:r>
        <w:t xml:space="preserve"> </w:t>
      </w:r>
      <w:r>
        <w:t xml:space="preserve">case. The median, interquartile range, and range of the posterior</w:t>
      </w:r>
      <w:r>
        <w:t xml:space="preserve"> </w:t>
      </w:r>
      <w:r>
        <w:t xml:space="preserve">expectations are provided for each boxplot. Reference lines respectively</w:t>
      </w:r>
      <w:r>
        <w:t xml:space="preserve"> </w:t>
      </w:r>
      <w:r>
        <w:t xml:space="preserve">indicate the median expected performance in the best case (dashed line)</w:t>
      </w:r>
      <w:r>
        <w:t xml:space="preserve"> </w:t>
      </w:r>
      <w:r>
        <w:t xml:space="preserve">and the long-term mean performance (solid line). As per Supplementary</w:t>
      </w:r>
      <w:r>
        <w:t xml:space="preserve"> </w:t>
      </w:r>
      <w:r>
        <w:t xml:space="preserve">Fig. S8, Watters et al. (2020).</w:t>
      </w:r>
    </w:p>
    <w:p>
      <w:r>
        <w:br w:type="page"/>
      </w:r>
    </w:p>
    <w:p>
      <w:pPr>
        <w:pStyle w:val="BodyText"/>
      </w:pPr>
      <w:r>
        <w:drawing>
          <wp:inline>
            <wp:extent cx="5334000" cy="4000499"/>
            <wp:effectExtent b="0" l="0" r="0" t="0"/>
            <wp:docPr descr="" title="" id="93" name="Picture"/>
            <a:graphic>
              <a:graphicData uri="http://schemas.openxmlformats.org/drawingml/2006/picture">
                <pic:pic>
                  <pic:nvPicPr>
                    <pic:cNvPr descr="./A_Results_Suppl/Model01_imputed1/Posterior_predictive_dist_mod01imp.png" id="94" name="Picture"/>
                    <pic:cNvPicPr>
                      <a:picLocks noChangeArrowheads="1" noChangeAspect="1"/>
                    </pic:cNvPicPr>
                  </pic:nvPicPr>
                  <pic:blipFill>
                    <a:blip r:embed="rId9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S11. Posterior predictive distributions (boxplots) and jittered</w:t>
      </w:r>
      <w:r>
        <w:t xml:space="preserve"> </w:t>
      </w:r>
      <w:r>
        <w:t xml:space="preserve">observations (colored circles) of penguin performance, after removing</w:t>
      </w:r>
      <w:r>
        <w:t xml:space="preserve"> </w:t>
      </w:r>
      <w:r>
        <w:t xml:space="preserve">low coverage survey data; missing summer LKB were imputed according to</w:t>
      </w:r>
      <w:r>
        <w:t xml:space="preserve"> </w:t>
      </w:r>
      <w:r>
        <w:t xml:space="preserve">values in Table 1. Case 1 is ONI ≤ -0.5°C; LKB ≤ 1 Mt; and LHR ≤ 0.01</w:t>
      </w:r>
      <w:r>
        <w:t xml:space="preserve"> </w:t>
      </w:r>
      <w:r>
        <w:t xml:space="preserve">(the</w:t>
      </w:r>
      <w:r>
        <w:t xml:space="preserve"> </w:t>
      </w:r>
      <w:r>
        <w:t xml:space="preserve">“</w:t>
      </w:r>
      <w:r>
        <w:t xml:space="preserve">best case</w:t>
      </w:r>
      <w:r>
        <w:t xml:space="preserve">”</w:t>
      </w:r>
      <w:r>
        <w:t xml:space="preserve">). Case 2 is ONI ≤ -0.5°C; LKB &gt; 1 Mt; and LHR ≤ 0.01.</w:t>
      </w:r>
      <w:r>
        <w:t xml:space="preserve"> </w:t>
      </w:r>
      <w:r>
        <w:t xml:space="preserve">Case 3 is ONI ≤ -0.5°C; LKB ≤ 1 Mt; and 0.01 &lt; LHR &lt; 0.1. Case 4 is</w:t>
      </w:r>
      <w:r>
        <w:t xml:space="preserve"> </w:t>
      </w:r>
      <w:r>
        <w:t xml:space="preserve">ONI ≤ -0.5°C; LKB &gt; 1 Mt; and 0.01 &lt; LHR &lt; 0.1. Case 5 is ONI ≤</w:t>
      </w:r>
      <w:r>
        <w:t xml:space="preserve"> </w:t>
      </w:r>
      <w:r>
        <w:t xml:space="preserve">-0.5°C; LKB ≤ 1 Mt; and LHR ≥ 0.1. Case 6 is ONI ≤ -0.5°C; LKB &gt; 1 Mt;</w:t>
      </w:r>
      <w:r>
        <w:t xml:space="preserve"> </w:t>
      </w:r>
      <w:r>
        <w:t xml:space="preserve">and LHR ≥ 0.1. Cases 7-12 are the same as Cases 1-6 except -0.5°C &lt; ONI</w:t>
      </w:r>
      <w:r>
        <w:t xml:space="preserve"> </w:t>
      </w:r>
      <w:r>
        <w:t xml:space="preserve">&lt; 0.5°C; Case 12 is the</w:t>
      </w:r>
      <w:r>
        <w:t xml:space="preserve"> </w:t>
      </w:r>
      <w:r>
        <w:t xml:space="preserve">“</w:t>
      </w:r>
      <w:r>
        <w:t xml:space="preserve">worst case.</w:t>
      </w:r>
      <w:r>
        <w:t xml:space="preserve">”</w:t>
      </w:r>
      <w:r>
        <w:t xml:space="preserve"> </w:t>
      </w:r>
      <w:r>
        <w:t xml:space="preserve">Cases 13-18 are the same as Cases</w:t>
      </w:r>
      <w:r>
        <w:t xml:space="preserve"> </w:t>
      </w:r>
      <w:r>
        <w:t xml:space="preserve">1-6 except ONI ≥ 0.5°C. Filled red circles represent summer observations</w:t>
      </w:r>
      <w:r>
        <w:t xml:space="preserve"> </w:t>
      </w:r>
      <w:r>
        <w:t xml:space="preserve">from krill surveys. Blue circles represent winter observations. Boxes</w:t>
      </w:r>
      <w:r>
        <w:t xml:space="preserve"> </w:t>
      </w:r>
      <w:r>
        <w:t xml:space="preserve">characterize interquartile ranges with medians indicated by bold</w:t>
      </w:r>
      <w:r>
        <w:t xml:space="preserve"> </w:t>
      </w:r>
      <w:r>
        <w:t xml:space="preserve">horizontal lines and whiskers extending to 1.5 times these ranges.</w:t>
      </w:r>
    </w:p>
    <w:p>
      <w:r>
        <w:br w:type="page"/>
      </w:r>
    </w:p>
    <w:p>
      <w:pPr>
        <w:pStyle w:val="BodyText"/>
      </w:pPr>
      <w:r>
        <w:drawing>
          <wp:inline>
            <wp:extent cx="5334000" cy="4000499"/>
            <wp:effectExtent b="0" l="0" r="0" t="0"/>
            <wp:docPr descr="" title="" id="96" name="Picture"/>
            <a:graphic>
              <a:graphicData uri="http://schemas.openxmlformats.org/drawingml/2006/picture">
                <pic:pic>
                  <pic:nvPicPr>
                    <pic:cNvPr descr="./A_Results_Suppl/Model01_imputed1/Penguin_performance_mod01imp.png" id="97" name="Picture"/>
                    <pic:cNvPicPr>
                      <a:picLocks noChangeArrowheads="1" noChangeAspect="1"/>
                    </pic:cNvPicPr>
                  </pic:nvPicPr>
                  <pic:blipFill>
                    <a:blip r:embed="rId9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 S12. Posterior expectations of penguin performance from the</w:t>
      </w:r>
      <w:r>
        <w:t xml:space="preserve"> </w:t>
      </w:r>
      <w:r>
        <w:t xml:space="preserve">sensitivity test in which: low coverage survey data was removed; missing</w:t>
      </w:r>
      <w:r>
        <w:t xml:space="preserve"> </w:t>
      </w:r>
      <w:r>
        <w:t xml:space="preserve">summer LKB were imputed according to values in Table 1. The</w:t>
      </w:r>
      <w:r>
        <w:t xml:space="preserve"> </w:t>
      </w:r>
      <w:r>
        <w:t xml:space="preserve">“</w:t>
      </w:r>
      <w:r>
        <w:t xml:space="preserve">best case</w:t>
      </w:r>
      <w:r>
        <w:t xml:space="preserve">”</w:t>
      </w:r>
      <w:r>
        <w:t xml:space="preserve"> </w:t>
      </w:r>
      <w:r>
        <w:t xml:space="preserve">is ONI ≤ -0.5; LKB ≤ 1 Mt; and LHR ≤ 0.01. The</w:t>
      </w:r>
      <w:r>
        <w:t xml:space="preserve"> </w:t>
      </w:r>
      <w:r>
        <w:t xml:space="preserve">“</w:t>
      </w:r>
      <w:r>
        <w:t xml:space="preserve">worst case</w:t>
      </w:r>
      <w:r>
        <w:t xml:space="preserve">”</w:t>
      </w:r>
      <w:r>
        <w:t xml:space="preserve"> </w:t>
      </w:r>
      <w:r>
        <w:t xml:space="preserve">is -0.5 &lt;</w:t>
      </w:r>
      <w:r>
        <w:t xml:space="preserve"> </w:t>
      </w:r>
      <w:r>
        <w:t xml:space="preserve">ONI &lt; 0.5; LKB &gt; 1 Mt, and LHR ≥ 0.1. All other cases are marginal</w:t>
      </w:r>
      <w:r>
        <w:t xml:space="preserve"> </w:t>
      </w:r>
      <w:r>
        <w:t xml:space="preserve">deviations from the best case. The median, interquartile range, and</w:t>
      </w:r>
      <w:r>
        <w:t xml:space="preserve"> </w:t>
      </w:r>
      <w:r>
        <w:t xml:space="preserve">range of the posterior expectations are provided for each boxplot.</w:t>
      </w:r>
      <w:r>
        <w:t xml:space="preserve"> </w:t>
      </w:r>
      <w:r>
        <w:t xml:space="preserve">Reference lines respectively indicate the median expected performance in</w:t>
      </w:r>
      <w:r>
        <w:t xml:space="preserve"> </w:t>
      </w:r>
      <w:r>
        <w:t xml:space="preserve">the best case (dashed line) and the long-term mean performance (solid</w:t>
      </w:r>
      <w:r>
        <w:t xml:space="preserve"> </w:t>
      </w:r>
      <w:r>
        <w:t xml:space="preserve">line). As per Supplementary Fig. S8, Watters et al. (2020).</w:t>
      </w:r>
    </w:p>
    <w:p>
      <w:r>
        <w:br w:type="page"/>
      </w:r>
    </w:p>
    <w:bookmarkEnd w:id="98"/>
    <w:bookmarkStart w:id="110" w:name="X45a19b814ed53da56129452edd32e1eb55d253a"/>
    <w:p>
      <w:pPr>
        <w:pStyle w:val="Heading1"/>
      </w:pPr>
      <w:r>
        <w:t xml:space="preserve">E. Continuing spatial and temporal mismatches</w:t>
      </w:r>
    </w:p>
    <w:p>
      <w:pPr>
        <w:pStyle w:val="TableCaption"/>
      </w:pPr>
      <w:r>
        <w:t xml:space="preserve">Table S5. Size of SSMUs for Subarea 48.1 and its relative size to the gSSMU where they are located. CCAMLR Small-Scale Management Units (SSMUs) were download from CCAMLR Public repository (</w:t>
      </w:r>
      <w:hyperlink r:id="rId99">
        <w:r>
          <w:rPr>
            <w:rStyle w:val="Hyperlink"/>
          </w:rPr>
          <w:t xml:space="preserve">https://github.com/ccamlr/data</w:t>
        </w:r>
      </w:hyperlink>
      <w:r>
        <w:t xml:space="preserve">).</w:t>
      </w:r>
      <w:r>
        <w:t xml:space="preserve"> </w:t>
      </w:r>
      <w:r>
        <w:t xml:space="preserve">CCAMLR. 2022. Geographical data layer: CCAMLR Fishery Small-Scale Management Units. Version 0.9, URL:</w:t>
      </w:r>
      <w:r>
        <w:t xml:space="preserve"> </w:t>
      </w:r>
      <w:hyperlink r:id="rId100">
        <w:r>
          <w:rPr>
            <w:rStyle w:val="Hyperlink"/>
          </w:rPr>
          <w:t xml:space="preserve">https://github.com/ccamlr/data/tree/main/geographical_data/ssmu/versions/v0.9</w:t>
        </w:r>
      </w:hyperlink>
      <w:r>
        <w:t xml:space="preserve">.</w:t>
      </w:r>
    </w:p>
    <w:tbl>
      <w:tblPr>
        <w:tblStyle w:val="Table"/>
        <w:tblW w:type="auto" w:w="0"/>
        <w:tblLook w:firstRow="1" w:lastRow="0" w:firstColumn="0" w:lastColumn="0" w:noHBand="0" w:noVBand="0" w:val="0020"/>
        <w:jc w:val="start"/>
        <w:tblCaption w:val="Table S5.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980"/>
        <w:gridCol w:w="1980"/>
        <w:gridCol w:w="1980"/>
        <w:gridCol w:w="1980"/>
      </w:tblGrid>
      <w:tr>
        <w:trPr>
          <w:tblHeader w:val="true"/>
        </w:trPr>
        <w:tc>
          <w:tcPr/>
          <w:p>
            <w:pPr>
              <w:pStyle w:val="Compact"/>
              <w:jc w:val="left"/>
            </w:pPr>
            <w:r>
              <w:t xml:space="preserve">SSMU</w:t>
            </w:r>
          </w:p>
        </w:tc>
        <w:tc>
          <w:tcPr/>
          <w:p>
            <w:pPr>
              <w:pStyle w:val="Compact"/>
              <w:jc w:val="center"/>
            </w:pPr>
            <w:r>
              <w:t xml:space="preserve">Area (km2)</w:t>
            </w:r>
          </w:p>
        </w:tc>
        <w:tc>
          <w:tcPr/>
          <w:p>
            <w:pPr>
              <w:pStyle w:val="Compact"/>
              <w:jc w:val="center"/>
            </w:pPr>
            <w:r>
              <w:t xml:space="preserve">gSSMU</w:t>
            </w:r>
          </w:p>
        </w:tc>
        <w:tc>
          <w:tcPr/>
          <w:p>
            <w:pPr>
              <w:pStyle w:val="Compact"/>
              <w:jc w:val="center"/>
            </w:pPr>
            <w:r>
              <w:t xml:space="preserve">Area fraction</w:t>
            </w:r>
          </w:p>
        </w:tc>
      </w:tr>
      <w:tr>
        <w:tc>
          <w:tcPr/>
          <w:p>
            <w:pPr>
              <w:pStyle w:val="Compact"/>
              <w:jc w:val="left"/>
            </w:pPr>
            <w:r>
              <w:t xml:space="preserve">APBSE</w:t>
            </w:r>
          </w:p>
        </w:tc>
        <w:tc>
          <w:tcPr/>
          <w:p>
            <w:pPr>
              <w:pStyle w:val="Compact"/>
              <w:jc w:val="center"/>
            </w:pPr>
            <w:r>
              <w:t xml:space="preserve">28814.69</w:t>
            </w:r>
          </w:p>
        </w:tc>
        <w:tc>
          <w:tcPr/>
          <w:p>
            <w:pPr>
              <w:pStyle w:val="Compact"/>
              <w:jc w:val="center"/>
            </w:pPr>
            <w:r>
              <w:t xml:space="preserve">1</w:t>
            </w:r>
          </w:p>
        </w:tc>
        <w:tc>
          <w:tcPr/>
          <w:p>
            <w:pPr>
              <w:pStyle w:val="Compact"/>
              <w:jc w:val="center"/>
            </w:pPr>
            <w:r>
              <w:t xml:space="preserve">0.565</w:t>
            </w:r>
          </w:p>
        </w:tc>
      </w:tr>
      <w:tr>
        <w:tc>
          <w:tcPr/>
          <w:p>
            <w:pPr>
              <w:pStyle w:val="Compact"/>
              <w:jc w:val="left"/>
            </w:pPr>
            <w:r>
              <w:t xml:space="preserve">APBSW</w:t>
            </w:r>
          </w:p>
        </w:tc>
        <w:tc>
          <w:tcPr/>
          <w:p>
            <w:pPr>
              <w:pStyle w:val="Compact"/>
              <w:jc w:val="center"/>
            </w:pPr>
            <w:r>
              <w:t xml:space="preserve">22154.81</w:t>
            </w:r>
          </w:p>
        </w:tc>
        <w:tc>
          <w:tcPr/>
          <w:p>
            <w:pPr>
              <w:pStyle w:val="Compact"/>
              <w:jc w:val="center"/>
            </w:pPr>
            <w:r>
              <w:t xml:space="preserve">1</w:t>
            </w:r>
          </w:p>
        </w:tc>
        <w:tc>
          <w:tcPr/>
          <w:p>
            <w:pPr>
              <w:pStyle w:val="Compact"/>
              <w:jc w:val="center"/>
            </w:pPr>
            <w:r>
              <w:t xml:space="preserve">0.435</w:t>
            </w:r>
          </w:p>
        </w:tc>
      </w:tr>
      <w:tr>
        <w:tc>
          <w:tcPr/>
          <w:p>
            <w:pPr>
              <w:pStyle w:val="Compact"/>
              <w:jc w:val="left"/>
            </w:pPr>
            <w:r>
              <w:t xml:space="preserve">APEI</w:t>
            </w:r>
          </w:p>
        </w:tc>
        <w:tc>
          <w:tcPr/>
          <w:p>
            <w:pPr>
              <w:pStyle w:val="Compact"/>
              <w:jc w:val="center"/>
            </w:pPr>
            <w:r>
              <w:t xml:space="preserve">36407.41</w:t>
            </w:r>
          </w:p>
        </w:tc>
        <w:tc>
          <w:tcPr/>
          <w:p>
            <w:pPr>
              <w:pStyle w:val="Compact"/>
              <w:jc w:val="center"/>
            </w:pPr>
            <w:r>
              <w:t xml:space="preserve">2</w:t>
            </w:r>
          </w:p>
        </w:tc>
        <w:tc>
          <w:tcPr/>
          <w:p>
            <w:pPr>
              <w:pStyle w:val="Compact"/>
              <w:jc w:val="center"/>
            </w:pPr>
            <w:r>
              <w:t xml:space="preserve">0.528</w:t>
            </w:r>
          </w:p>
        </w:tc>
      </w:tr>
      <w:tr>
        <w:tc>
          <w:tcPr/>
          <w:p>
            <w:pPr>
              <w:pStyle w:val="Compact"/>
              <w:jc w:val="left"/>
            </w:pPr>
            <w:r>
              <w:t xml:space="preserve">APDPE</w:t>
            </w:r>
          </w:p>
        </w:tc>
        <w:tc>
          <w:tcPr/>
          <w:p>
            <w:pPr>
              <w:pStyle w:val="Compact"/>
              <w:jc w:val="center"/>
            </w:pPr>
            <w:r>
              <w:t xml:space="preserve">16554.09</w:t>
            </w:r>
          </w:p>
        </w:tc>
        <w:tc>
          <w:tcPr/>
          <w:p>
            <w:pPr>
              <w:pStyle w:val="Compact"/>
              <w:jc w:val="center"/>
            </w:pPr>
            <w:r>
              <w:t xml:space="preserve">2</w:t>
            </w:r>
          </w:p>
        </w:tc>
        <w:tc>
          <w:tcPr/>
          <w:p>
            <w:pPr>
              <w:pStyle w:val="Compact"/>
              <w:jc w:val="center"/>
            </w:pPr>
            <w:r>
              <w:t xml:space="preserve">0.240</w:t>
            </w:r>
          </w:p>
        </w:tc>
      </w:tr>
      <w:tr>
        <w:tc>
          <w:tcPr/>
          <w:p>
            <w:pPr>
              <w:pStyle w:val="Compact"/>
              <w:jc w:val="left"/>
            </w:pPr>
            <w:r>
              <w:t xml:space="preserve">APDPW</w:t>
            </w:r>
          </w:p>
        </w:tc>
        <w:tc>
          <w:tcPr/>
          <w:p>
            <w:pPr>
              <w:pStyle w:val="Compact"/>
              <w:jc w:val="center"/>
            </w:pPr>
            <w:r>
              <w:t xml:space="preserve">15955.73</w:t>
            </w:r>
          </w:p>
        </w:tc>
        <w:tc>
          <w:tcPr/>
          <w:p>
            <w:pPr>
              <w:pStyle w:val="Compact"/>
              <w:jc w:val="center"/>
            </w:pPr>
            <w:r>
              <w:t xml:space="preserve">2</w:t>
            </w:r>
          </w:p>
        </w:tc>
        <w:tc>
          <w:tcPr/>
          <w:p>
            <w:pPr>
              <w:pStyle w:val="Compact"/>
              <w:jc w:val="center"/>
            </w:pPr>
            <w:r>
              <w:t xml:space="preserve">0.232</w:t>
            </w:r>
          </w:p>
        </w:tc>
      </w:tr>
      <w:tr>
        <w:tc>
          <w:tcPr/>
          <w:p>
            <w:pPr>
              <w:pStyle w:val="Compact"/>
              <w:jc w:val="left"/>
            </w:pPr>
            <w:r>
              <w:t xml:space="preserve">APPA</w:t>
            </w:r>
          </w:p>
        </w:tc>
        <w:tc>
          <w:tcPr/>
          <w:p>
            <w:pPr>
              <w:pStyle w:val="Compact"/>
              <w:jc w:val="center"/>
            </w:pPr>
            <w:r>
              <w:t xml:space="preserve">441639.72</w:t>
            </w:r>
          </w:p>
        </w:tc>
        <w:tc>
          <w:tcPr/>
          <w:p>
            <w:pPr>
              <w:pStyle w:val="Compact"/>
              <w:jc w:val="center"/>
            </w:pPr>
            <w:r>
              <w:t xml:space="preserve">3</w:t>
            </w:r>
          </w:p>
        </w:tc>
        <w:tc>
          <w:tcPr/>
          <w:p>
            <w:pPr>
              <w:pStyle w:val="Compact"/>
              <w:jc w:val="center"/>
            </w:pPr>
            <w:r>
              <w:t xml:space="preserve">1.000</w:t>
            </w:r>
          </w:p>
        </w:tc>
      </w:tr>
      <w:tr>
        <w:tc>
          <w:tcPr/>
          <w:p>
            <w:pPr>
              <w:pStyle w:val="Compact"/>
              <w:jc w:val="left"/>
            </w:pPr>
            <w:r>
              <w:t xml:space="preserve">APE</w:t>
            </w:r>
          </w:p>
        </w:tc>
        <w:tc>
          <w:tcPr/>
          <w:p>
            <w:pPr>
              <w:pStyle w:val="Compact"/>
              <w:jc w:val="center"/>
            </w:pPr>
            <w:r>
              <w:t xml:space="preserve">63331.00</w:t>
            </w:r>
          </w:p>
        </w:tc>
        <w:tc>
          <w:tcPr/>
          <w:p>
            <w:pPr>
              <w:pStyle w:val="Compact"/>
              <w:jc w:val="center"/>
            </w:pPr>
            <w:r>
              <w:t xml:space="preserve">4</w:t>
            </w:r>
          </w:p>
        </w:tc>
        <w:tc>
          <w:tcPr/>
          <w:p>
            <w:pPr>
              <w:pStyle w:val="Compact"/>
              <w:jc w:val="center"/>
            </w:pPr>
            <w:r>
              <w:t xml:space="preserve">0.629</w:t>
            </w:r>
          </w:p>
        </w:tc>
      </w:tr>
      <w:tr>
        <w:tc>
          <w:tcPr/>
          <w:p>
            <w:pPr>
              <w:pStyle w:val="Compact"/>
              <w:jc w:val="left"/>
            </w:pPr>
            <w:r>
              <w:t xml:space="preserve">APW</w:t>
            </w:r>
          </w:p>
        </w:tc>
        <w:tc>
          <w:tcPr/>
          <w:p>
            <w:pPr>
              <w:pStyle w:val="Compact"/>
              <w:jc w:val="center"/>
            </w:pPr>
            <w:r>
              <w:t xml:space="preserve">37366.93</w:t>
            </w:r>
          </w:p>
        </w:tc>
        <w:tc>
          <w:tcPr/>
          <w:p>
            <w:pPr>
              <w:pStyle w:val="Compact"/>
              <w:jc w:val="center"/>
            </w:pPr>
            <w:r>
              <w:t xml:space="preserve">4</w:t>
            </w:r>
          </w:p>
        </w:tc>
        <w:tc>
          <w:tcPr/>
          <w:p>
            <w:pPr>
              <w:pStyle w:val="Compact"/>
              <w:jc w:val="center"/>
            </w:pPr>
            <w:r>
              <w:t xml:space="preserve">0.371</w:t>
            </w:r>
          </w:p>
        </w:tc>
      </w:tr>
    </w:tbl>
    <w:p>
      <w:pPr>
        <w:pStyle w:val="BodyText"/>
      </w:pPr>
      <w:r>
        <w:t xml:space="preserve">Effect of Spatial and temporal mismatches in penguin performance.</w:t>
      </w:r>
    </w:p>
    <w:p>
      <w:pPr>
        <w:pStyle w:val="BodyText"/>
      </w:pPr>
      <w:r>
        <w:drawing>
          <wp:inline>
            <wp:extent cx="3467100" cy="2600324"/>
            <wp:effectExtent b="0" l="0" r="0" t="0"/>
            <wp:docPr descr="" title="" id="102" name="Picture"/>
            <a:graphic>
              <a:graphicData uri="http://schemas.openxmlformats.org/drawingml/2006/picture">
                <pic:pic>
                  <pic:nvPicPr>
                    <pic:cNvPr descr="./A_Results/Watters_model/Imputed/Watters_Posterior_predictive_dist_imputed.png" id="103" name="Picture"/>
                    <pic:cNvPicPr>
                      <a:picLocks noChangeArrowheads="1" noChangeAspect="1"/>
                    </pic:cNvPicPr>
                  </pic:nvPicPr>
                  <pic:blipFill>
                    <a:blip r:embed="rId101"/>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600324"/>
            <wp:effectExtent b="0" l="0" r="0" t="0"/>
            <wp:docPr descr="" title="" id="105" name="Picture"/>
            <a:graphic>
              <a:graphicData uri="http://schemas.openxmlformats.org/drawingml/2006/picture">
                <pic:pic>
                  <pic:nvPicPr>
                    <pic:cNvPr descr="./A_Results/Model02_SSMU/Posterior_predictive_dist_mod02_SSMU.png" id="106" name="Picture"/>
                    <pic:cNvPicPr>
                      <a:picLocks noChangeArrowheads="1" noChangeAspect="1"/>
                    </pic:cNvPicPr>
                  </pic:nvPicPr>
                  <pic:blipFill>
                    <a:blip r:embed="rId104"/>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600324"/>
            <wp:effectExtent b="0" l="0" r="0" t="0"/>
            <wp:docPr descr="" title="" id="108" name="Picture"/>
            <a:graphic>
              <a:graphicData uri="http://schemas.openxmlformats.org/drawingml/2006/picture">
                <pic:pic>
                  <pic:nvPicPr>
                    <pic:cNvPr descr="./A_Results/Model02_SSMU_MarchWinter/Posterior_predictive_dist_mod02_SSMU_W.png" id="109" name="Picture"/>
                    <pic:cNvPicPr>
                      <a:picLocks noChangeArrowheads="1" noChangeAspect="1"/>
                    </pic:cNvPicPr>
                  </pic:nvPicPr>
                  <pic:blipFill>
                    <a:blip r:embed="rId107"/>
                    <a:stretch>
                      <a:fillRect/>
                    </a:stretch>
                  </pic:blipFill>
                  <pic:spPr bwMode="auto">
                    <a:xfrm>
                      <a:off x="0" y="0"/>
                      <a:ext cx="3467100" cy="2600324"/>
                    </a:xfrm>
                    <a:prstGeom prst="rect">
                      <a:avLst/>
                    </a:prstGeom>
                    <a:noFill/>
                    <a:ln w="9525">
                      <a:noFill/>
                      <a:headEnd/>
                      <a:tailEnd/>
                    </a:ln>
                  </pic:spPr>
                </pic:pic>
              </a:graphicData>
            </a:graphic>
          </wp:inline>
        </w:drawing>
      </w:r>
    </w:p>
    <w:p>
      <w:pPr>
        <w:pStyle w:val="BodyText"/>
      </w:pPr>
      <w:r>
        <w:t xml:space="preserve">Figure S13. Posterior predictive distributions (boxplots) and jittered observations (colored circles) of penguin performance. A) Watters model. B) Model SSMU. C) Model SSMU + 03W.</w:t>
      </w:r>
    </w:p>
    <w:p>
      <w:r>
        <w:br w:type="page"/>
      </w:r>
    </w:p>
    <w:bookmarkEnd w:id="110"/>
    <w:bookmarkStart w:id="111" w:name="X8375765046d0f73b4765f4a4661648b0d84c187"/>
    <w:p>
      <w:pPr>
        <w:pStyle w:val="Heading1"/>
      </w:pPr>
      <w:r>
        <w:t xml:space="preserve">F. Krill consumption by main predator taxa</w:t>
      </w:r>
    </w:p>
    <w:p>
      <w:pPr>
        <w:pStyle w:val="FirstParagraph"/>
      </w:pPr>
      <w:r>
        <w:t xml:space="preserve">Krill consumption by major predator groups during the study period was summarized by Hill et al. (2007). During summer, fish accounted for the largest proportion of krill consumption, with estimated removals of</w:t>
      </w:r>
      <w:r>
        <w:t xml:space="preserve"> </w:t>
      </w:r>
      <w:r>
        <w:t xml:space="preserve">1,425,193 in the</w:t>
      </w:r>
      <w:r>
        <w:t xml:space="preserve"> </w:t>
      </w:r>
      <w:r>
        <w:t xml:space="preserve">Bransfield Strait (gSMSMU #1: APBSW + APBSE) and</w:t>
      </w:r>
      <w:r>
        <w:t xml:space="preserve"> </w:t>
      </w:r>
      <w:r>
        <w:t xml:space="preserve">845,772 in the</w:t>
      </w:r>
      <w:r>
        <w:t xml:space="preserve"> </w:t>
      </w:r>
      <w:r>
        <w:t xml:space="preserve">Drake Passage (gSSMU #2: APDPW + APDPE). Combined summer consumption by</w:t>
      </w:r>
      <w:r>
        <w:t xml:space="preserve"> </w:t>
      </w:r>
      <w:r>
        <w:t xml:space="preserve">penguins and whales was estimated at</w:t>
      </w:r>
      <w:r>
        <w:t xml:space="preserve"> </w:t>
      </w:r>
      <w:r>
        <w:t xml:space="preserve">444,674</w:t>
      </w:r>
      <w:r>
        <w:t xml:space="preserve"> </w:t>
      </w:r>
      <w:r>
        <w:t xml:space="preserve">in the Bransfield Strait and</w:t>
      </w:r>
      <w:r>
        <w:t xml:space="preserve"> </w:t>
      </w:r>
      <w:r>
        <w:t xml:space="preserve">328,774</w:t>
      </w:r>
      <w:r>
        <w:t xml:space="preserve"> </w:t>
      </w:r>
      <w:r>
        <w:t xml:space="preserve">in the Drake Passage (Table S6). Total summer krill consumption therefore exceeded 1 million t (Mt) in both gSSMU #1 and gSSMU #2.</w:t>
      </w:r>
    </w:p>
    <w:p>
      <w:pPr>
        <w:pStyle w:val="BodyText"/>
      </w:pPr>
      <w:r>
        <w:t xml:space="preserve">Watters et al. (2020) concluded that krill biomass at the Antarctic Peninsula is generally sufficient to support penguin production. Consistent with this, no evidence of acute adult penguin mortality or complete absence of birds at nesting grounds has been documented in the region, in contrast to patterns reported for other penguin species during severe starvation events (Vianna et al. 2014; Crawford et al. 2025). Summer survey estimates below 1 Mt for each gSSMU are therefore inconsistent with observed predator dynamics and likely underestimate krill availability.</w:t>
      </w:r>
    </w:p>
    <w:p>
      <w:pPr>
        <w:pStyle w:val="BodyText"/>
      </w:pPr>
      <w:r>
        <w:t xml:space="preserve">Winter consumption estimates were lower and more uncertain. Hill et al.</w:t>
      </w:r>
      <w:r>
        <w:t xml:space="preserve"> </w:t>
      </w:r>
      <w:r>
        <w:t xml:space="preserve">(2007) estimated fish consumption at</w:t>
      </w:r>
      <w:r>
        <w:t xml:space="preserve"> </w:t>
      </w:r>
      <w:r>
        <w:t xml:space="preserve">255,990 in the</w:t>
      </w:r>
      <w:r>
        <w:t xml:space="preserve"> </w:t>
      </w:r>
      <w:r>
        <w:t xml:space="preserve">Bransfield Strait and</w:t>
      </w:r>
      <w:r>
        <w:t xml:space="preserve"> </w:t>
      </w:r>
      <w:r>
        <w:t xml:space="preserve">147,440 in the</w:t>
      </w:r>
      <w:r>
        <w:t xml:space="preserve"> </w:t>
      </w:r>
      <w:r>
        <w:t xml:space="preserve">Drake Passage. Penguin consumption during winter was estimated at</w:t>
      </w:r>
      <w:r>
        <w:t xml:space="preserve"> </w:t>
      </w:r>
      <w:r>
        <w:t xml:space="preserve">306,416 in the</w:t>
      </w:r>
      <w:r>
        <w:t xml:space="preserve"> </w:t>
      </w:r>
      <w:r>
        <w:t xml:space="preserve">Bransfield Strait and</w:t>
      </w:r>
      <w:r>
        <w:t xml:space="preserve"> </w:t>
      </w:r>
      <w:r>
        <w:t xml:space="preserve">239,435 in the</w:t>
      </w:r>
      <w:r>
        <w:t xml:space="preserve"> </w:t>
      </w:r>
      <w:r>
        <w:t xml:space="preserve">Drake Passage. Combined winter consumption by fish and penguins</w:t>
      </w:r>
      <w:r>
        <w:t xml:space="preserve"> </w:t>
      </w:r>
      <w:r>
        <w:t xml:space="preserve">therefore exceeded 500,000 t and 350,000 for gSSMU #1 and #2.</w:t>
      </w:r>
      <w:r>
        <w:t xml:space="preserve"> </w:t>
      </w:r>
      <w:r>
        <w:t xml:space="preserve">respectively (Table S7).</w:t>
      </w:r>
    </w:p>
    <w:p>
      <w:pPr>
        <w:pStyle w:val="BodyText"/>
      </w:pPr>
      <w:r>
        <w:t xml:space="preserve">Since the Hill et al. (2007) estimates, survey-based population assessments indicate that humpback whale abundance has increased approximately 13-fold since 1990, and fin whale abundance approximately 9-fold since 2000 (Table S8). These increases suggest that whale krill consumption at the Antarctic Peninsula is substantially higher today than reflected in the Hill et al. (2007) estimates.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S6. Estimated krill consumption by major predator taxa during the
austral summer. Values from Hill et al. (2007), Table 15.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4"/>
        <w:gridCol w:w="1087"/>
        <w:gridCol w:w="1024"/>
        <w:gridCol w:w="1158"/>
        <w:gridCol w:w="1167"/>
        <w:gridCol w:w="1318"/>
        <w:gridCol w:w="1452"/>
      </w:tblGrid>
      <w:tr>
        <w:trPr>
          <w:trHeight w:val="34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SSMU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No_Fish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No_Whales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No_Penguins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Fish_Krill_ton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Whale_Krill_ton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Penguin_Krill_ton</w:t>
            </w:r>
          </w:p>
        </w:tc>
      </w:tr>
      <w:tr>
        <w:trPr>
          <w:trHeight w:val="33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301,932,508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74,798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400,061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19,091</w:t>
            </w:r>
          </w:p>
        </w:tc>
      </w:tr>
      <w:tr>
        <w:trPr>
          <w:trHeight w:val="33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322,045,302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1,084,367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272,817</w:t>
            </w:r>
          </w:p>
        </w:tc>
      </w:tr>
      <w:tr>
        <w:trPr>
          <w:trHeight w:val="33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438,862,551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616,602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292,363</w:t>
            </w:r>
          </w:p>
        </w:tc>
      </w:tr>
      <w:tr>
        <w:trPr>
          <w:trHeight w:val="335"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574,691,426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298,817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808,591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94,071</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S7. Estimated krill consumption by major predator taxa during the
austral winter. Values from Hill et al. (2007), Table 15.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4"/>
        <w:gridCol w:w="1087"/>
        <w:gridCol w:w="1024"/>
        <w:gridCol w:w="1158"/>
        <w:gridCol w:w="1167"/>
        <w:gridCol w:w="1318"/>
        <w:gridCol w:w="1452"/>
      </w:tblGrid>
      <w:tr>
        <w:trPr>
          <w:trHeight w:val="34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SSMU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No_Fish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No_Whales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No_Penguins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Fish_Krill_ton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Whale_Krill_ton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Penguin_Krill_ton</w:t>
            </w:r>
          </w:p>
        </w:tc>
      </w:tr>
      <w:tr>
        <w:trPr>
          <w:trHeight w:val="33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301,932,508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74,798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68,539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15,358</w:t>
            </w:r>
          </w:p>
        </w:tc>
      </w:tr>
      <w:tr>
        <w:trPr>
          <w:trHeight w:val="33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APDPE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322,045,302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1,084,367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224,077</w:t>
            </w:r>
          </w:p>
        </w:tc>
      </w:tr>
      <w:tr>
        <w:trPr>
          <w:trHeight w:val="33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438,862,551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239,585</w:t>
            </w:r>
          </w:p>
        </w:tc>
      </w:tr>
      <w:tr>
        <w:trPr>
          <w:trHeight w:val="335"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APBSE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574,691,426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298,817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66,831</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S8. Estimated whale abundance for gSSMU #1 and #2 during the study period.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5"/>
        <w:gridCol w:w="3093"/>
        <w:gridCol w:w="598"/>
        <w:gridCol w:w="1007"/>
        <w:gridCol w:w="2733"/>
        <w:gridCol w:w="1941"/>
      </w:tblGrid>
      <w:tr>
        <w:trPr>
          <w:trHeight w:val="34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Geographic.location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Abundance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Source</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Humpback whale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0.05; 3666-4036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of 60°S, 110°W–50°W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CCAMLR Subarea 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32.41%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Bransfield Strait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14.13%; 95% CI = 656–1,141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Bransfield and Gerlache Straits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14.13%; 95% CI = 656–1,141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4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Drake Passage + Bransfield Strait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1,207-6,710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2016</w:t>
            </w:r>
          </w:p>
        </w:tc>
      </w:tr>
      <w:tr>
        <w:trPr>
          <w:trHeight w:val="33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Whole G stock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8520-10202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Whole G stock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Western 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0.06; 95% CI = 10,944–14,791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Seiboth et al. 2023</w:t>
            </w:r>
          </w:p>
        </w:tc>
      </w:tr>
      <w:tr>
        <w:trPr>
          <w:trHeight w:val="33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Western Antarctic Peninsula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Johannessen et al. 2020</w:t>
            </w:r>
          </w:p>
        </w:tc>
      </w:tr>
      <w:tr>
        <w:trPr>
          <w:trHeight w:val="19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4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Fin whales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CV = 57.08%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Reilly et al., 2004</w:t>
            </w:r>
          </w:p>
        </w:tc>
      </w:tr>
      <w:tr>
        <w:trPr>
          <w:trHeight w:val="33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2,221-7785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2016</w:t>
            </w:r>
          </w:p>
        </w:tc>
      </w:tr>
      <w:tr>
        <w:trPr>
          <w:trHeight w:val="34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South Shetlands North + Elephant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1,047-15,743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 et al., 2022</w:t>
            </w:r>
          </w:p>
        </w:tc>
      </w:tr>
      <w:tr>
        <w:trPr>
          <w:trHeight w:val="336" w:hRule="auto"/>
        </w:trPr>
        body17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Antarctic Peninsula stratum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 CI = 7,454-24,400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Biuw et al., 2024</w:t>
            </w:r>
          </w:p>
        </w:tc>
      </w:tr>
    </w:tbl>
    <w:bookmarkEnd w:id="111"/>
    <w:bookmarkStart w:id="112" w:name="citations"/>
    <w:p>
      <w:pPr>
        <w:pStyle w:val="Heading1"/>
      </w:pPr>
      <w:r>
        <w:t xml:space="preserve">Citations</w:t>
      </w:r>
    </w:p>
    <w:p>
      <w:pPr>
        <w:pStyle w:val="FirstParagraph"/>
      </w:pPr>
      <w:r>
        <w:t xml:space="preserve">Biuw, M., Lindstrøm, U., Jackson, J.A., Baines, M., Kelly, N., McCallum, G., Skaret, G., Krafft, B.A. Estimated summer abundance and krill consumption of fin whales throughout the Scotia Sea during the 2018/2019 summer season. Sci Rep 14, 7493 (2024).</w:t>
      </w:r>
    </w:p>
    <w:p>
      <w:pPr>
        <w:pStyle w:val="BodyText"/>
      </w:pPr>
      <w:r>
        <w:t xml:space="preserve">Herr, H., Viquerat, S., Devas, F., Lees, A., Wells, L., Gregory, B., Giffords, T., Beecham, D., Meyer, B. Return of large fin whale feeding aggregations to historical whaling grounds in the Southern Ocean. Sci Rep 12, 9458 (2022).</w:t>
      </w:r>
    </w:p>
    <w:p>
      <w:pPr>
        <w:pStyle w:val="BodyText"/>
      </w:pPr>
      <w:r>
        <w:t xml:space="preserve">Herr, H., Viquerat, S., Siegel, V., Kock, K.-H., Dorschel, B., Huneke, W.G.C., Bracher, A., Schröder, M., Gutt, J. Horizontal niche partitioning of humpback and fin whales around the West Antarctic Peninsula: evidence from a concurrent whale and krill survey. Polar Biol 39, 799–818 (2016).</w:t>
      </w:r>
    </w:p>
    <w:p>
      <w:pPr>
        <w:pStyle w:val="BodyText"/>
      </w:pPr>
      <w:r>
        <w:t xml:space="preserve">Hill, S.L., Reid, K., Thorpe, S.E., Cb, C., Hinke, J., Watters, G.M., Grove, P. A compilation of parameters for ecosystem dynamics models of the Scotia Sea – Antarctic Peninsula region. CCAMLR Science 14, 1–25 (2007).</w:t>
      </w:r>
    </w:p>
    <w:p>
      <w:pPr>
        <w:pStyle w:val="BodyText"/>
      </w:pPr>
      <w:r>
        <w:t xml:space="preserve">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pPr>
        <w:pStyle w:val="BodyText"/>
      </w:pPr>
      <w:r>
        <w:t xml:space="preserve">Reilly, S., Hedley, S., Borberg, J., Hewitt, R., Thiele, D., Watkins, J., Naganobu, M. Biomass and energy transfer to baleen whales in the South Atlantic sector of the Southern Ocean. Deep Sea Research Part II: Topical Studies in Oceanography 51, 1397–1409 (2004).</w:t>
      </w:r>
    </w:p>
    <w:p>
      <w:pPr>
        <w:pStyle w:val="BodyText"/>
      </w:pPr>
      <w:r>
        <w:t xml:space="preserve">Seyboth, E., Meynecke, J.-O., De Bie, J., Roychoudhury, A., Findlay, K. A review of post-whaling abundance, trends, changes in distribution and migration patterns, and supplementary feeding of Southern Hemisphere humpback whales. Front. Mar. Sci. 10, 997491 (2023).</w:t>
      </w:r>
    </w:p>
    <w:p>
      <w:pPr>
        <w:pStyle w:val="BodyText"/>
      </w:pPr>
      <w:r>
        <w:t xml:space="preserve">Vianna, J.A., Cortes, M., Ramos, B., Sallaberry-Pincheira, N., González, D., Dantas, G.P.M., Morgante, J., Simeone, A., Luna-Jorquera, G., 2014. Changes in abundance and distribution of Humboldt penguin Spheniscus humboldti. Marine Ornithology 42, 153–159 (2014).</w:t>
      </w:r>
    </w:p>
    <w:p>
      <w:pPr>
        <w:pStyle w:val="BodyText"/>
      </w:pPr>
      <w:r>
        <w:t xml:space="preserve">Watters, G.M., Hinke, J.T., Reiss, C.S. Long-term observations from Antarctica demonstrate that mismatched scales of fisheries management and predator-prey interaction lead to erroneous conclusions about precaution. Sci Rep 10, 2314 (2020).</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4" Target="media/rId10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27" Target="media/rId2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99" Target="https://github.com/ccamlr/data" TargetMode="External" /><Relationship Type="http://schemas.openxmlformats.org/officeDocument/2006/relationships/hyperlink" Id="rId100" Target="https://github.com/ccamlr/data/tree/main/geographical_data/ssmu/versions/v0.9" TargetMode="External" /></Relationships>
</file>

<file path=word/_rels/footnotes.xml.rels><?xml version="1.0" encoding="UTF-8"?><Relationships xmlns="http://schemas.openxmlformats.org/package/2006/relationships"><Relationship Type="http://schemas.openxmlformats.org/officeDocument/2006/relationships/hyperlink" Id="rId99" Target="https://github.com/ccamlr/data" TargetMode="External" /><Relationship Type="http://schemas.openxmlformats.org/officeDocument/2006/relationships/hyperlink" Id="rId100" Target="https://github.com/ccamlr/data/tree/main/geographical_data/ssmu/versions/v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dcterms:created xsi:type="dcterms:W3CDTF">2026-03-26T15:55:35Z</dcterms:created>
  <dcterms:modified xsi:type="dcterms:W3CDTF">2026-03-26T15:55:35Z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2026-03-26</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