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90A6A" w14:textId="77777777" w:rsidR="005522D8" w:rsidRDefault="00126105">
      <w:pPr>
        <w:pStyle w:val="Ttulo"/>
      </w:pPr>
      <w:r>
        <w:t>Supplemtary material: A Rebuttal to Watters et al. (2020): Misinterpretation of Predator-Prey Dynamics leading to erroneous Precautionary Management in Antarctic Krill Fisheries</w:t>
      </w:r>
    </w:p>
    <w:p w14:paraId="36490A6B" w14:textId="77777777" w:rsidR="005522D8" w:rsidRDefault="00126105">
      <w:pPr>
        <w:pStyle w:val="Fecha"/>
      </w:pPr>
      <w:r>
        <w:t>2026-01-12</w:t>
      </w:r>
    </w:p>
    <w:p w14:paraId="36490A6C" w14:textId="77777777" w:rsidR="005522D8" w:rsidRDefault="00126105">
      <w:pPr>
        <w:pStyle w:val="Ttulo1"/>
      </w:pPr>
      <w:bookmarkStart w:id="0" w:name="a.-analysis-of-survey-coverage"/>
      <w:r>
        <w:t>A. Analysis of Survey Coverage</w:t>
      </w:r>
    </w:p>
    <w:p w14:paraId="36490A6D" w14:textId="77777777" w:rsidR="005522D8" w:rsidRDefault="00126105">
      <w:pPr>
        <w:pStyle w:val="FirstParagraph"/>
      </w:pPr>
      <w:r>
        <w:t>Survey coverage, expressed as nautical miles surveyed within each gSSMU and survey leg, varied among years and between legs. In most years, two survey legs were conducted. Watters et al. (2020) proposed excluding surveys with transect coverage of 80 nm or less, but did not apply this criterion.</w:t>
      </w:r>
    </w:p>
    <w:p w14:paraId="36490A6E" w14:textId="77777777" w:rsidR="005522D8" w:rsidRDefault="00126105">
      <w:pPr>
        <w:pStyle w:val="Textoindependiente"/>
      </w:pPr>
      <w:r>
        <w:t>Rather than applying a fixed threshold, we examined the frequency distribution of surveyed transect lengths for gSSMUs 1 and 2 separately and excluded surveys falling below the lower 10th percentile. This approach resulted in the exclusion of three survey legs in gSSMU 1 (≤10 nm; 1996, 1999, 2010, and 2012) and three survey legs in gSSMU 2 (≤200 nm; 2010, 2011 and 2012) (Figure S1).</w:t>
      </w:r>
    </w:p>
    <w:p w14:paraId="36490A6F" w14:textId="77777777" w:rsidR="005522D8" w:rsidRDefault="00126105">
      <w:pPr>
        <w:pStyle w:val="Textoindependiente"/>
      </w:pPr>
      <w:r>
        <w:rPr>
          <w:noProof/>
        </w:rPr>
        <w:lastRenderedPageBreak/>
        <w:drawing>
          <wp:inline distT="0" distB="0" distL="0" distR="0" wp14:anchorId="36490B82" wp14:editId="36490B83">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36490B84" wp14:editId="36490B85">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36490A70" w14:textId="77777777" w:rsidR="005522D8" w:rsidRDefault="00126105">
      <w:pPr>
        <w:pStyle w:val="Textoindependiente"/>
      </w:pPr>
      <w:r>
        <w:t>Figure S1. Annual survey coverage (total transect length surveyed) by gSSMU, year and survey leg [top panel]. Frequency distribution of summed transect lengths across all surveys, with the 10th percentile marked by the dashed line [bottom panel].</w:t>
      </w:r>
    </w:p>
    <w:p w14:paraId="36490A71" w14:textId="77777777" w:rsidR="005522D8" w:rsidRDefault="00126105">
      <w:r>
        <w:br w:type="page"/>
      </w:r>
    </w:p>
    <w:p w14:paraId="36490A72" w14:textId="77777777" w:rsidR="005522D8" w:rsidRDefault="00126105">
      <w:pPr>
        <w:pStyle w:val="Ttulo1"/>
      </w:pPr>
      <w:bookmarkStart w:id="1" w:name="Xdec01b5238bb5b03d97df130ad70050d4a88b3b"/>
      <w:bookmarkEnd w:id="0"/>
      <w:r>
        <w:lastRenderedPageBreak/>
        <w:t>B. Distribution of observed vs imputed summer ln</w:t>
      </w:r>
      <w:r>
        <w:rPr>
          <w:i/>
          <w:iCs/>
        </w:rPr>
        <w:t>LKB</w:t>
      </w:r>
      <w:r>
        <w:t xml:space="preserve"> values</w:t>
      </w:r>
    </w:p>
    <w:p w14:paraId="36490A73" w14:textId="77777777" w:rsidR="005522D8" w:rsidRDefault="00126105">
      <w:pPr>
        <w:pStyle w:val="FirstParagraph"/>
      </w:pPr>
      <w:r>
        <w:t>We evaluated the procedure used to impute LKB values in years without survey data. First, we assessed whether ln</w:t>
      </w:r>
      <w:r>
        <w:rPr>
          <w:i/>
          <w:iCs/>
        </w:rPr>
        <w:t>LKB</w:t>
      </w:r>
      <w:r>
        <w:t xml:space="preserve"> from survey observations followed an appropriate parametric distribution. We then generated imputed ln</w:t>
      </w:r>
      <w:r>
        <w:rPr>
          <w:i/>
          <w:iCs/>
        </w:rPr>
        <w:t>LKB</w:t>
      </w:r>
      <w:r>
        <w:t xml:space="preserve"> values following equations (1) and (2) of Watters et al. (2020) and compared the resulting distributions with the empirical distribution of observed data.</w:t>
      </w:r>
    </w:p>
    <w:p w14:paraId="36490A74" w14:textId="77777777" w:rsidR="005522D8" w:rsidRDefault="00126105">
      <w:pPr>
        <w:pStyle w:val="Textoindependiente"/>
      </w:pPr>
      <w:r>
        <w:t>We fitted a log-normal distribution to the survey-based LKB data and assessed normality of ln</w:t>
      </w:r>
      <w:r>
        <w:rPr>
          <w:i/>
          <w:iCs/>
        </w:rPr>
        <w:t>LKB</w:t>
      </w:r>
      <w:r>
        <w:t xml:space="preserve"> using the Shapiro–Wilk test. Using the same parameterization, we generated 100,000 imputed ln</w:t>
      </w:r>
      <w:r>
        <w:rPr>
          <w:i/>
          <w:iCs/>
        </w:rPr>
        <w:t>LKB</w:t>
      </w:r>
      <w:r>
        <w:t xml:space="preserve"> values from equations (1) and (2), applying lower and upper bounds of 10,000 t and 1 × 10⁹ t, respectively, as defined in Supplementary Material S1. Normality of the imputed ln</w:t>
      </w:r>
      <w:r>
        <w:rPr>
          <w:i/>
          <w:iCs/>
        </w:rPr>
        <w:t>LKB</w:t>
      </w:r>
      <w:r>
        <w:t xml:space="preserve"> distribution was then re-evaluated using the Shapiro–Wilk test.</w:t>
      </w:r>
    </w:p>
    <w:p w14:paraId="36490A75" w14:textId="77777777" w:rsidR="005522D8" w:rsidRDefault="00126105">
      <w:pPr>
        <w:pStyle w:val="Textoindependiente"/>
      </w:pPr>
      <w:r>
        <w:t>Observed survey-based LKB distributions for all gSSMU–SAM combinations were well described by a log-normal distribution (Supplementary Material, Table S1; Figure S2). In contrast, ln(LKB) values generated through the imputation procedure of Watters et al. (2020) were concentrated toward the upper bound of the imposed limits, with mean ln(LKB) values of 17.5–17.7 (approximately 44 Mt), and did not conform to a log-normal distribution (Supplementary Material, Table S2; Figure S3).</w:t>
      </w:r>
    </w:p>
    <w:p w14:paraId="36490A76" w14:textId="77777777" w:rsidR="005522D8" w:rsidRDefault="00126105">
      <w:pPr>
        <w:pStyle w:val="Textoindependiente"/>
      </w:pPr>
      <w:r>
        <w:t>Table S1. Shapiro–Wilk test results for normality of observed log-transformed LKB values, reported by gSSMU and SAM sign. Columns show sample size (n), p-value, and W-statistic.</w:t>
      </w:r>
    </w:p>
    <w:tbl>
      <w:tblPr>
        <w:tblStyle w:val="Table"/>
        <w:tblW w:w="0" w:type="auto"/>
        <w:tblLook w:val="0020" w:firstRow="1" w:lastRow="0" w:firstColumn="0" w:lastColumn="0" w:noHBand="0" w:noVBand="0"/>
      </w:tblPr>
      <w:tblGrid>
        <w:gridCol w:w="924"/>
        <w:gridCol w:w="1108"/>
        <w:gridCol w:w="482"/>
        <w:gridCol w:w="992"/>
        <w:gridCol w:w="797"/>
      </w:tblGrid>
      <w:tr w:rsidR="005522D8" w14:paraId="36490A7C" w14:textId="77777777" w:rsidTr="005522D8">
        <w:trPr>
          <w:cnfStyle w:val="100000000000" w:firstRow="1" w:lastRow="0" w:firstColumn="0" w:lastColumn="0" w:oddVBand="0" w:evenVBand="0" w:oddHBand="0" w:evenHBand="0" w:firstRowFirstColumn="0" w:firstRowLastColumn="0" w:lastRowFirstColumn="0" w:lastRowLastColumn="0"/>
          <w:tblHeader/>
        </w:trPr>
        <w:tc>
          <w:tcPr>
            <w:tcW w:w="0" w:type="auto"/>
          </w:tcPr>
          <w:p w14:paraId="36490A77" w14:textId="77777777" w:rsidR="005522D8" w:rsidRDefault="00126105">
            <w:pPr>
              <w:pStyle w:val="Compact"/>
            </w:pPr>
            <w:r>
              <w:t>gSSMU</w:t>
            </w:r>
          </w:p>
        </w:tc>
        <w:tc>
          <w:tcPr>
            <w:tcW w:w="0" w:type="auto"/>
          </w:tcPr>
          <w:p w14:paraId="36490A78" w14:textId="77777777" w:rsidR="005522D8" w:rsidRDefault="00126105">
            <w:pPr>
              <w:pStyle w:val="Compact"/>
            </w:pPr>
            <w:r>
              <w:t>sam.sign</w:t>
            </w:r>
          </w:p>
        </w:tc>
        <w:tc>
          <w:tcPr>
            <w:tcW w:w="0" w:type="auto"/>
          </w:tcPr>
          <w:p w14:paraId="36490A79" w14:textId="77777777" w:rsidR="005522D8" w:rsidRDefault="00126105">
            <w:pPr>
              <w:pStyle w:val="Compact"/>
              <w:jc w:val="right"/>
            </w:pPr>
            <w:r>
              <w:t>n</w:t>
            </w:r>
          </w:p>
        </w:tc>
        <w:tc>
          <w:tcPr>
            <w:tcW w:w="0" w:type="auto"/>
          </w:tcPr>
          <w:p w14:paraId="36490A7A" w14:textId="77777777" w:rsidR="005522D8" w:rsidRDefault="00126105">
            <w:pPr>
              <w:pStyle w:val="Compact"/>
              <w:jc w:val="right"/>
            </w:pPr>
            <w:r>
              <w:t>p_value</w:t>
            </w:r>
          </w:p>
        </w:tc>
        <w:tc>
          <w:tcPr>
            <w:tcW w:w="0" w:type="auto"/>
          </w:tcPr>
          <w:p w14:paraId="36490A7B" w14:textId="77777777" w:rsidR="005522D8" w:rsidRDefault="00126105">
            <w:pPr>
              <w:pStyle w:val="Compact"/>
              <w:jc w:val="right"/>
            </w:pPr>
            <w:r>
              <w:t>W</w:t>
            </w:r>
          </w:p>
        </w:tc>
      </w:tr>
      <w:tr w:rsidR="005522D8" w14:paraId="36490A82" w14:textId="77777777">
        <w:tc>
          <w:tcPr>
            <w:tcW w:w="0" w:type="auto"/>
          </w:tcPr>
          <w:p w14:paraId="36490A7D" w14:textId="77777777" w:rsidR="005522D8" w:rsidRDefault="00126105">
            <w:pPr>
              <w:pStyle w:val="Compact"/>
            </w:pPr>
            <w:r>
              <w:t>1</w:t>
            </w:r>
          </w:p>
        </w:tc>
        <w:tc>
          <w:tcPr>
            <w:tcW w:w="0" w:type="auto"/>
          </w:tcPr>
          <w:p w14:paraId="36490A7E" w14:textId="77777777" w:rsidR="005522D8" w:rsidRDefault="00126105">
            <w:pPr>
              <w:pStyle w:val="Compact"/>
            </w:pPr>
            <w:r>
              <w:t>Neg</w:t>
            </w:r>
          </w:p>
        </w:tc>
        <w:tc>
          <w:tcPr>
            <w:tcW w:w="0" w:type="auto"/>
          </w:tcPr>
          <w:p w14:paraId="36490A7F" w14:textId="77777777" w:rsidR="005522D8" w:rsidRDefault="00126105">
            <w:pPr>
              <w:pStyle w:val="Compact"/>
              <w:jc w:val="right"/>
            </w:pPr>
            <w:r>
              <w:t>6</w:t>
            </w:r>
          </w:p>
        </w:tc>
        <w:tc>
          <w:tcPr>
            <w:tcW w:w="0" w:type="auto"/>
          </w:tcPr>
          <w:p w14:paraId="36490A80" w14:textId="77777777" w:rsidR="005522D8" w:rsidRDefault="00126105">
            <w:pPr>
              <w:pStyle w:val="Compact"/>
              <w:jc w:val="right"/>
            </w:pPr>
            <w:r>
              <w:t>0.307</w:t>
            </w:r>
          </w:p>
        </w:tc>
        <w:tc>
          <w:tcPr>
            <w:tcW w:w="0" w:type="auto"/>
          </w:tcPr>
          <w:p w14:paraId="36490A81" w14:textId="77777777" w:rsidR="005522D8" w:rsidRDefault="00126105">
            <w:pPr>
              <w:pStyle w:val="Compact"/>
              <w:jc w:val="right"/>
            </w:pPr>
            <w:r>
              <w:t>0.888</w:t>
            </w:r>
          </w:p>
        </w:tc>
      </w:tr>
      <w:tr w:rsidR="005522D8" w14:paraId="36490A88" w14:textId="77777777">
        <w:tc>
          <w:tcPr>
            <w:tcW w:w="0" w:type="auto"/>
          </w:tcPr>
          <w:p w14:paraId="36490A83" w14:textId="77777777" w:rsidR="005522D8" w:rsidRDefault="00126105">
            <w:pPr>
              <w:pStyle w:val="Compact"/>
            </w:pPr>
            <w:r>
              <w:t>1</w:t>
            </w:r>
          </w:p>
        </w:tc>
        <w:tc>
          <w:tcPr>
            <w:tcW w:w="0" w:type="auto"/>
          </w:tcPr>
          <w:p w14:paraId="36490A84" w14:textId="77777777" w:rsidR="005522D8" w:rsidRDefault="00126105">
            <w:pPr>
              <w:pStyle w:val="Compact"/>
            </w:pPr>
            <w:r>
              <w:t>Pos</w:t>
            </w:r>
          </w:p>
        </w:tc>
        <w:tc>
          <w:tcPr>
            <w:tcW w:w="0" w:type="auto"/>
          </w:tcPr>
          <w:p w14:paraId="36490A85" w14:textId="77777777" w:rsidR="005522D8" w:rsidRDefault="00126105">
            <w:pPr>
              <w:pStyle w:val="Compact"/>
              <w:jc w:val="right"/>
            </w:pPr>
            <w:r>
              <w:t>10</w:t>
            </w:r>
          </w:p>
        </w:tc>
        <w:tc>
          <w:tcPr>
            <w:tcW w:w="0" w:type="auto"/>
          </w:tcPr>
          <w:p w14:paraId="36490A86" w14:textId="77777777" w:rsidR="005522D8" w:rsidRDefault="00126105">
            <w:pPr>
              <w:pStyle w:val="Compact"/>
              <w:jc w:val="right"/>
            </w:pPr>
            <w:r>
              <w:t>0.827</w:t>
            </w:r>
          </w:p>
        </w:tc>
        <w:tc>
          <w:tcPr>
            <w:tcW w:w="0" w:type="auto"/>
          </w:tcPr>
          <w:p w14:paraId="36490A87" w14:textId="77777777" w:rsidR="005522D8" w:rsidRDefault="00126105">
            <w:pPr>
              <w:pStyle w:val="Compact"/>
              <w:jc w:val="right"/>
            </w:pPr>
            <w:r>
              <w:t>0.964</w:t>
            </w:r>
          </w:p>
        </w:tc>
      </w:tr>
      <w:tr w:rsidR="005522D8" w14:paraId="36490A8E" w14:textId="77777777">
        <w:tc>
          <w:tcPr>
            <w:tcW w:w="0" w:type="auto"/>
          </w:tcPr>
          <w:p w14:paraId="36490A89" w14:textId="77777777" w:rsidR="005522D8" w:rsidRDefault="00126105">
            <w:pPr>
              <w:pStyle w:val="Compact"/>
            </w:pPr>
            <w:r>
              <w:t>2</w:t>
            </w:r>
          </w:p>
        </w:tc>
        <w:tc>
          <w:tcPr>
            <w:tcW w:w="0" w:type="auto"/>
          </w:tcPr>
          <w:p w14:paraId="36490A8A" w14:textId="77777777" w:rsidR="005522D8" w:rsidRDefault="00126105">
            <w:pPr>
              <w:pStyle w:val="Compact"/>
            </w:pPr>
            <w:r>
              <w:t>Neg</w:t>
            </w:r>
          </w:p>
        </w:tc>
        <w:tc>
          <w:tcPr>
            <w:tcW w:w="0" w:type="auto"/>
          </w:tcPr>
          <w:p w14:paraId="36490A8B" w14:textId="77777777" w:rsidR="005522D8" w:rsidRDefault="00126105">
            <w:pPr>
              <w:pStyle w:val="Compact"/>
              <w:jc w:val="right"/>
            </w:pPr>
            <w:r>
              <w:t>6</w:t>
            </w:r>
          </w:p>
        </w:tc>
        <w:tc>
          <w:tcPr>
            <w:tcW w:w="0" w:type="auto"/>
          </w:tcPr>
          <w:p w14:paraId="36490A8C" w14:textId="77777777" w:rsidR="005522D8" w:rsidRDefault="00126105">
            <w:pPr>
              <w:pStyle w:val="Compact"/>
              <w:jc w:val="right"/>
            </w:pPr>
            <w:r>
              <w:t>0.635</w:t>
            </w:r>
          </w:p>
        </w:tc>
        <w:tc>
          <w:tcPr>
            <w:tcW w:w="0" w:type="auto"/>
          </w:tcPr>
          <w:p w14:paraId="36490A8D" w14:textId="77777777" w:rsidR="005522D8" w:rsidRDefault="00126105">
            <w:pPr>
              <w:pStyle w:val="Compact"/>
              <w:jc w:val="right"/>
            </w:pPr>
            <w:r>
              <w:t>0.937</w:t>
            </w:r>
          </w:p>
        </w:tc>
      </w:tr>
      <w:tr w:rsidR="005522D8" w14:paraId="36490A94" w14:textId="77777777">
        <w:tc>
          <w:tcPr>
            <w:tcW w:w="0" w:type="auto"/>
          </w:tcPr>
          <w:p w14:paraId="36490A8F" w14:textId="77777777" w:rsidR="005522D8" w:rsidRDefault="00126105">
            <w:pPr>
              <w:pStyle w:val="Compact"/>
            </w:pPr>
            <w:r>
              <w:t>2</w:t>
            </w:r>
          </w:p>
        </w:tc>
        <w:tc>
          <w:tcPr>
            <w:tcW w:w="0" w:type="auto"/>
          </w:tcPr>
          <w:p w14:paraId="36490A90" w14:textId="77777777" w:rsidR="005522D8" w:rsidRDefault="00126105">
            <w:pPr>
              <w:pStyle w:val="Compact"/>
            </w:pPr>
            <w:r>
              <w:t>Pos</w:t>
            </w:r>
          </w:p>
        </w:tc>
        <w:tc>
          <w:tcPr>
            <w:tcW w:w="0" w:type="auto"/>
          </w:tcPr>
          <w:p w14:paraId="36490A91" w14:textId="77777777" w:rsidR="005522D8" w:rsidRDefault="00126105">
            <w:pPr>
              <w:pStyle w:val="Compact"/>
              <w:jc w:val="right"/>
            </w:pPr>
            <w:r>
              <w:t>10</w:t>
            </w:r>
          </w:p>
        </w:tc>
        <w:tc>
          <w:tcPr>
            <w:tcW w:w="0" w:type="auto"/>
          </w:tcPr>
          <w:p w14:paraId="36490A92" w14:textId="77777777" w:rsidR="005522D8" w:rsidRDefault="00126105">
            <w:pPr>
              <w:pStyle w:val="Compact"/>
              <w:jc w:val="right"/>
            </w:pPr>
            <w:r>
              <w:t>0.052</w:t>
            </w:r>
          </w:p>
        </w:tc>
        <w:tc>
          <w:tcPr>
            <w:tcW w:w="0" w:type="auto"/>
          </w:tcPr>
          <w:p w14:paraId="36490A93" w14:textId="77777777" w:rsidR="005522D8" w:rsidRDefault="00126105">
            <w:pPr>
              <w:pStyle w:val="Compact"/>
              <w:jc w:val="right"/>
            </w:pPr>
            <w:r>
              <w:t>0.846</w:t>
            </w:r>
          </w:p>
        </w:tc>
      </w:tr>
    </w:tbl>
    <w:p w14:paraId="36490A95" w14:textId="77777777" w:rsidR="005522D8" w:rsidRDefault="00126105">
      <w:pPr>
        <w:pStyle w:val="Textoindependiente"/>
      </w:pPr>
      <w:r>
        <w:t>Table S2. Shapiro–Wilk test results for normality of imputed log-transformed LKB values. The table reports the total number of imputations generated (n_total), the subsample used for the test (n_used), and the corresponding W and p values for each gSSMU and SAM sign.</w:t>
      </w:r>
    </w:p>
    <w:tbl>
      <w:tblPr>
        <w:tblStyle w:val="Table"/>
        <w:tblW w:w="0" w:type="auto"/>
        <w:tblLook w:val="0020" w:firstRow="1" w:lastRow="0" w:firstColumn="0" w:lastColumn="0" w:noHBand="0" w:noVBand="0"/>
      </w:tblPr>
      <w:tblGrid>
        <w:gridCol w:w="924"/>
        <w:gridCol w:w="1108"/>
        <w:gridCol w:w="912"/>
        <w:gridCol w:w="925"/>
        <w:gridCol w:w="797"/>
        <w:gridCol w:w="992"/>
      </w:tblGrid>
      <w:tr w:rsidR="005522D8" w14:paraId="36490A9C" w14:textId="77777777" w:rsidTr="005522D8">
        <w:trPr>
          <w:cnfStyle w:val="100000000000" w:firstRow="1" w:lastRow="0" w:firstColumn="0" w:lastColumn="0" w:oddVBand="0" w:evenVBand="0" w:oddHBand="0" w:evenHBand="0" w:firstRowFirstColumn="0" w:firstRowLastColumn="0" w:lastRowFirstColumn="0" w:lastRowLastColumn="0"/>
          <w:tblHeader/>
        </w:trPr>
        <w:tc>
          <w:tcPr>
            <w:tcW w:w="0" w:type="auto"/>
          </w:tcPr>
          <w:p w14:paraId="36490A96" w14:textId="77777777" w:rsidR="005522D8" w:rsidRDefault="00126105">
            <w:pPr>
              <w:pStyle w:val="Compact"/>
            </w:pPr>
            <w:r>
              <w:t>gSSMU</w:t>
            </w:r>
          </w:p>
        </w:tc>
        <w:tc>
          <w:tcPr>
            <w:tcW w:w="0" w:type="auto"/>
          </w:tcPr>
          <w:p w14:paraId="36490A97" w14:textId="77777777" w:rsidR="005522D8" w:rsidRDefault="00126105">
            <w:pPr>
              <w:pStyle w:val="Compact"/>
            </w:pPr>
            <w:r>
              <w:t>sam.sign</w:t>
            </w:r>
          </w:p>
        </w:tc>
        <w:tc>
          <w:tcPr>
            <w:tcW w:w="0" w:type="auto"/>
          </w:tcPr>
          <w:p w14:paraId="36490A98" w14:textId="77777777" w:rsidR="005522D8" w:rsidRDefault="00126105">
            <w:pPr>
              <w:pStyle w:val="Compact"/>
              <w:jc w:val="right"/>
            </w:pPr>
            <w:r>
              <w:t>n_total</w:t>
            </w:r>
          </w:p>
        </w:tc>
        <w:tc>
          <w:tcPr>
            <w:tcW w:w="0" w:type="auto"/>
          </w:tcPr>
          <w:p w14:paraId="36490A99" w14:textId="77777777" w:rsidR="005522D8" w:rsidRDefault="00126105">
            <w:pPr>
              <w:pStyle w:val="Compact"/>
              <w:jc w:val="right"/>
            </w:pPr>
            <w:r>
              <w:t>n_used</w:t>
            </w:r>
          </w:p>
        </w:tc>
        <w:tc>
          <w:tcPr>
            <w:tcW w:w="0" w:type="auto"/>
          </w:tcPr>
          <w:p w14:paraId="36490A9A" w14:textId="77777777" w:rsidR="005522D8" w:rsidRDefault="00126105">
            <w:pPr>
              <w:pStyle w:val="Compact"/>
              <w:jc w:val="right"/>
            </w:pPr>
            <w:r>
              <w:t>W</w:t>
            </w:r>
          </w:p>
        </w:tc>
        <w:tc>
          <w:tcPr>
            <w:tcW w:w="0" w:type="auto"/>
          </w:tcPr>
          <w:p w14:paraId="36490A9B" w14:textId="77777777" w:rsidR="005522D8" w:rsidRDefault="00126105">
            <w:pPr>
              <w:pStyle w:val="Compact"/>
              <w:jc w:val="right"/>
            </w:pPr>
            <w:r>
              <w:t>p_value</w:t>
            </w:r>
          </w:p>
        </w:tc>
      </w:tr>
      <w:tr w:rsidR="005522D8" w14:paraId="36490AA3" w14:textId="77777777">
        <w:tc>
          <w:tcPr>
            <w:tcW w:w="0" w:type="auto"/>
          </w:tcPr>
          <w:p w14:paraId="36490A9D" w14:textId="77777777" w:rsidR="005522D8" w:rsidRDefault="00126105">
            <w:pPr>
              <w:pStyle w:val="Compact"/>
            </w:pPr>
            <w:r>
              <w:t>1</w:t>
            </w:r>
          </w:p>
        </w:tc>
        <w:tc>
          <w:tcPr>
            <w:tcW w:w="0" w:type="auto"/>
          </w:tcPr>
          <w:p w14:paraId="36490A9E" w14:textId="77777777" w:rsidR="005522D8" w:rsidRDefault="00126105">
            <w:pPr>
              <w:pStyle w:val="Compact"/>
            </w:pPr>
            <w:r>
              <w:t>Neg</w:t>
            </w:r>
          </w:p>
        </w:tc>
        <w:tc>
          <w:tcPr>
            <w:tcW w:w="0" w:type="auto"/>
          </w:tcPr>
          <w:p w14:paraId="36490A9F" w14:textId="77777777" w:rsidR="005522D8" w:rsidRDefault="00126105">
            <w:pPr>
              <w:pStyle w:val="Compact"/>
              <w:jc w:val="right"/>
            </w:pPr>
            <w:r>
              <w:t>1e+05</w:t>
            </w:r>
          </w:p>
        </w:tc>
        <w:tc>
          <w:tcPr>
            <w:tcW w:w="0" w:type="auto"/>
          </w:tcPr>
          <w:p w14:paraId="36490AA0" w14:textId="77777777" w:rsidR="005522D8" w:rsidRDefault="00126105">
            <w:pPr>
              <w:pStyle w:val="Compact"/>
              <w:jc w:val="right"/>
            </w:pPr>
            <w:r>
              <w:t>5000</w:t>
            </w:r>
          </w:p>
        </w:tc>
        <w:tc>
          <w:tcPr>
            <w:tcW w:w="0" w:type="auto"/>
          </w:tcPr>
          <w:p w14:paraId="36490AA1" w14:textId="77777777" w:rsidR="005522D8" w:rsidRDefault="00126105">
            <w:pPr>
              <w:pStyle w:val="Compact"/>
              <w:jc w:val="right"/>
            </w:pPr>
            <w:r>
              <w:t>0.366</w:t>
            </w:r>
          </w:p>
        </w:tc>
        <w:tc>
          <w:tcPr>
            <w:tcW w:w="0" w:type="auto"/>
          </w:tcPr>
          <w:p w14:paraId="36490AA2" w14:textId="77777777" w:rsidR="005522D8" w:rsidRDefault="00126105">
            <w:pPr>
              <w:pStyle w:val="Compact"/>
              <w:jc w:val="right"/>
            </w:pPr>
            <w:r>
              <w:t>0</w:t>
            </w:r>
          </w:p>
        </w:tc>
      </w:tr>
      <w:tr w:rsidR="005522D8" w14:paraId="36490AAA" w14:textId="77777777">
        <w:tc>
          <w:tcPr>
            <w:tcW w:w="0" w:type="auto"/>
          </w:tcPr>
          <w:p w14:paraId="36490AA4" w14:textId="77777777" w:rsidR="005522D8" w:rsidRDefault="00126105">
            <w:pPr>
              <w:pStyle w:val="Compact"/>
            </w:pPr>
            <w:r>
              <w:t>1</w:t>
            </w:r>
          </w:p>
        </w:tc>
        <w:tc>
          <w:tcPr>
            <w:tcW w:w="0" w:type="auto"/>
          </w:tcPr>
          <w:p w14:paraId="36490AA5" w14:textId="77777777" w:rsidR="005522D8" w:rsidRDefault="00126105">
            <w:pPr>
              <w:pStyle w:val="Compact"/>
            </w:pPr>
            <w:r>
              <w:t>Pos</w:t>
            </w:r>
          </w:p>
        </w:tc>
        <w:tc>
          <w:tcPr>
            <w:tcW w:w="0" w:type="auto"/>
          </w:tcPr>
          <w:p w14:paraId="36490AA6" w14:textId="77777777" w:rsidR="005522D8" w:rsidRDefault="00126105">
            <w:pPr>
              <w:pStyle w:val="Compact"/>
              <w:jc w:val="right"/>
            </w:pPr>
            <w:r>
              <w:t>1e+05</w:t>
            </w:r>
          </w:p>
        </w:tc>
        <w:tc>
          <w:tcPr>
            <w:tcW w:w="0" w:type="auto"/>
          </w:tcPr>
          <w:p w14:paraId="36490AA7" w14:textId="77777777" w:rsidR="005522D8" w:rsidRDefault="00126105">
            <w:pPr>
              <w:pStyle w:val="Compact"/>
              <w:jc w:val="right"/>
            </w:pPr>
            <w:r>
              <w:t>5000</w:t>
            </w:r>
          </w:p>
        </w:tc>
        <w:tc>
          <w:tcPr>
            <w:tcW w:w="0" w:type="auto"/>
          </w:tcPr>
          <w:p w14:paraId="36490AA8" w14:textId="77777777" w:rsidR="005522D8" w:rsidRDefault="00126105">
            <w:pPr>
              <w:pStyle w:val="Compact"/>
              <w:jc w:val="right"/>
            </w:pPr>
            <w:r>
              <w:t>0.367</w:t>
            </w:r>
          </w:p>
        </w:tc>
        <w:tc>
          <w:tcPr>
            <w:tcW w:w="0" w:type="auto"/>
          </w:tcPr>
          <w:p w14:paraId="36490AA9" w14:textId="77777777" w:rsidR="005522D8" w:rsidRDefault="00126105">
            <w:pPr>
              <w:pStyle w:val="Compact"/>
              <w:jc w:val="right"/>
            </w:pPr>
            <w:r>
              <w:t>0</w:t>
            </w:r>
          </w:p>
        </w:tc>
      </w:tr>
      <w:tr w:rsidR="005522D8" w14:paraId="36490AB1" w14:textId="77777777">
        <w:tc>
          <w:tcPr>
            <w:tcW w:w="0" w:type="auto"/>
          </w:tcPr>
          <w:p w14:paraId="36490AAB" w14:textId="77777777" w:rsidR="005522D8" w:rsidRDefault="00126105">
            <w:pPr>
              <w:pStyle w:val="Compact"/>
            </w:pPr>
            <w:r>
              <w:t>2</w:t>
            </w:r>
          </w:p>
        </w:tc>
        <w:tc>
          <w:tcPr>
            <w:tcW w:w="0" w:type="auto"/>
          </w:tcPr>
          <w:p w14:paraId="36490AAC" w14:textId="77777777" w:rsidR="005522D8" w:rsidRDefault="00126105">
            <w:pPr>
              <w:pStyle w:val="Compact"/>
            </w:pPr>
            <w:r>
              <w:t>Neg</w:t>
            </w:r>
          </w:p>
        </w:tc>
        <w:tc>
          <w:tcPr>
            <w:tcW w:w="0" w:type="auto"/>
          </w:tcPr>
          <w:p w14:paraId="36490AAD" w14:textId="77777777" w:rsidR="005522D8" w:rsidRDefault="00126105">
            <w:pPr>
              <w:pStyle w:val="Compact"/>
              <w:jc w:val="right"/>
            </w:pPr>
            <w:r>
              <w:t>1e+05</w:t>
            </w:r>
          </w:p>
        </w:tc>
        <w:tc>
          <w:tcPr>
            <w:tcW w:w="0" w:type="auto"/>
          </w:tcPr>
          <w:p w14:paraId="36490AAE" w14:textId="77777777" w:rsidR="005522D8" w:rsidRDefault="00126105">
            <w:pPr>
              <w:pStyle w:val="Compact"/>
              <w:jc w:val="right"/>
            </w:pPr>
            <w:r>
              <w:t>5000</w:t>
            </w:r>
          </w:p>
        </w:tc>
        <w:tc>
          <w:tcPr>
            <w:tcW w:w="0" w:type="auto"/>
          </w:tcPr>
          <w:p w14:paraId="36490AAF" w14:textId="77777777" w:rsidR="005522D8" w:rsidRDefault="00126105">
            <w:pPr>
              <w:pStyle w:val="Compact"/>
              <w:jc w:val="right"/>
            </w:pPr>
            <w:r>
              <w:t>0.366</w:t>
            </w:r>
          </w:p>
        </w:tc>
        <w:tc>
          <w:tcPr>
            <w:tcW w:w="0" w:type="auto"/>
          </w:tcPr>
          <w:p w14:paraId="36490AB0" w14:textId="77777777" w:rsidR="005522D8" w:rsidRDefault="00126105">
            <w:pPr>
              <w:pStyle w:val="Compact"/>
              <w:jc w:val="right"/>
            </w:pPr>
            <w:r>
              <w:t>0</w:t>
            </w:r>
          </w:p>
        </w:tc>
      </w:tr>
      <w:tr w:rsidR="005522D8" w14:paraId="36490AB8" w14:textId="77777777">
        <w:tc>
          <w:tcPr>
            <w:tcW w:w="0" w:type="auto"/>
          </w:tcPr>
          <w:p w14:paraId="36490AB2" w14:textId="77777777" w:rsidR="005522D8" w:rsidRDefault="00126105">
            <w:pPr>
              <w:pStyle w:val="Compact"/>
            </w:pPr>
            <w:r>
              <w:t>2</w:t>
            </w:r>
          </w:p>
        </w:tc>
        <w:tc>
          <w:tcPr>
            <w:tcW w:w="0" w:type="auto"/>
          </w:tcPr>
          <w:p w14:paraId="36490AB3" w14:textId="77777777" w:rsidR="005522D8" w:rsidRDefault="00126105">
            <w:pPr>
              <w:pStyle w:val="Compact"/>
            </w:pPr>
            <w:r>
              <w:t>Pos</w:t>
            </w:r>
          </w:p>
        </w:tc>
        <w:tc>
          <w:tcPr>
            <w:tcW w:w="0" w:type="auto"/>
          </w:tcPr>
          <w:p w14:paraId="36490AB4" w14:textId="77777777" w:rsidR="005522D8" w:rsidRDefault="00126105">
            <w:pPr>
              <w:pStyle w:val="Compact"/>
              <w:jc w:val="right"/>
            </w:pPr>
            <w:r>
              <w:t>1e+05</w:t>
            </w:r>
          </w:p>
        </w:tc>
        <w:tc>
          <w:tcPr>
            <w:tcW w:w="0" w:type="auto"/>
          </w:tcPr>
          <w:p w14:paraId="36490AB5" w14:textId="77777777" w:rsidR="005522D8" w:rsidRDefault="00126105">
            <w:pPr>
              <w:pStyle w:val="Compact"/>
              <w:jc w:val="right"/>
            </w:pPr>
            <w:r>
              <w:t>5000</w:t>
            </w:r>
          </w:p>
        </w:tc>
        <w:tc>
          <w:tcPr>
            <w:tcW w:w="0" w:type="auto"/>
          </w:tcPr>
          <w:p w14:paraId="36490AB6" w14:textId="77777777" w:rsidR="005522D8" w:rsidRDefault="00126105">
            <w:pPr>
              <w:pStyle w:val="Compact"/>
              <w:jc w:val="right"/>
            </w:pPr>
            <w:r>
              <w:t>0.338</w:t>
            </w:r>
          </w:p>
        </w:tc>
        <w:tc>
          <w:tcPr>
            <w:tcW w:w="0" w:type="auto"/>
          </w:tcPr>
          <w:p w14:paraId="36490AB7" w14:textId="77777777" w:rsidR="005522D8" w:rsidRDefault="00126105">
            <w:pPr>
              <w:pStyle w:val="Compact"/>
              <w:jc w:val="right"/>
            </w:pPr>
            <w:r>
              <w:t>0</w:t>
            </w:r>
          </w:p>
        </w:tc>
      </w:tr>
    </w:tbl>
    <w:p w14:paraId="36490AB9" w14:textId="77777777" w:rsidR="005522D8" w:rsidRDefault="00126105">
      <w:pPr>
        <w:pStyle w:val="Textoindependiente"/>
      </w:pPr>
      <w:r>
        <w:rPr>
          <w:noProof/>
        </w:rPr>
        <w:lastRenderedPageBreak/>
        <w:drawing>
          <wp:inline distT="0" distB="0" distL="0" distR="0" wp14:anchorId="36490B86" wp14:editId="36490B87">
            <wp:extent cx="4267200" cy="29837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atters_Rebutt_Suppl_Mat_files/figure-docx/Survey%20histogram-1.png"/>
                    <pic:cNvPicPr>
                      <a:picLocks noChangeAspect="1" noChangeArrowheads="1"/>
                    </pic:cNvPicPr>
                  </pic:nvPicPr>
                  <pic:blipFill>
                    <a:blip r:embed="rId9"/>
                    <a:stretch>
                      <a:fillRect/>
                    </a:stretch>
                  </pic:blipFill>
                  <pic:spPr bwMode="auto">
                    <a:xfrm>
                      <a:off x="0" y="0"/>
                      <a:ext cx="4267200" cy="2983706"/>
                    </a:xfrm>
                    <a:prstGeom prst="rect">
                      <a:avLst/>
                    </a:prstGeom>
                    <a:noFill/>
                    <a:ln w="9525">
                      <a:noFill/>
                      <a:headEnd/>
                      <a:tailEnd/>
                    </a:ln>
                  </pic:spPr>
                </pic:pic>
              </a:graphicData>
            </a:graphic>
          </wp:inline>
        </w:drawing>
      </w:r>
    </w:p>
    <w:p w14:paraId="36490ABA" w14:textId="77777777" w:rsidR="005522D8" w:rsidRDefault="00126105">
      <w:pPr>
        <w:pStyle w:val="Textoindependiente"/>
      </w:pPr>
      <w:r>
        <w:t>Figure S2. Distribution of ln-transformed acoustic biomass (LnSurvey) shown as histograms stratified by gSSMU (1, 2) and SAM sign (Neg, Pos). The solid curve in each panel shows the log-normal density fitted to the observed survey values.</w:t>
      </w:r>
    </w:p>
    <w:p w14:paraId="36490ABB" w14:textId="77777777" w:rsidR="005522D8" w:rsidRDefault="00126105">
      <w:pPr>
        <w:pStyle w:val="Textoindependiente"/>
      </w:pPr>
      <w:r>
        <w:rPr>
          <w:noProof/>
        </w:rPr>
        <w:drawing>
          <wp:inline distT="0" distB="0" distL="0" distR="0" wp14:anchorId="36490B88" wp14:editId="36490B89">
            <wp:extent cx="4267200" cy="2769576"/>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_Rebutt_Suppl_Mat_files/figure-docx/Imputed%20Survey-1.png"/>
                    <pic:cNvPicPr>
                      <a:picLocks noChangeAspect="1" noChangeArrowheads="1"/>
                    </pic:cNvPicPr>
                  </pic:nvPicPr>
                  <pic:blipFill>
                    <a:blip r:embed="rId10"/>
                    <a:stretch>
                      <a:fillRect/>
                    </a:stretch>
                  </pic:blipFill>
                  <pic:spPr bwMode="auto">
                    <a:xfrm>
                      <a:off x="0" y="0"/>
                      <a:ext cx="4267200" cy="2769576"/>
                    </a:xfrm>
                    <a:prstGeom prst="rect">
                      <a:avLst/>
                    </a:prstGeom>
                    <a:noFill/>
                    <a:ln w="9525">
                      <a:noFill/>
                      <a:headEnd/>
                      <a:tailEnd/>
                    </a:ln>
                  </pic:spPr>
                </pic:pic>
              </a:graphicData>
            </a:graphic>
          </wp:inline>
        </w:drawing>
      </w:r>
    </w:p>
    <w:p w14:paraId="36490ABC" w14:textId="77777777" w:rsidR="005522D8" w:rsidRDefault="00126105">
      <w:pPr>
        <w:pStyle w:val="Textoindependiente"/>
      </w:pPr>
      <w:r>
        <w:t>Figure S3. Distribution of ln-transformed imputed biomass (LnSurvey) shown as histograms stratified by gSSMU (1, 2) and SAM sign (Neg, Pos). The solid curve in each panel shows the log-normal density fitted to the observed survey values.</w:t>
      </w:r>
    </w:p>
    <w:p w14:paraId="36490ABD" w14:textId="77777777" w:rsidR="005522D8" w:rsidRDefault="00126105">
      <w:pPr>
        <w:pStyle w:val="Ttulo1"/>
      </w:pPr>
      <w:bookmarkStart w:id="2" w:name="X3d5f127bfb3c908c1c6d4f349b238ac75f03dd1"/>
      <w:bookmarkEnd w:id="1"/>
      <w:r>
        <w:lastRenderedPageBreak/>
        <w:t>C. Effect of Survey filtering and imputed LKB values on penguin performance</w:t>
      </w:r>
    </w:p>
    <w:p w14:paraId="36490ABE" w14:textId="77777777" w:rsidR="005522D8" w:rsidRDefault="00126105">
      <w:pPr>
        <w:pStyle w:val="FirstParagraph"/>
      </w:pPr>
      <w:r>
        <w:t>Penguin performance and posterior predictive distributions were re-analysed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36490ABF" w14:textId="1DAE77D5" w:rsidR="005522D8" w:rsidRDefault="00126105">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w:t>
      </w:r>
      <w:r w:rsidR="0045274D">
        <w:t xml:space="preserve"> had </w:t>
      </w:r>
      <w:r w:rsidR="005570EE">
        <w:t>no</w:t>
      </w:r>
      <w:r>
        <w:t xml:space="preserve"> empirical observations.</w:t>
      </w:r>
    </w:p>
    <w:p w14:paraId="36490AC0" w14:textId="77777777" w:rsidR="005522D8" w:rsidRDefault="00126105">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w:t>
      </w:r>
      <w:r>
        <w:t xml:space="preserve"> 0.10 (case 10).</w:t>
      </w:r>
    </w:p>
    <w:p w14:paraId="36490AC1" w14:textId="77777777" w:rsidR="005522D8" w:rsidRDefault="00126105">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36490AC2" w14:textId="77777777" w:rsidR="005522D8" w:rsidRDefault="00126105">
      <w:pPr>
        <w:pStyle w:val="Textoindependiente"/>
      </w:pPr>
      <w:r>
        <w:t xml:space="preserve">Posterior expectations of penguin performance after filtering for survey coverage (Figure S5) were broadly similar to those reported by Watters et al. (2020, Supplementary Figure S8), but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w:t>
      </w:r>
      <w:r>
        <w:t>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36490AC3" w14:textId="77777777" w:rsidR="005522D8" w:rsidRDefault="00126105">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36490AC4" w14:textId="77777777" w:rsidR="005522D8" w:rsidRDefault="00126105">
      <w:pPr>
        <w:pStyle w:val="Textoindependiente"/>
      </w:pPr>
      <w:r>
        <w:t>Table S3. The posterior predictive distributions shows that only some of the potential combinations have actual data (Fig. S4). Specifically, most data comes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5522D8" w14:paraId="36490ACA" w14:textId="77777777" w:rsidTr="005522D8">
        <w:trPr>
          <w:cnfStyle w:val="100000000000" w:firstRow="1" w:lastRow="0" w:firstColumn="0" w:lastColumn="0" w:oddVBand="0" w:evenVBand="0" w:oddHBand="0" w:evenHBand="0" w:firstRowFirstColumn="0" w:firstRowLastColumn="0" w:lastRowFirstColumn="0" w:lastRowLastColumn="0"/>
          <w:tblHeader/>
        </w:trPr>
        <w:tc>
          <w:tcPr>
            <w:tcW w:w="0" w:type="auto"/>
          </w:tcPr>
          <w:p w14:paraId="36490AC5" w14:textId="77777777" w:rsidR="005522D8" w:rsidRDefault="00126105">
            <w:pPr>
              <w:pStyle w:val="Compact"/>
            </w:pPr>
            <w:r>
              <w:t>Scenario</w:t>
            </w:r>
          </w:p>
        </w:tc>
        <w:tc>
          <w:tcPr>
            <w:tcW w:w="0" w:type="auto"/>
          </w:tcPr>
          <w:p w14:paraId="36490AC6" w14:textId="77777777" w:rsidR="005522D8" w:rsidRDefault="00126105">
            <w:pPr>
              <w:pStyle w:val="Compact"/>
            </w:pPr>
            <w:r>
              <w:t>ONI</w:t>
            </w:r>
          </w:p>
        </w:tc>
        <w:tc>
          <w:tcPr>
            <w:tcW w:w="0" w:type="auto"/>
          </w:tcPr>
          <w:p w14:paraId="36490AC7" w14:textId="77777777" w:rsidR="005522D8" w:rsidRDefault="00126105">
            <w:pPr>
              <w:pStyle w:val="Compact"/>
            </w:pPr>
            <w:r>
              <w:t>LKB</w:t>
            </w:r>
          </w:p>
        </w:tc>
        <w:tc>
          <w:tcPr>
            <w:tcW w:w="0" w:type="auto"/>
          </w:tcPr>
          <w:p w14:paraId="36490AC8" w14:textId="77777777" w:rsidR="005522D8" w:rsidRDefault="00126105">
            <w:pPr>
              <w:pStyle w:val="Compact"/>
            </w:pPr>
            <w:r>
              <w:t>LHR</w:t>
            </w:r>
          </w:p>
        </w:tc>
        <w:tc>
          <w:tcPr>
            <w:tcW w:w="0" w:type="auto"/>
          </w:tcPr>
          <w:p w14:paraId="36490AC9" w14:textId="77777777" w:rsidR="005522D8" w:rsidRDefault="00126105">
            <w:pPr>
              <w:pStyle w:val="Compact"/>
            </w:pPr>
            <w:r>
              <w:t>Season</w:t>
            </w:r>
          </w:p>
        </w:tc>
      </w:tr>
      <w:tr w:rsidR="005522D8" w14:paraId="36490AD0" w14:textId="77777777">
        <w:tc>
          <w:tcPr>
            <w:tcW w:w="0" w:type="auto"/>
          </w:tcPr>
          <w:p w14:paraId="36490ACB" w14:textId="77777777" w:rsidR="005522D8" w:rsidRDefault="00126105">
            <w:pPr>
              <w:pStyle w:val="Compact"/>
            </w:pPr>
            <w:r>
              <w:t>Case 1 (‘best’)</w:t>
            </w:r>
          </w:p>
        </w:tc>
        <w:tc>
          <w:tcPr>
            <w:tcW w:w="0" w:type="auto"/>
          </w:tcPr>
          <w:p w14:paraId="36490ACC" w14:textId="77777777" w:rsidR="005522D8" w:rsidRDefault="00126105">
            <w:pPr>
              <w:pStyle w:val="Compact"/>
            </w:pPr>
            <w:r>
              <w:t>≤ -0.5</w:t>
            </w:r>
          </w:p>
        </w:tc>
        <w:tc>
          <w:tcPr>
            <w:tcW w:w="0" w:type="auto"/>
          </w:tcPr>
          <w:p w14:paraId="36490ACD" w14:textId="77777777" w:rsidR="005522D8" w:rsidRDefault="00126105">
            <w:pPr>
              <w:pStyle w:val="Compact"/>
            </w:pPr>
            <w:r>
              <w:t>≤ 1 Mt</w:t>
            </w:r>
          </w:p>
        </w:tc>
        <w:tc>
          <w:tcPr>
            <w:tcW w:w="0" w:type="auto"/>
          </w:tcPr>
          <w:p w14:paraId="36490ACE" w14:textId="77777777" w:rsidR="005522D8" w:rsidRDefault="00126105">
            <w:pPr>
              <w:pStyle w:val="Compact"/>
            </w:pPr>
            <w:r>
              <w:t>≤ 0.01</w:t>
            </w:r>
          </w:p>
        </w:tc>
        <w:tc>
          <w:tcPr>
            <w:tcW w:w="0" w:type="auto"/>
          </w:tcPr>
          <w:p w14:paraId="36490ACF" w14:textId="77777777" w:rsidR="005522D8" w:rsidRDefault="00126105">
            <w:pPr>
              <w:pStyle w:val="Compact"/>
            </w:pPr>
            <w:r>
              <w:t>summer</w:t>
            </w:r>
          </w:p>
        </w:tc>
      </w:tr>
      <w:tr w:rsidR="005522D8" w14:paraId="36490AD6" w14:textId="77777777">
        <w:tc>
          <w:tcPr>
            <w:tcW w:w="0" w:type="auto"/>
          </w:tcPr>
          <w:p w14:paraId="36490AD1" w14:textId="77777777" w:rsidR="005522D8" w:rsidRDefault="00126105">
            <w:pPr>
              <w:pStyle w:val="Compact"/>
            </w:pPr>
            <w:r>
              <w:t>Case 2</w:t>
            </w:r>
          </w:p>
        </w:tc>
        <w:tc>
          <w:tcPr>
            <w:tcW w:w="0" w:type="auto"/>
          </w:tcPr>
          <w:p w14:paraId="36490AD2" w14:textId="77777777" w:rsidR="005522D8" w:rsidRDefault="00126105">
            <w:pPr>
              <w:pStyle w:val="Compact"/>
            </w:pPr>
            <w:r>
              <w:t>≤ -0.5</w:t>
            </w:r>
          </w:p>
        </w:tc>
        <w:tc>
          <w:tcPr>
            <w:tcW w:w="0" w:type="auto"/>
          </w:tcPr>
          <w:p w14:paraId="36490AD3" w14:textId="77777777" w:rsidR="005522D8" w:rsidRDefault="00126105">
            <w:pPr>
              <w:pStyle w:val="Compact"/>
            </w:pPr>
            <w:r>
              <w:t>&gt; 1 Mt</w:t>
            </w:r>
          </w:p>
        </w:tc>
        <w:tc>
          <w:tcPr>
            <w:tcW w:w="0" w:type="auto"/>
          </w:tcPr>
          <w:p w14:paraId="36490AD4" w14:textId="77777777" w:rsidR="005522D8" w:rsidRDefault="00126105">
            <w:pPr>
              <w:pStyle w:val="Compact"/>
            </w:pPr>
            <w:r>
              <w:t>≤ 0.01</w:t>
            </w:r>
          </w:p>
        </w:tc>
        <w:tc>
          <w:tcPr>
            <w:tcW w:w="0" w:type="auto"/>
          </w:tcPr>
          <w:p w14:paraId="36490AD5" w14:textId="77777777" w:rsidR="005522D8" w:rsidRDefault="00126105">
            <w:pPr>
              <w:pStyle w:val="Compact"/>
            </w:pPr>
            <w:r>
              <w:t>summer</w:t>
            </w:r>
          </w:p>
        </w:tc>
      </w:tr>
      <w:tr w:rsidR="005522D8" w14:paraId="36490ADC" w14:textId="77777777">
        <w:tc>
          <w:tcPr>
            <w:tcW w:w="0" w:type="auto"/>
          </w:tcPr>
          <w:p w14:paraId="36490AD7" w14:textId="77777777" w:rsidR="005522D8" w:rsidRDefault="00126105">
            <w:pPr>
              <w:pStyle w:val="Compact"/>
            </w:pPr>
            <w:r>
              <w:t>Case 7</w:t>
            </w:r>
          </w:p>
        </w:tc>
        <w:tc>
          <w:tcPr>
            <w:tcW w:w="0" w:type="auto"/>
          </w:tcPr>
          <w:p w14:paraId="36490AD8" w14:textId="77777777" w:rsidR="005522D8" w:rsidRDefault="00126105">
            <w:pPr>
              <w:pStyle w:val="Compact"/>
            </w:pPr>
            <w:r>
              <w:t>-0.5 &lt; ONI &lt;0.5</w:t>
            </w:r>
          </w:p>
        </w:tc>
        <w:tc>
          <w:tcPr>
            <w:tcW w:w="0" w:type="auto"/>
          </w:tcPr>
          <w:p w14:paraId="36490AD9" w14:textId="77777777" w:rsidR="005522D8" w:rsidRDefault="00126105">
            <w:pPr>
              <w:pStyle w:val="Compact"/>
            </w:pPr>
            <w:r>
              <w:t>≤ 1 Mt</w:t>
            </w:r>
          </w:p>
        </w:tc>
        <w:tc>
          <w:tcPr>
            <w:tcW w:w="0" w:type="auto"/>
          </w:tcPr>
          <w:p w14:paraId="36490ADA" w14:textId="77777777" w:rsidR="005522D8" w:rsidRDefault="00126105">
            <w:pPr>
              <w:pStyle w:val="Compact"/>
            </w:pPr>
            <w:r>
              <w:t>≤ 0.01</w:t>
            </w:r>
          </w:p>
        </w:tc>
        <w:tc>
          <w:tcPr>
            <w:tcW w:w="0" w:type="auto"/>
          </w:tcPr>
          <w:p w14:paraId="36490ADB" w14:textId="77777777" w:rsidR="005522D8" w:rsidRDefault="00126105">
            <w:pPr>
              <w:pStyle w:val="Compact"/>
            </w:pPr>
            <w:r>
              <w:t>summer</w:t>
            </w:r>
          </w:p>
        </w:tc>
      </w:tr>
      <w:tr w:rsidR="005522D8" w14:paraId="36490AE2" w14:textId="77777777">
        <w:tc>
          <w:tcPr>
            <w:tcW w:w="0" w:type="auto"/>
          </w:tcPr>
          <w:p w14:paraId="36490ADD" w14:textId="77777777" w:rsidR="005522D8" w:rsidRDefault="00126105">
            <w:pPr>
              <w:pStyle w:val="Compact"/>
            </w:pPr>
            <w:r>
              <w:t>Case 8</w:t>
            </w:r>
          </w:p>
        </w:tc>
        <w:tc>
          <w:tcPr>
            <w:tcW w:w="0" w:type="auto"/>
          </w:tcPr>
          <w:p w14:paraId="36490ADE" w14:textId="77777777" w:rsidR="005522D8" w:rsidRDefault="00126105">
            <w:pPr>
              <w:pStyle w:val="Compact"/>
            </w:pPr>
            <w:r>
              <w:t>-0.5 &lt; ONI &lt;0.5</w:t>
            </w:r>
          </w:p>
        </w:tc>
        <w:tc>
          <w:tcPr>
            <w:tcW w:w="0" w:type="auto"/>
          </w:tcPr>
          <w:p w14:paraId="36490ADF" w14:textId="77777777" w:rsidR="005522D8" w:rsidRDefault="00126105">
            <w:pPr>
              <w:pStyle w:val="Compact"/>
            </w:pPr>
            <w:r>
              <w:t>&gt; 1 Mt</w:t>
            </w:r>
          </w:p>
        </w:tc>
        <w:tc>
          <w:tcPr>
            <w:tcW w:w="0" w:type="auto"/>
          </w:tcPr>
          <w:p w14:paraId="36490AE0" w14:textId="77777777" w:rsidR="005522D8" w:rsidRDefault="00126105">
            <w:pPr>
              <w:pStyle w:val="Compact"/>
            </w:pPr>
            <w:r>
              <w:t>≤ 0.01</w:t>
            </w:r>
          </w:p>
        </w:tc>
        <w:tc>
          <w:tcPr>
            <w:tcW w:w="0" w:type="auto"/>
          </w:tcPr>
          <w:p w14:paraId="36490AE1" w14:textId="77777777" w:rsidR="005522D8" w:rsidRDefault="00126105">
            <w:pPr>
              <w:pStyle w:val="Compact"/>
            </w:pPr>
            <w:r>
              <w:t>summer</w:t>
            </w:r>
          </w:p>
        </w:tc>
      </w:tr>
      <w:tr w:rsidR="005522D8" w14:paraId="36490AE8" w14:textId="77777777">
        <w:tc>
          <w:tcPr>
            <w:tcW w:w="0" w:type="auto"/>
          </w:tcPr>
          <w:p w14:paraId="36490AE3" w14:textId="77777777" w:rsidR="005522D8" w:rsidRDefault="00126105">
            <w:pPr>
              <w:pStyle w:val="Compact"/>
            </w:pPr>
            <w:r>
              <w:t>Case 10</w:t>
            </w:r>
          </w:p>
        </w:tc>
        <w:tc>
          <w:tcPr>
            <w:tcW w:w="0" w:type="auto"/>
          </w:tcPr>
          <w:p w14:paraId="36490AE4" w14:textId="77777777" w:rsidR="005522D8" w:rsidRDefault="00126105">
            <w:pPr>
              <w:pStyle w:val="Compact"/>
            </w:pPr>
            <w:r>
              <w:t>-0.5 &lt; ONI &lt;0.5</w:t>
            </w:r>
          </w:p>
        </w:tc>
        <w:tc>
          <w:tcPr>
            <w:tcW w:w="0" w:type="auto"/>
          </w:tcPr>
          <w:p w14:paraId="36490AE5" w14:textId="77777777" w:rsidR="005522D8" w:rsidRDefault="00126105">
            <w:pPr>
              <w:pStyle w:val="Compact"/>
            </w:pPr>
            <w:r>
              <w:t>&gt; 1 Mt</w:t>
            </w:r>
          </w:p>
        </w:tc>
        <w:tc>
          <w:tcPr>
            <w:tcW w:w="0" w:type="auto"/>
          </w:tcPr>
          <w:p w14:paraId="36490AE6" w14:textId="77777777" w:rsidR="005522D8" w:rsidRDefault="00126105">
            <w:pPr>
              <w:pStyle w:val="Compact"/>
            </w:pPr>
            <w:r>
              <w:t>0.01 &lt; LHR &lt; 0.1</w:t>
            </w:r>
          </w:p>
        </w:tc>
        <w:tc>
          <w:tcPr>
            <w:tcW w:w="0" w:type="auto"/>
          </w:tcPr>
          <w:p w14:paraId="36490AE7" w14:textId="77777777" w:rsidR="005522D8" w:rsidRDefault="00126105">
            <w:pPr>
              <w:pStyle w:val="Compact"/>
            </w:pPr>
            <w:r>
              <w:t>winter</w:t>
            </w:r>
          </w:p>
        </w:tc>
      </w:tr>
      <w:tr w:rsidR="005522D8" w14:paraId="36490AEE" w14:textId="77777777">
        <w:tc>
          <w:tcPr>
            <w:tcW w:w="0" w:type="auto"/>
          </w:tcPr>
          <w:p w14:paraId="36490AE9" w14:textId="77777777" w:rsidR="005522D8" w:rsidRDefault="00126105">
            <w:pPr>
              <w:pStyle w:val="Compact"/>
            </w:pPr>
            <w:r>
              <w:t>Case 13</w:t>
            </w:r>
          </w:p>
        </w:tc>
        <w:tc>
          <w:tcPr>
            <w:tcW w:w="0" w:type="auto"/>
          </w:tcPr>
          <w:p w14:paraId="36490AEA" w14:textId="77777777" w:rsidR="005522D8" w:rsidRDefault="00126105">
            <w:pPr>
              <w:pStyle w:val="Compact"/>
            </w:pPr>
            <w:r>
              <w:t>≥ 0.5</w:t>
            </w:r>
          </w:p>
        </w:tc>
        <w:tc>
          <w:tcPr>
            <w:tcW w:w="0" w:type="auto"/>
          </w:tcPr>
          <w:p w14:paraId="36490AEB" w14:textId="77777777" w:rsidR="005522D8" w:rsidRDefault="00126105">
            <w:pPr>
              <w:pStyle w:val="Compact"/>
            </w:pPr>
            <w:r>
              <w:t>≤ 1 Mt</w:t>
            </w:r>
          </w:p>
        </w:tc>
        <w:tc>
          <w:tcPr>
            <w:tcW w:w="0" w:type="auto"/>
          </w:tcPr>
          <w:p w14:paraId="36490AEC" w14:textId="77777777" w:rsidR="005522D8" w:rsidRDefault="00126105">
            <w:pPr>
              <w:pStyle w:val="Compact"/>
            </w:pPr>
            <w:r>
              <w:t>≤ 0.01</w:t>
            </w:r>
          </w:p>
        </w:tc>
        <w:tc>
          <w:tcPr>
            <w:tcW w:w="0" w:type="auto"/>
          </w:tcPr>
          <w:p w14:paraId="36490AED" w14:textId="77777777" w:rsidR="005522D8" w:rsidRDefault="00126105">
            <w:pPr>
              <w:pStyle w:val="Compact"/>
            </w:pPr>
            <w:r>
              <w:t>summer</w:t>
            </w:r>
          </w:p>
        </w:tc>
      </w:tr>
      <w:tr w:rsidR="005522D8" w14:paraId="36490AF4" w14:textId="77777777">
        <w:tc>
          <w:tcPr>
            <w:tcW w:w="0" w:type="auto"/>
          </w:tcPr>
          <w:p w14:paraId="36490AEF" w14:textId="77777777" w:rsidR="005522D8" w:rsidRDefault="00126105">
            <w:pPr>
              <w:pStyle w:val="Compact"/>
            </w:pPr>
            <w:r>
              <w:t>Case 14</w:t>
            </w:r>
          </w:p>
        </w:tc>
        <w:tc>
          <w:tcPr>
            <w:tcW w:w="0" w:type="auto"/>
          </w:tcPr>
          <w:p w14:paraId="36490AF0" w14:textId="77777777" w:rsidR="005522D8" w:rsidRDefault="00126105">
            <w:pPr>
              <w:pStyle w:val="Compact"/>
            </w:pPr>
            <w:r>
              <w:t>≥ 0.5</w:t>
            </w:r>
          </w:p>
        </w:tc>
        <w:tc>
          <w:tcPr>
            <w:tcW w:w="0" w:type="auto"/>
          </w:tcPr>
          <w:p w14:paraId="36490AF1" w14:textId="77777777" w:rsidR="005522D8" w:rsidRDefault="00126105">
            <w:pPr>
              <w:pStyle w:val="Compact"/>
            </w:pPr>
            <w:r>
              <w:t>&gt; 1 Mt</w:t>
            </w:r>
          </w:p>
        </w:tc>
        <w:tc>
          <w:tcPr>
            <w:tcW w:w="0" w:type="auto"/>
          </w:tcPr>
          <w:p w14:paraId="36490AF2" w14:textId="77777777" w:rsidR="005522D8" w:rsidRDefault="00126105">
            <w:pPr>
              <w:pStyle w:val="Compact"/>
            </w:pPr>
            <w:r>
              <w:t>≤ 0.01</w:t>
            </w:r>
          </w:p>
        </w:tc>
        <w:tc>
          <w:tcPr>
            <w:tcW w:w="0" w:type="auto"/>
          </w:tcPr>
          <w:p w14:paraId="36490AF3" w14:textId="77777777" w:rsidR="005522D8" w:rsidRDefault="00126105">
            <w:pPr>
              <w:pStyle w:val="Compact"/>
            </w:pPr>
            <w:r>
              <w:t>summer</w:t>
            </w:r>
          </w:p>
        </w:tc>
      </w:tr>
      <w:tr w:rsidR="005522D8" w14:paraId="36490AFA" w14:textId="77777777">
        <w:tc>
          <w:tcPr>
            <w:tcW w:w="0" w:type="auto"/>
          </w:tcPr>
          <w:p w14:paraId="36490AF5" w14:textId="77777777" w:rsidR="005522D8" w:rsidRDefault="00126105">
            <w:pPr>
              <w:pStyle w:val="Compact"/>
            </w:pPr>
            <w:r>
              <w:t>Case 17</w:t>
            </w:r>
          </w:p>
        </w:tc>
        <w:tc>
          <w:tcPr>
            <w:tcW w:w="0" w:type="auto"/>
          </w:tcPr>
          <w:p w14:paraId="36490AF6" w14:textId="77777777" w:rsidR="005522D8" w:rsidRDefault="00126105">
            <w:pPr>
              <w:pStyle w:val="Compact"/>
            </w:pPr>
            <w:r>
              <w:t>≥ 0.5</w:t>
            </w:r>
          </w:p>
        </w:tc>
        <w:tc>
          <w:tcPr>
            <w:tcW w:w="0" w:type="auto"/>
          </w:tcPr>
          <w:p w14:paraId="36490AF7" w14:textId="77777777" w:rsidR="005522D8" w:rsidRDefault="00126105">
            <w:pPr>
              <w:pStyle w:val="Compact"/>
            </w:pPr>
            <w:r>
              <w:t>≤ 1 Mt</w:t>
            </w:r>
          </w:p>
        </w:tc>
        <w:tc>
          <w:tcPr>
            <w:tcW w:w="0" w:type="auto"/>
          </w:tcPr>
          <w:p w14:paraId="36490AF8" w14:textId="77777777" w:rsidR="005522D8" w:rsidRDefault="00126105">
            <w:pPr>
              <w:pStyle w:val="Compact"/>
            </w:pPr>
            <w:r>
              <w:t>≥ 0.1</w:t>
            </w:r>
          </w:p>
        </w:tc>
        <w:tc>
          <w:tcPr>
            <w:tcW w:w="0" w:type="auto"/>
          </w:tcPr>
          <w:p w14:paraId="36490AF9" w14:textId="77777777" w:rsidR="005522D8" w:rsidRDefault="00126105">
            <w:pPr>
              <w:pStyle w:val="Compact"/>
            </w:pPr>
            <w:r>
              <w:t>winter</w:t>
            </w:r>
          </w:p>
        </w:tc>
      </w:tr>
      <w:tr w:rsidR="005522D8" w14:paraId="36490B00" w14:textId="77777777">
        <w:tc>
          <w:tcPr>
            <w:tcW w:w="0" w:type="auto"/>
          </w:tcPr>
          <w:p w14:paraId="36490AFB" w14:textId="77777777" w:rsidR="005522D8" w:rsidRDefault="005522D8">
            <w:pPr>
              <w:pStyle w:val="Compact"/>
            </w:pPr>
          </w:p>
        </w:tc>
        <w:tc>
          <w:tcPr>
            <w:tcW w:w="0" w:type="auto"/>
          </w:tcPr>
          <w:p w14:paraId="36490AFC" w14:textId="77777777" w:rsidR="005522D8" w:rsidRDefault="005522D8">
            <w:pPr>
              <w:pStyle w:val="Compact"/>
            </w:pPr>
          </w:p>
        </w:tc>
        <w:tc>
          <w:tcPr>
            <w:tcW w:w="0" w:type="auto"/>
          </w:tcPr>
          <w:p w14:paraId="36490AFD" w14:textId="77777777" w:rsidR="005522D8" w:rsidRDefault="005522D8">
            <w:pPr>
              <w:pStyle w:val="Compact"/>
            </w:pPr>
          </w:p>
        </w:tc>
        <w:tc>
          <w:tcPr>
            <w:tcW w:w="0" w:type="auto"/>
          </w:tcPr>
          <w:p w14:paraId="36490AFE" w14:textId="77777777" w:rsidR="005522D8" w:rsidRDefault="005522D8">
            <w:pPr>
              <w:pStyle w:val="Compact"/>
            </w:pPr>
          </w:p>
        </w:tc>
        <w:tc>
          <w:tcPr>
            <w:tcW w:w="0" w:type="auto"/>
          </w:tcPr>
          <w:p w14:paraId="36490AFF" w14:textId="77777777" w:rsidR="005522D8" w:rsidRDefault="005522D8">
            <w:pPr>
              <w:pStyle w:val="Compact"/>
            </w:pPr>
          </w:p>
        </w:tc>
      </w:tr>
    </w:tbl>
    <w:p w14:paraId="36490B01" w14:textId="77777777" w:rsidR="005522D8" w:rsidRDefault="00126105">
      <w:pPr>
        <w:pStyle w:val="Textoindependiente"/>
      </w:pPr>
      <w:r>
        <w:rPr>
          <w:noProof/>
        </w:rPr>
        <w:drawing>
          <wp:inline distT="0" distB="0" distL="0" distR="0" wp14:anchorId="36490B8A" wp14:editId="36490B8B">
            <wp:extent cx="5334000" cy="400049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_Results_Suppl/Model01_filtered/Posterior_predictive_dist_mod01.png"/>
                    <pic:cNvPicPr>
                      <a:picLocks noChangeAspect="1" noChangeArrowheads="1"/>
                    </pic:cNvPicPr>
                  </pic:nvPicPr>
                  <pic:blipFill>
                    <a:blip r:embed="rId11"/>
                    <a:stretch>
                      <a:fillRect/>
                    </a:stretch>
                  </pic:blipFill>
                  <pic:spPr bwMode="auto">
                    <a:xfrm>
                      <a:off x="0" y="0"/>
                      <a:ext cx="5334000" cy="4000499"/>
                    </a:xfrm>
                    <a:prstGeom prst="rect">
                      <a:avLst/>
                    </a:prstGeom>
                    <a:noFill/>
                    <a:ln w="9525">
                      <a:noFill/>
                      <a:headEnd/>
                      <a:tailEnd/>
                    </a:ln>
                  </pic:spPr>
                </pic:pic>
              </a:graphicData>
            </a:graphic>
          </wp:inline>
        </w:drawing>
      </w:r>
    </w:p>
    <w:p w14:paraId="36490B02" w14:textId="77777777" w:rsidR="005522D8" w:rsidRDefault="00126105">
      <w:pPr>
        <w:pStyle w:val="Textoindependiente"/>
      </w:pPr>
      <w:r>
        <w:t xml:space="preserve">Figure S4. Posterior predictive distributions (boxplots) and jittered observations (colored circles) of penguin performance, after removing low coverage survey data; missing </w:t>
      </w:r>
      <w:r>
        <w:lastRenderedPageBreak/>
        <w:t>summer LKB were not imputed.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w:t>
      </w:r>
      <w:r>
        <w:t xml:space="preserve"> ≥ 0.5°C. Filled red circles represent summer observations from krill surveys. Blue circles represent winter observations. Boxes characterize interquartile ranges with medians indicated by bold horizontal lines and whiskers extending to 1.5 times these ranges.</w:t>
      </w:r>
    </w:p>
    <w:p w14:paraId="36490B03" w14:textId="77777777" w:rsidR="005522D8" w:rsidRDefault="00126105">
      <w:pPr>
        <w:pStyle w:val="Textoindependiente"/>
      </w:pPr>
      <w:r>
        <w:rPr>
          <w:noProof/>
        </w:rPr>
        <w:drawing>
          <wp:inline distT="0" distB="0" distL="0" distR="0" wp14:anchorId="36490B8C" wp14:editId="36490B8D">
            <wp:extent cx="5334000" cy="4000499"/>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_Results_Suppl/Model01_filtered/Penguin_performance_mod01.png"/>
                    <pic:cNvPicPr>
                      <a:picLocks noChangeAspect="1" noChangeArrowheads="1"/>
                    </pic:cNvPicPr>
                  </pic:nvPicPr>
                  <pic:blipFill>
                    <a:blip r:embed="rId12"/>
                    <a:stretch>
                      <a:fillRect/>
                    </a:stretch>
                  </pic:blipFill>
                  <pic:spPr bwMode="auto">
                    <a:xfrm>
                      <a:off x="0" y="0"/>
                      <a:ext cx="5334000" cy="4000499"/>
                    </a:xfrm>
                    <a:prstGeom prst="rect">
                      <a:avLst/>
                    </a:prstGeom>
                    <a:noFill/>
                    <a:ln w="9525">
                      <a:noFill/>
                      <a:headEnd/>
                      <a:tailEnd/>
                    </a:ln>
                  </pic:spPr>
                </pic:pic>
              </a:graphicData>
            </a:graphic>
          </wp:inline>
        </w:drawing>
      </w:r>
    </w:p>
    <w:p w14:paraId="36490B04" w14:textId="77777777" w:rsidR="005522D8" w:rsidRDefault="00126105">
      <w:pPr>
        <w:pStyle w:val="Textoindependiente"/>
      </w:pPr>
      <w:r>
        <w:t>Figure S5.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w:t>
      </w:r>
      <w:r>
        <w:t>ected performance in the best case (dashed line) and the long-term mean performance (solid line). As per Supplementary Fig. S8, Watters et al. (2020).</w:t>
      </w:r>
    </w:p>
    <w:p w14:paraId="36490B05" w14:textId="77777777" w:rsidR="005522D8" w:rsidRDefault="00126105">
      <w:pPr>
        <w:pStyle w:val="Textoindependiente"/>
      </w:pPr>
      <w:r>
        <w:rPr>
          <w:noProof/>
        </w:rPr>
        <w:lastRenderedPageBreak/>
        <w:drawing>
          <wp:inline distT="0" distB="0" distL="0" distR="0" wp14:anchorId="36490B8E" wp14:editId="36490B8F">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_Results_Suppl/Model01_imputed1/Posterior_predictive_dist_mod01imp.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36490B06" w14:textId="77777777" w:rsidR="005522D8" w:rsidRDefault="00126105">
      <w:pPr>
        <w:pStyle w:val="Textoindependiente"/>
      </w:pPr>
      <w:r>
        <w:t xml:space="preserve">Figure S6.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w:t>
      </w:r>
      <w:r>
        <w:t>≥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36490B07" w14:textId="77777777" w:rsidR="005522D8" w:rsidRDefault="00126105">
      <w:pPr>
        <w:pStyle w:val="Textoindependiente"/>
      </w:pPr>
      <w:r>
        <w:rPr>
          <w:noProof/>
        </w:rPr>
        <w:lastRenderedPageBreak/>
        <w:drawing>
          <wp:inline distT="0" distB="0" distL="0" distR="0" wp14:anchorId="36490B90" wp14:editId="36490B91">
            <wp:extent cx="5334000" cy="400049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_Results_Suppl/Model01_imputed1/Penguin_performance_mod01imp.png"/>
                    <pic:cNvPicPr>
                      <a:picLocks noChangeAspect="1" noChangeArrowheads="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14:paraId="36490B08" w14:textId="77777777" w:rsidR="005522D8" w:rsidRDefault="00126105">
      <w:pPr>
        <w:pStyle w:val="Textoindependiente"/>
      </w:pPr>
      <w:r>
        <w:t xml:space="preserve">Figure S7.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w:t>
      </w:r>
      <w:r>
        <w:t>indicate the median expected performance in the best case (dashed line) and the long-term mean performance (solid line). As per Supplementary Fig. S8, Watters et al. (2020).</w:t>
      </w:r>
    </w:p>
    <w:p w14:paraId="36490B09" w14:textId="77777777" w:rsidR="005522D8" w:rsidRDefault="00126105">
      <w:pPr>
        <w:pStyle w:val="Ttulo1"/>
      </w:pPr>
      <w:bookmarkStart w:id="3" w:name="Xba250db6147939e267af2d9e82d86f77cf69c4e"/>
      <w:bookmarkEnd w:id="2"/>
      <w:r>
        <w:t>D. Krill consumption by main predator taxa</w:t>
      </w:r>
    </w:p>
    <w:p w14:paraId="36490B0A" w14:textId="77777777" w:rsidR="005522D8" w:rsidRDefault="00126105">
      <w:pPr>
        <w:pStyle w:val="FirstParagraph"/>
      </w:pPr>
      <w:r>
        <w:t>Estimates of krill consumption by major predator groups during the study period have been previously summarized by Hill et al. (2007). During summer, fish accounted for the largest proportion of krill consumption, with estimated removals of 1,425,193 in the Bransfield Strait (gSMSMU #1: APBSW + APBSE) and 845,772 in the Drake Passage (gSSMU #2: APDPW + APDPE). Combined summer consumption by penguins and whales was estimated at 444,674 in the Bransfield Strait and 328,774 in the Drake Passage. Total summer k</w:t>
      </w:r>
      <w:r>
        <w:t>rill consumption therefore exceeded 1 Mt in both gSSMU 1 and gSSMU 2.</w:t>
      </w:r>
    </w:p>
    <w:p w14:paraId="36490B0B" w14:textId="77777777" w:rsidR="005522D8" w:rsidRDefault="00126105">
      <w:pPr>
        <w:pStyle w:val="Textoindependiente"/>
      </w:pPr>
      <w:r>
        <w:t xml:space="preserve">Watters et al. (2020) noted “krill biomass in the Antarctic Peninsula is generally sufficient to support penguin production.” Consistent with this, no evidence of acute adult penguin mortality or complete lack of bird attending nesting grounds has been documented in the </w:t>
      </w:r>
      <w:r>
        <w:lastRenderedPageBreak/>
        <w:t>region, unlike patterns reported for other penguin species during severe starvation events (Vianna et al. 2014, Crawford et al. 2025). In this context, summer survey estimates below 1 million tonnes for each gSSMU are inconsistent with observed predator dynamics and likely underestimate krill availability.</w:t>
      </w:r>
    </w:p>
    <w:p w14:paraId="36490B0C" w14:textId="77777777" w:rsidR="005522D8" w:rsidRDefault="00126105">
      <w:pPr>
        <w:pStyle w:val="Textoindependiente"/>
      </w:pPr>
      <w:r>
        <w:t>As Watters et al. (2020) indicates, “krill biomass in the AP is generally sufficient to support penguin production.” As no evidene of accute adult penguin mortality has been recorded for the region (as is the case for other penguin species during accute starvation; Crawford et al. 2025), summer survey estimates below 1 Million tonnes for each gSSMU should be considered as gross subestimations of krill availability.</w:t>
      </w:r>
    </w:p>
    <w:p w14:paraId="36490B0D" w14:textId="77777777" w:rsidR="005522D8" w:rsidRDefault="00126105">
      <w:pPr>
        <w:pStyle w:val="Textoindependiente"/>
      </w:pPr>
      <w:r>
        <w:t>Winter consumption estimates were lower but more uncertain. Hill et al. (2007) estimated fish consumption of 255,990 in the Bransfield Strait and 147,440 in the Drake Passage. Penguin consumption during winter was estimated at 306,416 in the Bransfield Strait and 239,435 in the Drake Passage. Combined winter consumption by fish and penguins therefore exceeded 500,000 t and 350,000 for gSSMU #1 and #2. respectively.</w:t>
      </w:r>
    </w:p>
    <w:p w14:paraId="36490B0E" w14:textId="77777777" w:rsidR="005522D8" w:rsidRDefault="00126105">
      <w:pPr>
        <w:pStyle w:val="Textoindependiente"/>
      </w:pPr>
      <w:r>
        <w:t>Table S3.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469"/>
        <w:gridCol w:w="1620"/>
        <w:gridCol w:w="1754"/>
        <w:gridCol w:w="1167"/>
        <w:gridCol w:w="1318"/>
        <w:gridCol w:w="1452"/>
      </w:tblGrid>
      <w:tr w:rsidR="005522D8" w14:paraId="36490B19" w14:textId="77777777" w:rsidTr="005522D8">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0F"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0"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1"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2"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3"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Fish_Qsummer_g</w:t>
            </w:r>
          </w:p>
        </w:tc>
        <w:tc>
          <w:tcPr>
            <w:tcW w:w="16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4"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Whale_Qsummer_g</w:t>
            </w:r>
          </w:p>
        </w:tc>
        <w:tc>
          <w:tcPr>
            <w:tcW w:w="17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5"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Penguin_Qsummer_g</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6"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7"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8"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5522D8" w14:paraId="36490B24" w14:textId="77777777" w:rsidTr="005522D8">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A"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B"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C"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D"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E"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1,325</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F"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0"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255,235</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1"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2"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3"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5522D8" w14:paraId="36490B2F"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5"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6"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7"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8"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9"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1,384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A"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B"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251,591</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C"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D"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E"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5522D8" w14:paraId="36490B3A"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0"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1"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2"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3"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4"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1,405</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5"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6"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251,988</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7"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8"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9"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5522D8" w14:paraId="36490B45" w14:textId="77777777" w:rsidTr="005522D8">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B"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C"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D"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E"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F"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0"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1"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314,812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2"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3"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4"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36490B46" w14:textId="77777777" w:rsidR="005522D8" w:rsidRDefault="00126105">
      <w:pPr>
        <w:pStyle w:val="Textoindependiente"/>
      </w:pPr>
      <w:r>
        <w:t>Table S4.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318"/>
        <w:gridCol w:w="1469"/>
        <w:gridCol w:w="1603"/>
        <w:gridCol w:w="1167"/>
        <w:gridCol w:w="1318"/>
        <w:gridCol w:w="1452"/>
      </w:tblGrid>
      <w:tr w:rsidR="005522D8" w14:paraId="36490B51" w14:textId="77777777" w:rsidTr="005522D8">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7"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8"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9"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A"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B"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Fish_Qwinter_g</w:t>
            </w:r>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C"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Whale_Qwinter_g</w:t>
            </w:r>
          </w:p>
        </w:tc>
        <w:tc>
          <w:tcPr>
            <w:tcW w:w="16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D"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Penguin_Qwinter_g</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E"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F"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50"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5522D8" w14:paraId="36490B5C" w14:textId="77777777" w:rsidTr="005522D8">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2"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3"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4"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5"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6"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227</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7"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8"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205,329</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9"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A"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B"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5522D8" w14:paraId="36490B67"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D"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E"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F"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0"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1"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245</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2"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3"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206,643</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4"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5"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6"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5522D8" w14:paraId="36490B72"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8"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9"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A"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B"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C"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D"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E"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206,499</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F"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70"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71"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5522D8" w14:paraId="36490B7D" w14:textId="77777777" w:rsidTr="005522D8">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3"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4"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5"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6"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7"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253</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8"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9"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223,652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A"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B"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C" w14:textId="77777777" w:rsidR="005522D8" w:rsidRDefault="00126105">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36490B7E" w14:textId="77777777" w:rsidR="005522D8" w:rsidRDefault="00126105">
      <w:pPr>
        <w:pStyle w:val="Ttulo1"/>
      </w:pPr>
      <w:bookmarkStart w:id="4" w:name="citations"/>
      <w:bookmarkEnd w:id="3"/>
      <w:r>
        <w:t>Citations</w:t>
      </w:r>
    </w:p>
    <w:p w14:paraId="36490B7F" w14:textId="77777777" w:rsidR="005522D8" w:rsidRDefault="00126105">
      <w:pPr>
        <w:pStyle w:val="FirstParagraph"/>
      </w:pPr>
      <w:r>
        <w:t>Hill, S., K. Reid, S. E. Thorpe, J. T. Hinke, and G. M. Watters. 2007. “A Compilation of Parameters for Ecosystem Dynamics Models of the Scotia Sea–Antarctic Peninsula Region.” CCAMLR Science 14: 1-25.</w:t>
      </w:r>
    </w:p>
    <w:p w14:paraId="36490B80" w14:textId="77777777" w:rsidR="005522D8" w:rsidRDefault="00126105">
      <w:pPr>
        <w:pStyle w:val="Textoindependiente"/>
      </w:pPr>
      <w:r>
        <w:t>Vianna J.A. , M. Cortez, B. Ramos, N. Sallaberry-Pincheira, D. González-Acuña, G. P. M. Dantas, J. Morgante, A. Simeone, and G. Luna-Jorquera. 2014. Changes in abundance and distribution of Humboldt penguin Spheniscus humboldti. Marine Ornithology 42:153-159.</w:t>
      </w:r>
    </w:p>
    <w:p w14:paraId="36490B81" w14:textId="77777777" w:rsidR="005522D8" w:rsidRDefault="00126105">
      <w:pPr>
        <w:pStyle w:val="Textoindependiente"/>
      </w:pPr>
      <w:r>
        <w:t xml:space="preserve">Watters, George M., Jefferson T. Hinke, and Christian S. Reiss. 2020. “Long-Term Observations from Antarctica Demonstrate That Mismatched Scales of Fisheries Management and Predator-Prey Interaction Lead to Erroneous Conclusions about Precaution.” Scientific Reports 10 (1). </w:t>
      </w:r>
      <w:hyperlink r:id="rId15">
        <w:r w:rsidR="005522D8">
          <w:rPr>
            <w:rStyle w:val="Hipervnculo"/>
          </w:rPr>
          <w:t>https://doi.org/10.1038/s41598-020-59223-9</w:t>
        </w:r>
      </w:hyperlink>
      <w:r>
        <w:t>.</w:t>
      </w:r>
      <w:bookmarkEnd w:id="4"/>
    </w:p>
    <w:sectPr w:rsidR="005522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A0379" w14:textId="77777777" w:rsidR="00126105" w:rsidRDefault="00126105">
      <w:pPr>
        <w:spacing w:after="0"/>
      </w:pPr>
      <w:r>
        <w:separator/>
      </w:r>
    </w:p>
  </w:endnote>
  <w:endnote w:type="continuationSeparator" w:id="0">
    <w:p w14:paraId="2508ECC0" w14:textId="77777777" w:rsidR="00126105" w:rsidRDefault="001261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D7E58" w14:textId="77777777" w:rsidR="00126105" w:rsidRDefault="00126105">
      <w:r>
        <w:separator/>
      </w:r>
    </w:p>
  </w:footnote>
  <w:footnote w:type="continuationSeparator" w:id="0">
    <w:p w14:paraId="3C539F23" w14:textId="77777777" w:rsidR="00126105" w:rsidRDefault="001261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7C0117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87754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I3srA0NLK0NDUxsDBX0lEKTi0uzszPAykwrAUArqeNyCwAAAA="/>
  </w:docVars>
  <w:rsids>
    <w:rsidRoot w:val="005522D8"/>
    <w:rsid w:val="000846A6"/>
    <w:rsid w:val="00126105"/>
    <w:rsid w:val="001B5B40"/>
    <w:rsid w:val="003A4AAB"/>
    <w:rsid w:val="0045274D"/>
    <w:rsid w:val="005522D8"/>
    <w:rsid w:val="005570EE"/>
    <w:rsid w:val="00847A73"/>
    <w:rsid w:val="00D50C90"/>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90A6A"/>
  <w15:docId w15:val="{9BBE9667-AAD3-4684-9619-77A387BC6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i.org/10.1038/s41598-020-59223-9"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10</Pages>
  <Words>2395</Words>
  <Characters>12507</Characters>
  <Application>Microsoft Office Word</Application>
  <DocSecurity>0</DocSecurity>
  <Lines>390</Lines>
  <Paragraphs>281</Paragraphs>
  <ScaleCrop>false</ScaleCrop>
  <Company/>
  <LinksUpToDate>false</LinksUpToDate>
  <CharactersWithSpaces>14621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Supplemtary material: A Rebuttal to Watters et al. (2020): Misinterpretation of Predator-Prey Dynamics leading to erroneous Precautionary Management in Antarctic Krill Fisheries</dc:title>
  <dc:creator/>
  <cp:keywords/>
  <cp:lastModifiedBy>JAVIER ARATA</cp:lastModifiedBy>
  <cp:revision>5</cp:revision>
  <dcterms:created xsi:type="dcterms:W3CDTF">2026-01-12T22:01:00Z</dcterms:created>
  <dcterms:modified xsi:type="dcterms:W3CDTF">2026-01-26T18:23:00Z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date">
    <vt:lpwstr>2026-01-12</vt:lpwstr>
  </property>
  <property fmtid="{D5CDD505-2E9C-101B-9397-08002B2CF9AE}" pid="5" name="editor_options">
    <vt:lpwstr/>
  </property>
  <property fmtid="{D5CDD505-2E9C-101B-9397-08002B2CF9AE}" pid="6" name="geometry">
    <vt:lpwstr>margin=3cm</vt:lpwstr>
  </property>
  <property fmtid="{D5CDD505-2E9C-101B-9397-08002B2CF9AE}" pid="7" name="header-includes">
    <vt:lpwstr/>
  </property>
  <property fmtid="{D5CDD505-2E9C-101B-9397-08002B2CF9AE}" pid="8" name="output">
    <vt:lpwstr>word_document</vt:lpwstr>
  </property>
</Properties>
</file>