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CID — Correlations &amp; Half-Period Comparison</w:t>
      </w:r>
    </w:p>
    <w:p>
      <w:pPr>
        <w:pStyle w:val="Titre2"/>
      </w:pPr>
      <w:r>
        <w:t xml:space="preserve">Significant pairs &amp; first vs second period comparison</w:t>
      </w:r>
    </w:p>
    <w:tbl>
      <w:tblPr>
        <w:tblStyle w:val="TableauNormal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PROJECT</w:t>
            </w:r>
          </w:p>
        </w:tc>
        <w:tc>
          <w:p>
            <w:pPr>
              <w:pStyle w:val="Normal"/>
            </w:pPr>
            <w:r>
              <w:t>x_var</w:t>
            </w:r>
          </w:p>
        </w:tc>
        <w:tc>
          <w:p>
            <w:pPr>
              <w:pStyle w:val="Normal"/>
            </w:pPr>
            <w:r>
              <w:t>y_var</w:t>
            </w:r>
          </w:p>
        </w:tc>
        <w:tc>
          <w:p>
            <w:pPr>
              <w:pStyle w:val="Normal"/>
            </w:pPr>
            <w:r>
              <w:t>lm_slope</w:t>
            </w:r>
          </w:p>
        </w:tc>
        <w:tc>
          <w:p>
            <w:pPr>
              <w:pStyle w:val="Normal"/>
            </w:pPr>
            <w:r>
              <w:t>lm_p</w:t>
            </w:r>
          </w:p>
        </w:tc>
        <w:tc>
          <w:p>
            <w:pPr>
              <w:pStyle w:val="Normal"/>
            </w:pPr>
            <w:r>
              <w:t>Diff_range</w:t>
            </w:r>
          </w:p>
        </w:tc>
        <w:tc>
          <w:p>
            <w:pPr>
              <w:pStyle w:val="Normal"/>
            </w:pPr>
            <w:r>
              <w:t>CVdiff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CIDmean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-0.306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-0.058</w:t>
            </w:r>
          </w:p>
        </w:tc>
        <w:tc>
          <w:p>
            <w:pPr>
              <w:pStyle w:val="Normal"/>
            </w:pPr>
            <w:r>
              <w:t>0.058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CID_index</w:t>
            </w:r>
          </w:p>
        </w:tc>
        <w:tc>
          <w:p>
            <w:pPr>
              <w:pStyle w:val="Normal"/>
            </w:pPr>
            <w:r>
              <w:t>-0.991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0.058</w:t>
            </w:r>
          </w:p>
        </w:tc>
        <w:tc>
          <w:p>
            <w:pPr>
              <w:pStyle w:val="Normal"/>
            </w:pPr>
            <w:r>
              <w:t>0.058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CID_index</w:t>
            </w:r>
          </w:p>
        </w:tc>
        <w:tc>
          <w:p>
            <w:pPr>
              <w:pStyle w:val="Normal"/>
            </w:pPr>
            <w:r>
              <w:t>-0.307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0.058</w:t>
            </w:r>
          </w:p>
        </w:tc>
        <w:tc>
          <w:p>
            <w:pPr>
              <w:pStyle w:val="Normal"/>
            </w:pPr>
            <w:r>
              <w:t>0.058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CIDmean</w:t>
            </w:r>
          </w:p>
        </w:tc>
        <w:tc>
          <w:p>
            <w:pPr>
              <w:pStyle w:val="Normal"/>
            </w:pPr>
            <w:r>
              <w:t>-0.995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0.187</w:t>
            </w:r>
          </w:p>
        </w:tc>
        <w:tc>
          <w:p>
            <w:pPr>
              <w:pStyle w:val="Normal"/>
            </w:pPr>
            <w:r>
              <w:t>0.058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CIDmean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-0.334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-0.703</w:t>
            </w:r>
          </w:p>
        </w:tc>
        <w:tc>
          <w:p>
            <w:pPr>
              <w:pStyle w:val="Normal"/>
            </w:pPr>
            <w:r>
              <w:t>0.703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CID_index</w:t>
            </w:r>
          </w:p>
        </w:tc>
        <w:tc>
          <w:p>
            <w:pPr>
              <w:pStyle w:val="Normal"/>
            </w:pPr>
            <w:r>
              <w:t>-0.990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0.709</w:t>
            </w:r>
          </w:p>
        </w:tc>
        <w:tc>
          <w:p>
            <w:pPr>
              <w:pStyle w:val="Normal"/>
            </w:pPr>
            <w:r>
              <w:t>0.709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CID_index</w:t>
            </w:r>
          </w:p>
        </w:tc>
        <w:tc>
          <w:p>
            <w:pPr>
              <w:pStyle w:val="Normal"/>
            </w:pPr>
            <w:r>
              <w:t>-0.328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0.709</w:t>
            </w:r>
          </w:p>
        </w:tc>
        <w:tc>
          <w:p>
            <w:pPr>
              <w:pStyle w:val="Normal"/>
            </w:pPr>
            <w:r>
              <w:t>0.709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CIDmean</w:t>
            </w:r>
          </w:p>
        </w:tc>
        <w:tc>
          <w:p>
            <w:pPr>
              <w:pStyle w:val="Normal"/>
            </w:pPr>
            <w:r>
              <w:t>-0.972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2.100</w:t>
            </w:r>
          </w:p>
        </w:tc>
        <w:tc>
          <w:p>
            <w:pPr>
              <w:pStyle w:val="Normal"/>
            </w:pPr>
            <w:r>
              <w:t>0.709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CIDmean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-0.097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-0.524</w:t>
            </w:r>
          </w:p>
        </w:tc>
        <w:tc>
          <w:p>
            <w:pPr>
              <w:pStyle w:val="Normal"/>
            </w:pPr>
            <w:r>
              <w:t>0.524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CID_index</w:t>
            </w:r>
          </w:p>
        </w:tc>
        <w:tc>
          <w:p>
            <w:pPr>
              <w:pStyle w:val="Normal"/>
            </w:pPr>
            <w:r>
              <w:t>-0.999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0.515</w:t>
            </w:r>
          </w:p>
        </w:tc>
        <w:tc>
          <w:p>
            <w:pPr>
              <w:pStyle w:val="Normal"/>
            </w:pPr>
            <w:r>
              <w:t>0.515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CID_index</w:t>
            </w:r>
          </w:p>
        </w:tc>
        <w:tc>
          <w:p>
            <w:pPr>
              <w:pStyle w:val="Normal"/>
            </w:pPr>
            <w:r>
              <w:t>-0.097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0.515</w:t>
            </w:r>
          </w:p>
        </w:tc>
        <w:tc>
          <w:p>
            <w:pPr>
              <w:pStyle w:val="Normal"/>
            </w:pPr>
            <w:r>
              <w:t>0.515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CIDmean</w:t>
            </w:r>
          </w:p>
        </w:tc>
        <w:tc>
          <w:p>
            <w:pPr>
              <w:pStyle w:val="Normal"/>
            </w:pPr>
            <w:r>
              <w:t>-1.006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5.325</w:t>
            </w:r>
          </w:p>
        </w:tc>
        <w:tc>
          <w:p>
            <w:pPr>
              <w:pStyle w:val="Normal"/>
            </w:pPr>
            <w:r>
              <w:t>0.515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CIDmean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-0.115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-0.604</w:t>
            </w:r>
          </w:p>
        </w:tc>
        <w:tc>
          <w:p>
            <w:pPr>
              <w:pStyle w:val="Normal"/>
            </w:pPr>
            <w:r>
              <w:t>0.604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CID_index</w:t>
            </w:r>
          </w:p>
        </w:tc>
        <w:tc>
          <w:p>
            <w:pPr>
              <w:pStyle w:val="Normal"/>
            </w:pPr>
            <w:r>
              <w:t>-0.999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0.604</w:t>
            </w:r>
          </w:p>
        </w:tc>
        <w:tc>
          <w:p>
            <w:pPr>
              <w:pStyle w:val="Normal"/>
            </w:pPr>
            <w:r>
              <w:t>0.604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CID_index</w:t>
            </w:r>
          </w:p>
        </w:tc>
        <w:tc>
          <w:p>
            <w:pPr>
              <w:pStyle w:val="Normal"/>
            </w:pPr>
            <w:r>
              <w:t>-0.116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0.604</w:t>
            </w:r>
          </w:p>
        </w:tc>
        <w:tc>
          <w:p>
            <w:pPr>
              <w:pStyle w:val="Normal"/>
            </w:pPr>
            <w:r>
              <w:t>0.604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CIDmean</w:t>
            </w:r>
          </w:p>
        </w:tc>
        <w:tc>
          <w:p>
            <w:pPr>
              <w:pStyle w:val="Normal"/>
            </w:pPr>
            <w:r>
              <w:t>-1.001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5.222</w:t>
            </w:r>
          </w:p>
        </w:tc>
        <w:tc>
          <w:p>
            <w:pPr>
              <w:pStyle w:val="Normal"/>
            </w:pPr>
            <w:r>
              <w:t>0.604</w:t>
            </w:r>
          </w:p>
        </w:tc>
      </w:tr>
    </w:tbl>
    <w:p>
      <w:pPr>
        <w:pStyle w:val="Titre2"/>
      </w:pPr>
      <w:r>
        <w:t xml:space="preserve">Significant pairs — facet plots (★ marks significant panels)</w:t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662b28f91ab4720c09cbf2e34c87e0eb013bddcd.png"/>
<Relationship Id="rId8" Type="http://schemas.openxmlformats.org/officeDocument/2006/relationships/image" Target="media/0b2401e0c0de79dbf5347df34aca49da9ebb7c85.png"/>
<Relationship Id="rId9" Type="http://schemas.openxmlformats.org/officeDocument/2006/relationships/image" Target="media/3a7780709e2081712a481a662767b7dd417ab0e9.png"/>
<Relationship Id="rId10" Type="http://schemas.openxmlformats.org/officeDocument/2006/relationships/image" Target="media/717647930a9b41a906e0ba3b404d0dec9eafb13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2025-09-05T15:18:57Z</dcterms:modified>
  <cp:category/>
</cp:coreProperties>
</file>