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Rebuttal</w:t>
      </w:r>
      <w:r>
        <w:t xml:space="preserve"> </w:t>
      </w:r>
      <w:r>
        <w:t xml:space="preserve">to</w:t>
      </w:r>
      <w:r>
        <w:t xml:space="preserve"> </w:t>
      </w:r>
      <w:r>
        <w:t xml:space="preserve">Watters</w:t>
      </w:r>
      <w:r>
        <w:t xml:space="preserve"> </w:t>
      </w:r>
      <w:r>
        <w:t xml:space="preserve">et</w:t>
      </w:r>
      <w:r>
        <w:t xml:space="preserve"> </w:t>
      </w:r>
      <w:r>
        <w:t xml:space="preserve">al. (2020):</w:t>
      </w:r>
      <w:r>
        <w:t xml:space="preserve"> </w:t>
      </w:r>
      <w:r>
        <w:t xml:space="preserve">Misinterpretation</w:t>
      </w:r>
      <w:r>
        <w:t xml:space="preserve"> </w:t>
      </w:r>
      <w:r>
        <w:t xml:space="preserve">of</w:t>
      </w:r>
      <w:r>
        <w:t xml:space="preserve"> </w:t>
      </w:r>
      <w:r>
        <w:t xml:space="preserve">Predator-Prey</w:t>
      </w:r>
      <w:r>
        <w:t xml:space="preserve"> </w:t>
      </w:r>
      <w:r>
        <w:t xml:space="preserve">Dynamics</w:t>
      </w:r>
      <w:r>
        <w:t xml:space="preserve"> </w:t>
      </w:r>
      <w:r>
        <w:t xml:space="preserve">leading</w:t>
      </w:r>
      <w:r>
        <w:t xml:space="preserve"> </w:t>
      </w:r>
      <w:r>
        <w:t xml:space="preserve">to</w:t>
      </w:r>
      <w:r>
        <w:t xml:space="preserve"> </w:t>
      </w:r>
      <w:r>
        <w:t xml:space="preserve">erroneous</w:t>
      </w:r>
      <w:r>
        <w:t xml:space="preserve"> </w:t>
      </w:r>
      <w:r>
        <w:t xml:space="preserve">Precautionary</w:t>
      </w:r>
      <w:r>
        <w:t xml:space="preserve"> </w:t>
      </w:r>
      <w:r>
        <w:t xml:space="preserve">Management</w:t>
      </w:r>
      <w:r>
        <w:t xml:space="preserve"> </w:t>
      </w:r>
      <w:r>
        <w:t xml:space="preserve">in</w:t>
      </w:r>
      <w:r>
        <w:t xml:space="preserve"> </w:t>
      </w:r>
      <w:r>
        <w:t xml:space="preserve">Antarctic</w:t>
      </w:r>
      <w:r>
        <w:t xml:space="preserve"> </w:t>
      </w:r>
      <w:r>
        <w:t xml:space="preserve">Krill</w:t>
      </w:r>
      <w:r>
        <w:t xml:space="preserve"> </w:t>
      </w:r>
      <w:r>
        <w:t xml:space="preserve">Fisheries</w:t>
      </w:r>
    </w:p>
    <w:p>
      <w:pPr>
        <w:pStyle w:val="Date"/>
      </w:pPr>
      <w:r>
        <w:t xml:space="preserve">2025-11-19</w:t>
      </w:r>
    </w:p>
    <w:bookmarkStart w:id="26" w:name="a.-analysis-of-survey-coverage"/>
    <w:p>
      <w:pPr>
        <w:pStyle w:val="Heading1"/>
      </w:pPr>
      <w:r>
        <w:t xml:space="preserve">A. Analysis of Survey Coverage</w:t>
      </w:r>
    </w:p>
    <w:p>
      <w:pPr>
        <w:pStyle w:val="FirstParagraph"/>
      </w:pPr>
      <w:r>
        <w:drawing>
          <wp:inline>
            <wp:extent cx="4267200" cy="2981569"/>
            <wp:effectExtent b="0" l="0" r="0" t="0"/>
            <wp:docPr descr="Figure S1: Survey coverage (total transect length surveyed) by gSSMU and year (up). Frequency distribution of total transect length, including the 10th percentile (dashed line) is shown below." title="" id="21" name="Picture"/>
            <a:graphic>
              <a:graphicData uri="http://schemas.openxmlformats.org/drawingml/2006/picture">
                <pic:pic>
                  <pic:nvPicPr>
                    <pic:cNvPr descr="Watters_Rebutt_Suppl_Mat_files/figure-docx/Survey%20cover%20effor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267200" cy="2981569"/>
            <wp:effectExtent b="0" l="0" r="0" t="0"/>
            <wp:docPr descr="Figure S1: Survey coverage (total transect length surveyed) by gSSMU and year (up). Frequency distribution of total transect length, including the 10th percentile (dashed line) is shown below." title="" id="24" name="Picture"/>
            <a:graphic>
              <a:graphicData uri="http://schemas.openxmlformats.org/drawingml/2006/picture">
                <pic:pic>
                  <pic:nvPicPr>
                    <pic:cNvPr descr="Watters_Rebutt_Suppl_Mat_files/figure-docx/Survey%20cover%20effort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S1. Survey coverage (total transect length surveyed) by gSSMU and year (up). Frequency distribution of total transect length, including the 10th percentile (dashed line) is shown below.</w:t>
      </w:r>
    </w:p>
    <w:bookmarkEnd w:id="26"/>
    <w:bookmarkStart w:id="27" w:name="b.-imputed-summer-lkb-values"/>
    <w:p>
      <w:pPr>
        <w:pStyle w:val="Heading1"/>
      </w:pPr>
      <w:r>
        <w:t xml:space="preserve">B. Imputed summer LKB values</w:t>
      </w:r>
    </w:p>
    <w:bookmarkEnd w:id="27"/>
    <w:bookmarkStart w:id="28" w:name="citations"/>
    <w:p>
      <w:pPr>
        <w:pStyle w:val="Heading1"/>
      </w:pPr>
      <w:r>
        <w:t xml:space="preserve">Citations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Rebuttal to Watters et al. (2020): Misinterpretation of Predator-Prey Dynamics leading to erroneous Precautionary Management in Antarctic Krill Fisheries</dc:title>
  <dc:creator/>
  <cp:keywords/>
  <dcterms:created xsi:type="dcterms:W3CDTF">2025-11-19T21:28:58Z</dcterms:created>
  <dcterms:modified xsi:type="dcterms:W3CDTF">2025-11-19T21:28:58Z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always_allow_html">
    <vt:lpwstr>True</vt:lpwstr>
  </property>
  <property fmtid="{D5CDD505-2E9C-101B-9397-08002B2CF9AE}" pid="4" name="date">
    <vt:lpwstr>2025-11-19</vt:lpwstr>
  </property>
  <property fmtid="{D5CDD505-2E9C-101B-9397-08002B2CF9AE}" pid="5" name="editor_options">
    <vt:lpwstr/>
  </property>
  <property fmtid="{D5CDD505-2E9C-101B-9397-08002B2CF9AE}" pid="6" name="geometry">
    <vt:lpwstr>margin=3cm</vt:lpwstr>
  </property>
  <property fmtid="{D5CDD505-2E9C-101B-9397-08002B2CF9AE}" pid="7" name="header-includes">
    <vt:lpwstr/>
  </property>
  <property fmtid="{D5CDD505-2E9C-101B-9397-08002B2CF9AE}" pid="8" name="output">
    <vt:lpwstr>word_document</vt:lpwstr>
  </property>
</Properties>
</file>