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EF3E9" w14:textId="77777777" w:rsidR="003311AC"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2BBEF3EA" w14:textId="77777777" w:rsidR="003311AC" w:rsidRDefault="00000000">
      <w:pPr>
        <w:pStyle w:val="Fecha"/>
      </w:pPr>
      <w:r>
        <w:t>2025-12-05</w:t>
      </w:r>
    </w:p>
    <w:p w14:paraId="2BBEF3EB" w14:textId="77777777" w:rsidR="003311AC" w:rsidRDefault="00000000">
      <w:pPr>
        <w:pStyle w:val="Ttulo1"/>
      </w:pPr>
      <w:bookmarkStart w:id="0" w:name="tables"/>
      <w:r>
        <w:t>Tables:</w:t>
      </w:r>
    </w:p>
    <w:p w14:paraId="2BBEF3EC" w14:textId="77777777" w:rsidR="003311AC" w:rsidRDefault="00000000">
      <w:pPr>
        <w:pStyle w:val="FirstParagraph"/>
      </w:pPr>
      <w:r>
        <w:t>Table 1: Estimations of mean and sd of Ln(LKB), as per Equation (2) (Watters et al. 2020), and xx test between -/+ SAM values within each gSSMU. THe equivalent LKB value is given in ‘mean LKB’.</w:t>
      </w:r>
    </w:p>
    <w:tbl>
      <w:tblPr>
        <w:tblStyle w:val="Table"/>
        <w:tblW w:w="0" w:type="auto"/>
        <w:tblLook w:val="0020" w:firstRow="1" w:lastRow="0" w:firstColumn="0" w:lastColumn="0" w:noHBand="0" w:noVBand="0"/>
      </w:tblPr>
      <w:tblGrid>
        <w:gridCol w:w="924"/>
        <w:gridCol w:w="1108"/>
        <w:gridCol w:w="482"/>
        <w:gridCol w:w="930"/>
        <w:gridCol w:w="797"/>
        <w:gridCol w:w="983"/>
        <w:gridCol w:w="1329"/>
      </w:tblGrid>
      <w:tr w:rsidR="003311AC" w14:paraId="2BBEF3F4" w14:textId="77777777" w:rsidTr="003311AC">
        <w:trPr>
          <w:cnfStyle w:val="100000000000" w:firstRow="1" w:lastRow="0" w:firstColumn="0" w:lastColumn="0" w:oddVBand="0" w:evenVBand="0" w:oddHBand="0" w:evenHBand="0" w:firstRowFirstColumn="0" w:firstRowLastColumn="0" w:lastRowFirstColumn="0" w:lastRowLastColumn="0"/>
          <w:tblHeader/>
        </w:trPr>
        <w:tc>
          <w:tcPr>
            <w:tcW w:w="0" w:type="auto"/>
          </w:tcPr>
          <w:p w14:paraId="2BBEF3ED" w14:textId="77777777" w:rsidR="003311AC" w:rsidRDefault="00000000">
            <w:pPr>
              <w:pStyle w:val="Compact"/>
              <w:jc w:val="right"/>
            </w:pPr>
            <w:r>
              <w:t>gSSMU</w:t>
            </w:r>
          </w:p>
        </w:tc>
        <w:tc>
          <w:tcPr>
            <w:tcW w:w="0" w:type="auto"/>
          </w:tcPr>
          <w:p w14:paraId="2BBEF3EE" w14:textId="77777777" w:rsidR="003311AC" w:rsidRDefault="00000000">
            <w:pPr>
              <w:pStyle w:val="Compact"/>
            </w:pPr>
            <w:r>
              <w:t>sam.sign</w:t>
            </w:r>
          </w:p>
        </w:tc>
        <w:tc>
          <w:tcPr>
            <w:tcW w:w="0" w:type="auto"/>
          </w:tcPr>
          <w:p w14:paraId="2BBEF3EF" w14:textId="77777777" w:rsidR="003311AC" w:rsidRDefault="00000000">
            <w:pPr>
              <w:pStyle w:val="Compact"/>
              <w:jc w:val="right"/>
            </w:pPr>
            <w:r>
              <w:t>n</w:t>
            </w:r>
          </w:p>
        </w:tc>
        <w:tc>
          <w:tcPr>
            <w:tcW w:w="0" w:type="auto"/>
          </w:tcPr>
          <w:p w14:paraId="2BBEF3F0" w14:textId="77777777" w:rsidR="003311AC" w:rsidRDefault="00000000">
            <w:pPr>
              <w:pStyle w:val="Compact"/>
              <w:jc w:val="right"/>
            </w:pPr>
            <w:r>
              <w:t>mu</w:t>
            </w:r>
          </w:p>
        </w:tc>
        <w:tc>
          <w:tcPr>
            <w:tcW w:w="0" w:type="auto"/>
          </w:tcPr>
          <w:p w14:paraId="2BBEF3F1" w14:textId="77777777" w:rsidR="003311AC" w:rsidRDefault="00000000">
            <w:pPr>
              <w:pStyle w:val="Compact"/>
              <w:jc w:val="right"/>
            </w:pPr>
            <w:r>
              <w:t>sd</w:t>
            </w:r>
          </w:p>
        </w:tc>
        <w:tc>
          <w:tcPr>
            <w:tcW w:w="0" w:type="auto"/>
          </w:tcPr>
          <w:p w14:paraId="2BBEF3F2" w14:textId="77777777" w:rsidR="003311AC" w:rsidRDefault="00000000">
            <w:pPr>
              <w:pStyle w:val="Compact"/>
              <w:jc w:val="right"/>
            </w:pPr>
            <w:r>
              <w:t>p-value</w:t>
            </w:r>
          </w:p>
        </w:tc>
        <w:tc>
          <w:tcPr>
            <w:tcW w:w="0" w:type="auto"/>
          </w:tcPr>
          <w:p w14:paraId="2BBEF3F3" w14:textId="77777777" w:rsidR="003311AC" w:rsidRDefault="00000000">
            <w:pPr>
              <w:pStyle w:val="Compact"/>
              <w:jc w:val="right"/>
            </w:pPr>
            <w:r>
              <w:t>Mean_LKB</w:t>
            </w:r>
          </w:p>
        </w:tc>
      </w:tr>
      <w:tr w:rsidR="003311AC" w14:paraId="2BBEF3FC" w14:textId="77777777">
        <w:tc>
          <w:tcPr>
            <w:tcW w:w="0" w:type="auto"/>
          </w:tcPr>
          <w:p w14:paraId="2BBEF3F5" w14:textId="77777777" w:rsidR="003311AC" w:rsidRDefault="00000000">
            <w:pPr>
              <w:pStyle w:val="Compact"/>
              <w:jc w:val="right"/>
            </w:pPr>
            <w:r>
              <w:t>1</w:t>
            </w:r>
          </w:p>
        </w:tc>
        <w:tc>
          <w:tcPr>
            <w:tcW w:w="0" w:type="auto"/>
          </w:tcPr>
          <w:p w14:paraId="2BBEF3F6" w14:textId="77777777" w:rsidR="003311AC" w:rsidRDefault="00000000">
            <w:pPr>
              <w:pStyle w:val="Compact"/>
            </w:pPr>
            <w:r>
              <w:t>Neg</w:t>
            </w:r>
          </w:p>
        </w:tc>
        <w:tc>
          <w:tcPr>
            <w:tcW w:w="0" w:type="auto"/>
          </w:tcPr>
          <w:p w14:paraId="2BBEF3F7" w14:textId="77777777" w:rsidR="003311AC" w:rsidRDefault="00000000">
            <w:pPr>
              <w:pStyle w:val="Compact"/>
              <w:jc w:val="right"/>
            </w:pPr>
            <w:r>
              <w:t>6</w:t>
            </w:r>
          </w:p>
        </w:tc>
        <w:tc>
          <w:tcPr>
            <w:tcW w:w="0" w:type="auto"/>
          </w:tcPr>
          <w:p w14:paraId="2BBEF3F8" w14:textId="77777777" w:rsidR="003311AC" w:rsidRDefault="00000000">
            <w:pPr>
              <w:pStyle w:val="Compact"/>
              <w:jc w:val="right"/>
            </w:pPr>
            <w:r>
              <w:t>13.643</w:t>
            </w:r>
          </w:p>
        </w:tc>
        <w:tc>
          <w:tcPr>
            <w:tcW w:w="0" w:type="auto"/>
          </w:tcPr>
          <w:p w14:paraId="2BBEF3F9" w14:textId="77777777" w:rsidR="003311AC" w:rsidRDefault="00000000">
            <w:pPr>
              <w:pStyle w:val="Compact"/>
              <w:jc w:val="right"/>
            </w:pPr>
            <w:r>
              <w:t>1.315</w:t>
            </w:r>
          </w:p>
        </w:tc>
        <w:tc>
          <w:tcPr>
            <w:tcW w:w="0" w:type="auto"/>
          </w:tcPr>
          <w:p w14:paraId="2BBEF3FA" w14:textId="77777777" w:rsidR="003311AC" w:rsidRDefault="00000000">
            <w:pPr>
              <w:pStyle w:val="Compact"/>
              <w:jc w:val="right"/>
            </w:pPr>
            <w:r>
              <w:t>0.261</w:t>
            </w:r>
          </w:p>
        </w:tc>
        <w:tc>
          <w:tcPr>
            <w:tcW w:w="0" w:type="auto"/>
          </w:tcPr>
          <w:p w14:paraId="2BBEF3FB" w14:textId="77777777" w:rsidR="003311AC" w:rsidRDefault="00000000">
            <w:pPr>
              <w:pStyle w:val="Compact"/>
              <w:jc w:val="right"/>
            </w:pPr>
            <w:r>
              <w:t>841401.3</w:t>
            </w:r>
          </w:p>
        </w:tc>
      </w:tr>
      <w:tr w:rsidR="003311AC" w14:paraId="2BBEF404" w14:textId="77777777">
        <w:tc>
          <w:tcPr>
            <w:tcW w:w="0" w:type="auto"/>
          </w:tcPr>
          <w:p w14:paraId="2BBEF3FD" w14:textId="77777777" w:rsidR="003311AC" w:rsidRDefault="00000000">
            <w:pPr>
              <w:pStyle w:val="Compact"/>
              <w:jc w:val="right"/>
            </w:pPr>
            <w:r>
              <w:t>1</w:t>
            </w:r>
          </w:p>
        </w:tc>
        <w:tc>
          <w:tcPr>
            <w:tcW w:w="0" w:type="auto"/>
          </w:tcPr>
          <w:p w14:paraId="2BBEF3FE" w14:textId="77777777" w:rsidR="003311AC" w:rsidRDefault="00000000">
            <w:pPr>
              <w:pStyle w:val="Compact"/>
            </w:pPr>
            <w:r>
              <w:t>Pos</w:t>
            </w:r>
          </w:p>
        </w:tc>
        <w:tc>
          <w:tcPr>
            <w:tcW w:w="0" w:type="auto"/>
          </w:tcPr>
          <w:p w14:paraId="2BBEF3FF" w14:textId="77777777" w:rsidR="003311AC" w:rsidRDefault="00000000">
            <w:pPr>
              <w:pStyle w:val="Compact"/>
              <w:jc w:val="right"/>
            </w:pPr>
            <w:r>
              <w:t>10</w:t>
            </w:r>
          </w:p>
        </w:tc>
        <w:tc>
          <w:tcPr>
            <w:tcW w:w="0" w:type="auto"/>
          </w:tcPr>
          <w:p w14:paraId="2BBEF400" w14:textId="77777777" w:rsidR="003311AC" w:rsidRDefault="00000000">
            <w:pPr>
              <w:pStyle w:val="Compact"/>
              <w:jc w:val="right"/>
            </w:pPr>
            <w:r>
              <w:t>14.315</w:t>
            </w:r>
          </w:p>
        </w:tc>
        <w:tc>
          <w:tcPr>
            <w:tcW w:w="0" w:type="auto"/>
          </w:tcPr>
          <w:p w14:paraId="2BBEF401" w14:textId="77777777" w:rsidR="003311AC" w:rsidRDefault="00000000">
            <w:pPr>
              <w:pStyle w:val="Compact"/>
              <w:jc w:val="right"/>
            </w:pPr>
            <w:r>
              <w:t>0.994</w:t>
            </w:r>
          </w:p>
        </w:tc>
        <w:tc>
          <w:tcPr>
            <w:tcW w:w="0" w:type="auto"/>
          </w:tcPr>
          <w:p w14:paraId="2BBEF402" w14:textId="77777777" w:rsidR="003311AC" w:rsidRDefault="00000000">
            <w:pPr>
              <w:pStyle w:val="Compact"/>
              <w:jc w:val="right"/>
            </w:pPr>
            <w:r>
              <w:t>NA</w:t>
            </w:r>
          </w:p>
        </w:tc>
        <w:tc>
          <w:tcPr>
            <w:tcW w:w="0" w:type="auto"/>
          </w:tcPr>
          <w:p w14:paraId="2BBEF403" w14:textId="77777777" w:rsidR="003311AC" w:rsidRDefault="00000000">
            <w:pPr>
              <w:pStyle w:val="Compact"/>
              <w:jc w:val="right"/>
            </w:pPr>
            <w:r>
              <w:t>1647467.9</w:t>
            </w:r>
          </w:p>
        </w:tc>
      </w:tr>
      <w:tr w:rsidR="003311AC" w14:paraId="2BBEF40C" w14:textId="77777777">
        <w:tc>
          <w:tcPr>
            <w:tcW w:w="0" w:type="auto"/>
          </w:tcPr>
          <w:p w14:paraId="2BBEF405" w14:textId="77777777" w:rsidR="003311AC" w:rsidRDefault="00000000">
            <w:pPr>
              <w:pStyle w:val="Compact"/>
              <w:jc w:val="right"/>
            </w:pPr>
            <w:r>
              <w:t>2</w:t>
            </w:r>
          </w:p>
        </w:tc>
        <w:tc>
          <w:tcPr>
            <w:tcW w:w="0" w:type="auto"/>
          </w:tcPr>
          <w:p w14:paraId="2BBEF406" w14:textId="77777777" w:rsidR="003311AC" w:rsidRDefault="00000000">
            <w:pPr>
              <w:pStyle w:val="Compact"/>
            </w:pPr>
            <w:r>
              <w:t>Neg</w:t>
            </w:r>
          </w:p>
        </w:tc>
        <w:tc>
          <w:tcPr>
            <w:tcW w:w="0" w:type="auto"/>
          </w:tcPr>
          <w:p w14:paraId="2BBEF407" w14:textId="77777777" w:rsidR="003311AC" w:rsidRDefault="00000000">
            <w:pPr>
              <w:pStyle w:val="Compact"/>
              <w:jc w:val="right"/>
            </w:pPr>
            <w:r>
              <w:t>6</w:t>
            </w:r>
          </w:p>
        </w:tc>
        <w:tc>
          <w:tcPr>
            <w:tcW w:w="0" w:type="auto"/>
          </w:tcPr>
          <w:p w14:paraId="2BBEF408" w14:textId="77777777" w:rsidR="003311AC" w:rsidRDefault="00000000">
            <w:pPr>
              <w:pStyle w:val="Compact"/>
              <w:jc w:val="right"/>
            </w:pPr>
            <w:r>
              <w:t>14.809</w:t>
            </w:r>
          </w:p>
        </w:tc>
        <w:tc>
          <w:tcPr>
            <w:tcW w:w="0" w:type="auto"/>
          </w:tcPr>
          <w:p w14:paraId="2BBEF409" w14:textId="77777777" w:rsidR="003311AC" w:rsidRDefault="00000000">
            <w:pPr>
              <w:pStyle w:val="Compact"/>
              <w:jc w:val="right"/>
            </w:pPr>
            <w:r>
              <w:t>0.681</w:t>
            </w:r>
          </w:p>
        </w:tc>
        <w:tc>
          <w:tcPr>
            <w:tcW w:w="0" w:type="auto"/>
          </w:tcPr>
          <w:p w14:paraId="2BBEF40A" w14:textId="77777777" w:rsidR="003311AC" w:rsidRDefault="00000000">
            <w:pPr>
              <w:pStyle w:val="Compact"/>
              <w:jc w:val="right"/>
            </w:pPr>
            <w:r>
              <w:t>0.097</w:t>
            </w:r>
          </w:p>
        </w:tc>
        <w:tc>
          <w:tcPr>
            <w:tcW w:w="0" w:type="auto"/>
          </w:tcPr>
          <w:p w14:paraId="2BBEF40B" w14:textId="77777777" w:rsidR="003311AC" w:rsidRDefault="00000000">
            <w:pPr>
              <w:pStyle w:val="Compact"/>
              <w:jc w:val="right"/>
            </w:pPr>
            <w:r>
              <w:t>2701181.9</w:t>
            </w:r>
          </w:p>
        </w:tc>
      </w:tr>
      <w:tr w:rsidR="003311AC" w14:paraId="2BBEF414" w14:textId="77777777">
        <w:tc>
          <w:tcPr>
            <w:tcW w:w="0" w:type="auto"/>
          </w:tcPr>
          <w:p w14:paraId="2BBEF40D" w14:textId="77777777" w:rsidR="003311AC" w:rsidRDefault="00000000">
            <w:pPr>
              <w:pStyle w:val="Compact"/>
              <w:jc w:val="right"/>
            </w:pPr>
            <w:r>
              <w:t>2</w:t>
            </w:r>
          </w:p>
        </w:tc>
        <w:tc>
          <w:tcPr>
            <w:tcW w:w="0" w:type="auto"/>
          </w:tcPr>
          <w:p w14:paraId="2BBEF40E" w14:textId="77777777" w:rsidR="003311AC" w:rsidRDefault="00000000">
            <w:pPr>
              <w:pStyle w:val="Compact"/>
            </w:pPr>
            <w:r>
              <w:t>Pos</w:t>
            </w:r>
          </w:p>
        </w:tc>
        <w:tc>
          <w:tcPr>
            <w:tcW w:w="0" w:type="auto"/>
          </w:tcPr>
          <w:p w14:paraId="2BBEF40F" w14:textId="77777777" w:rsidR="003311AC" w:rsidRDefault="00000000">
            <w:pPr>
              <w:pStyle w:val="Compact"/>
              <w:jc w:val="right"/>
            </w:pPr>
            <w:r>
              <w:t>10</w:t>
            </w:r>
          </w:p>
        </w:tc>
        <w:tc>
          <w:tcPr>
            <w:tcW w:w="0" w:type="auto"/>
          </w:tcPr>
          <w:p w14:paraId="2BBEF410" w14:textId="77777777" w:rsidR="003311AC" w:rsidRDefault="00000000">
            <w:pPr>
              <w:pStyle w:val="Compact"/>
              <w:jc w:val="right"/>
            </w:pPr>
            <w:r>
              <w:t>15.512</w:t>
            </w:r>
          </w:p>
        </w:tc>
        <w:tc>
          <w:tcPr>
            <w:tcW w:w="0" w:type="auto"/>
          </w:tcPr>
          <w:p w14:paraId="2BBEF411" w14:textId="77777777" w:rsidR="003311AC" w:rsidRDefault="00000000">
            <w:pPr>
              <w:pStyle w:val="Compact"/>
              <w:jc w:val="right"/>
            </w:pPr>
            <w:r>
              <w:t>0.792</w:t>
            </w:r>
          </w:p>
        </w:tc>
        <w:tc>
          <w:tcPr>
            <w:tcW w:w="0" w:type="auto"/>
          </w:tcPr>
          <w:p w14:paraId="2BBEF412" w14:textId="77777777" w:rsidR="003311AC" w:rsidRDefault="00000000">
            <w:pPr>
              <w:pStyle w:val="Compact"/>
              <w:jc w:val="right"/>
            </w:pPr>
            <w:r>
              <w:t>NA</w:t>
            </w:r>
          </w:p>
        </w:tc>
        <w:tc>
          <w:tcPr>
            <w:tcW w:w="0" w:type="auto"/>
          </w:tcPr>
          <w:p w14:paraId="2BBEF413" w14:textId="77777777" w:rsidR="003311AC" w:rsidRDefault="00000000">
            <w:pPr>
              <w:pStyle w:val="Compact"/>
              <w:jc w:val="right"/>
            </w:pPr>
            <w:r>
              <w:t>5456188.0</w:t>
            </w:r>
          </w:p>
        </w:tc>
      </w:tr>
    </w:tbl>
    <w:p w14:paraId="2BBEF415" w14:textId="77777777" w:rsidR="003311AC" w:rsidRDefault="00000000">
      <w:r>
        <w:br w:type="page"/>
      </w:r>
    </w:p>
    <w:p w14:paraId="2BBEF416" w14:textId="77777777" w:rsidR="003311AC" w:rsidRDefault="00000000">
      <w:pPr>
        <w:pStyle w:val="Ttulo1"/>
      </w:pPr>
      <w:bookmarkStart w:id="1" w:name="figures"/>
      <w:bookmarkEnd w:id="0"/>
      <w:r>
        <w:lastRenderedPageBreak/>
        <w:t>Figures:</w:t>
      </w:r>
    </w:p>
    <w:p w14:paraId="2BBEF417" w14:textId="77777777" w:rsidR="003311AC" w:rsidRDefault="00000000">
      <w:pPr>
        <w:pStyle w:val="FirstParagraph"/>
      </w:pPr>
      <w:r>
        <w:rPr>
          <w:noProof/>
        </w:rPr>
        <w:drawing>
          <wp:inline distT="0" distB="0" distL="0" distR="0" wp14:anchorId="2BBEF426" wp14:editId="2BBEF427">
            <wp:extent cx="4267200" cy="3777288"/>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4267200" cy="3777288"/>
                    </a:xfrm>
                    <a:prstGeom prst="rect">
                      <a:avLst/>
                    </a:prstGeom>
                    <a:noFill/>
                    <a:ln w="9525">
                      <a:noFill/>
                      <a:headEnd/>
                      <a:tailEnd/>
                    </a:ln>
                  </pic:spPr>
                </pic:pic>
              </a:graphicData>
            </a:graphic>
          </wp:inline>
        </w:drawing>
      </w:r>
    </w:p>
    <w:p w14:paraId="2BBEF418" w14:textId="77777777" w:rsidR="003311AC" w:rsidRDefault="00000000">
      <w:pPr>
        <w:pStyle w:val="Textoindependiente"/>
      </w:pPr>
      <w:r>
        <w:t>Figure 1. Location of the penguin colonies (COPA: red dot; SHIRREF: blue dot), gSSMU #1 (blue dashed area) and #2 (red dashed area), and SSMUs (APEI: Antarctic Peninsula Elephant Island; APDPE: Antarctic Peninsula Drake Passage East; APDPW: Antarctic Peninsula Drake Passage West; APBSE: Antarctic Peninsula Bransfield Strait East; APBSW: Antarctic Peninsula Bransfield Strait West).</w:t>
      </w:r>
    </w:p>
    <w:p w14:paraId="2BBEF419" w14:textId="77777777" w:rsidR="003311AC" w:rsidRDefault="00000000">
      <w:pPr>
        <w:pStyle w:val="Textoindependiente"/>
      </w:pPr>
      <w:r>
        <w:rPr>
          <w:noProof/>
        </w:rPr>
        <w:lastRenderedPageBreak/>
        <w:drawing>
          <wp:inline distT="0" distB="0" distL="0" distR="0" wp14:anchorId="2BBEF428" wp14:editId="2BBEF429">
            <wp:extent cx="4267200" cy="27736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WattKrug_Results_files/figure-docx/LKB%20vs%20SAM-1.png"/>
                    <pic:cNvPicPr>
                      <a:picLocks noChangeAspect="1" noChangeArrowheads="1"/>
                    </pic:cNvPicPr>
                  </pic:nvPicPr>
                  <pic:blipFill>
                    <a:blip r:embed="rId8"/>
                    <a:stretch>
                      <a:fillRect/>
                    </a:stretch>
                  </pic:blipFill>
                  <pic:spPr bwMode="auto">
                    <a:xfrm>
                      <a:off x="0" y="0"/>
                      <a:ext cx="4267200" cy="2773680"/>
                    </a:xfrm>
                    <a:prstGeom prst="rect">
                      <a:avLst/>
                    </a:prstGeom>
                    <a:noFill/>
                    <a:ln w="9525">
                      <a:noFill/>
                      <a:headEnd/>
                      <a:tailEnd/>
                    </a:ln>
                  </pic:spPr>
                </pic:pic>
              </a:graphicData>
            </a:graphic>
          </wp:inline>
        </w:drawing>
      </w:r>
      <w:r>
        <w:rPr>
          <w:noProof/>
        </w:rPr>
        <w:drawing>
          <wp:inline distT="0" distB="0" distL="0" distR="0" wp14:anchorId="2BBEF42A" wp14:editId="2BBEF42B">
            <wp:extent cx="4267200" cy="277368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attKrug_Results_files/figure-docx/LKB%20vs%20SAM-2.png"/>
                    <pic:cNvPicPr>
                      <a:picLocks noChangeAspect="1" noChangeArrowheads="1"/>
                    </pic:cNvPicPr>
                  </pic:nvPicPr>
                  <pic:blipFill>
                    <a:blip r:embed="rId9"/>
                    <a:stretch>
                      <a:fillRect/>
                    </a:stretch>
                  </pic:blipFill>
                  <pic:spPr bwMode="auto">
                    <a:xfrm>
                      <a:off x="0" y="0"/>
                      <a:ext cx="4267200" cy="2773680"/>
                    </a:xfrm>
                    <a:prstGeom prst="rect">
                      <a:avLst/>
                    </a:prstGeom>
                    <a:noFill/>
                    <a:ln w="9525">
                      <a:noFill/>
                      <a:headEnd/>
                      <a:tailEnd/>
                    </a:ln>
                  </pic:spPr>
                </pic:pic>
              </a:graphicData>
            </a:graphic>
          </wp:inline>
        </w:drawing>
      </w:r>
    </w:p>
    <w:p w14:paraId="2BBEF41A" w14:textId="77777777" w:rsidR="003311AC" w:rsidRDefault="00000000">
      <w:pPr>
        <w:pStyle w:val="Textoindependiente"/>
      </w:pPr>
      <w:r>
        <w:t>Figure 2.(A) Krill survey biomass estimates by gSSMU and summer SAM value; dashed black line: 1 Mt; red/blue dashed lines correspond to mean value during -SAM summers, and red/blue solid lines years correspond to mean value during +SAM summers. (B) Boxplots of the Observed and Imputed LKB, by gSSMU and SAM sign; dashed black line: 1 Mt. gSSMU #1 = red; gSSM #2 = blue. Fill circles: Observed data; empty symbols: Imputed data. Imputed data was estimated using (mean,sd) values from Table 1.</w:t>
      </w:r>
    </w:p>
    <w:p w14:paraId="2BBEF41B" w14:textId="77777777" w:rsidR="003311AC" w:rsidRDefault="00000000">
      <w:pPr>
        <w:pStyle w:val="Textoindependiente"/>
      </w:pPr>
      <w:r>
        <w:rPr>
          <w:noProof/>
        </w:rPr>
        <w:lastRenderedPageBreak/>
        <w:drawing>
          <wp:inline distT="0" distB="0" distL="0" distR="0" wp14:anchorId="2BBEF42C" wp14:editId="2BBEF42D">
            <wp:extent cx="4267200" cy="277368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Krug_Results_files/figure-docx/Survey%20data-1.png"/>
                    <pic:cNvPicPr>
                      <a:picLocks noChangeAspect="1" noChangeArrowheads="1"/>
                    </pic:cNvPicPr>
                  </pic:nvPicPr>
                  <pic:blipFill>
                    <a:blip r:embed="rId10"/>
                    <a:stretch>
                      <a:fillRect/>
                    </a:stretch>
                  </pic:blipFill>
                  <pic:spPr bwMode="auto">
                    <a:xfrm>
                      <a:off x="0" y="0"/>
                      <a:ext cx="4267200" cy="2773680"/>
                    </a:xfrm>
                    <a:prstGeom prst="rect">
                      <a:avLst/>
                    </a:prstGeom>
                    <a:noFill/>
                    <a:ln w="9525">
                      <a:noFill/>
                      <a:headEnd/>
                      <a:tailEnd/>
                    </a:ln>
                  </pic:spPr>
                </pic:pic>
              </a:graphicData>
            </a:graphic>
          </wp:inline>
        </w:drawing>
      </w:r>
      <w:r>
        <w:rPr>
          <w:noProof/>
        </w:rPr>
        <w:drawing>
          <wp:inline distT="0" distB="0" distL="0" distR="0" wp14:anchorId="2BBEF42E" wp14:editId="2BBEF42F">
            <wp:extent cx="4267200" cy="277368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Krug_Results_files/figure-docx/Survey%20data-2.png"/>
                    <pic:cNvPicPr>
                      <a:picLocks noChangeAspect="1" noChangeArrowheads="1"/>
                    </pic:cNvPicPr>
                  </pic:nvPicPr>
                  <pic:blipFill>
                    <a:blip r:embed="rId11"/>
                    <a:stretch>
                      <a:fillRect/>
                    </a:stretch>
                  </pic:blipFill>
                  <pic:spPr bwMode="auto">
                    <a:xfrm>
                      <a:off x="0" y="0"/>
                      <a:ext cx="4267200" cy="2773680"/>
                    </a:xfrm>
                    <a:prstGeom prst="rect">
                      <a:avLst/>
                    </a:prstGeom>
                    <a:noFill/>
                    <a:ln w="9525">
                      <a:noFill/>
                      <a:headEnd/>
                      <a:tailEnd/>
                    </a:ln>
                  </pic:spPr>
                </pic:pic>
              </a:graphicData>
            </a:graphic>
          </wp:inline>
        </w:drawing>
      </w:r>
    </w:p>
    <w:p w14:paraId="2BBEF41C" w14:textId="77777777" w:rsidR="003311AC" w:rsidRDefault="00000000">
      <w:pPr>
        <w:pStyle w:val="Textoindependiente"/>
      </w:pPr>
      <w:r>
        <w:t>Figure 3. Krill survey estimates (LKB) for the study period. Top: gSSMU #2 (SSIW-EI); Bottom: gSSMU #1 (BS). Filled circles: Survey data from Watters et al. (2020); Open circles: mean imputed median LKB-value for -/+ SAM; filled triangles: survey data from Wang et al. (2025).</w:t>
      </w:r>
    </w:p>
    <w:p w14:paraId="2BBEF41D" w14:textId="77777777" w:rsidR="003311AC" w:rsidRDefault="00000000">
      <w:pPr>
        <w:pStyle w:val="CaptionedFigure"/>
      </w:pPr>
      <w:r>
        <w:rPr>
          <w:noProof/>
        </w:rPr>
        <w:lastRenderedPageBreak/>
        <w:drawing>
          <wp:inline distT="0" distB="0" distL="0" distR="0" wp14:anchorId="2BBEF430" wp14:editId="2BBEF431">
            <wp:extent cx="3467100" cy="7503294"/>
            <wp:effectExtent l="0" t="0" r="0" b="0"/>
            <wp:docPr id="37" name="Picture" descr="Penguin foraging behaviour during summer breeding, derived from available ARGOS-CLS PTT data presented in Hinke et al. 2017. A) Chinstrap penguins from Cape Shireff (blue) and Copacabana (green) truncated at 10^{th} March in line with known phenology (Black 2016; Lowther et al.(this meeting).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
            <wp:cNvGraphicFramePr/>
            <a:graphic xmlns:a="http://schemas.openxmlformats.org/drawingml/2006/main">
              <a:graphicData uri="http://schemas.openxmlformats.org/drawingml/2006/picture">
                <pic:pic xmlns:pic="http://schemas.openxmlformats.org/drawingml/2006/picture">
                  <pic:nvPicPr>
                    <pic:cNvPr id="38" name="Picture" descr="./Watters%20EMM%20figures/Penguin%20distributions.png"/>
                    <pic:cNvPicPr>
                      <a:picLocks noChangeAspect="1" noChangeArrowheads="1"/>
                    </pic:cNvPicPr>
                  </pic:nvPicPr>
                  <pic:blipFill>
                    <a:blip r:embed="rId12"/>
                    <a:stretch>
                      <a:fillRect/>
                    </a:stretch>
                  </pic:blipFill>
                  <pic:spPr bwMode="auto">
                    <a:xfrm>
                      <a:off x="0" y="0"/>
                      <a:ext cx="3467100" cy="7503294"/>
                    </a:xfrm>
                    <a:prstGeom prst="rect">
                      <a:avLst/>
                    </a:prstGeom>
                    <a:noFill/>
                    <a:ln w="9525">
                      <a:noFill/>
                      <a:headEnd/>
                      <a:tailEnd/>
                    </a:ln>
                  </pic:spPr>
                </pic:pic>
              </a:graphicData>
            </a:graphic>
          </wp:inline>
        </w:drawing>
      </w:r>
    </w:p>
    <w:p w14:paraId="2BBEF41E" w14:textId="77777777" w:rsidR="003311AC" w:rsidRDefault="00000000">
      <w:pPr>
        <w:pStyle w:val="ImageCaption"/>
      </w:pPr>
      <w:r>
        <w:t xml:space="preserve">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phenology (Black 2016; </w:t>
      </w:r>
      <w:r>
        <w:lastRenderedPageBreak/>
        <w:t>Lowther et al.(this meeting).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2BBEF41F" w14:textId="77777777" w:rsidR="003311AC" w:rsidRDefault="00000000">
      <w:pPr>
        <w:pStyle w:val="CaptionedFigure"/>
      </w:pPr>
      <w:r>
        <w:rPr>
          <w:noProof/>
        </w:rPr>
        <w:lastRenderedPageBreak/>
        <w:drawing>
          <wp:inline distT="0" distB="0" distL="0" distR="0" wp14:anchorId="2BBEF432" wp14:editId="2BBEF433">
            <wp:extent cx="4000500" cy="7550050"/>
            <wp:effectExtent l="0" t="0" r="0" b="0"/>
            <wp:docPr id="40" name="Picture" descr="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breeding (taken from Hinke et al. 2015). In the original model formulation by Watters et al. 2020, the winter performance indices for both species are matched to macroscale levels of ONI variability but gSSMU-scale estimates of LKB and LHR."/>
            <wp:cNvGraphicFramePr/>
            <a:graphic xmlns:a="http://schemas.openxmlformats.org/drawingml/2006/main">
              <a:graphicData uri="http://schemas.openxmlformats.org/drawingml/2006/picture">
                <pic:pic xmlns:pic="http://schemas.openxmlformats.org/drawingml/2006/picture">
                  <pic:nvPicPr>
                    <pic:cNvPr id="41" name="Picture" descr="./Watters%20EMM%20figures/Overwinter%20pengo%20distributions.png"/>
                    <pic:cNvPicPr>
                      <a:picLocks noChangeAspect="1" noChangeArrowheads="1"/>
                    </pic:cNvPicPr>
                  </pic:nvPicPr>
                  <pic:blipFill>
                    <a:blip r:embed="rId13"/>
                    <a:stretch>
                      <a:fillRect/>
                    </a:stretch>
                  </pic:blipFill>
                  <pic:spPr bwMode="auto">
                    <a:xfrm>
                      <a:off x="0" y="0"/>
                      <a:ext cx="4000500" cy="7550050"/>
                    </a:xfrm>
                    <a:prstGeom prst="rect">
                      <a:avLst/>
                    </a:prstGeom>
                    <a:noFill/>
                    <a:ln w="9525">
                      <a:noFill/>
                      <a:headEnd/>
                      <a:tailEnd/>
                    </a:ln>
                  </pic:spPr>
                </pic:pic>
              </a:graphicData>
            </a:graphic>
          </wp:inline>
        </w:drawing>
      </w:r>
    </w:p>
    <w:p w14:paraId="2BBEF420" w14:textId="77777777" w:rsidR="003311AC" w:rsidRDefault="00000000">
      <w:pPr>
        <w:pStyle w:val="ImageCaption"/>
      </w:pPr>
      <w:r>
        <w:t xml:space="preserve">A) Distribution of overwinter movement for chinstrap penguins, relative to the gSSMU’s to which they were attributed, created from telemetry data available in Hinke et al. 2019. B) Adélie and chinstrap penguin movement recorded by light geolocators, highlighting the large </w:t>
      </w:r>
      <w:r>
        <w:lastRenderedPageBreak/>
        <w:t>longitudinal range both species disperse through at the end of breeding (taken from Hinke et al. 2015). In the original model formulation by Watters et al. 2020, the winter performance indices for both species are matched to macroscale levels of ONI variability but gSSMU-scale estimates of LKB and LHR.</w:t>
      </w:r>
    </w:p>
    <w:p w14:paraId="2BBEF421" w14:textId="77777777" w:rsidR="003311AC" w:rsidRDefault="00000000">
      <w:pPr>
        <w:pStyle w:val="CaptionedFigure"/>
      </w:pPr>
      <w:r>
        <w:rPr>
          <w:noProof/>
        </w:rPr>
        <w:drawing>
          <wp:inline distT="0" distB="0" distL="0" distR="0" wp14:anchorId="2BBEF434" wp14:editId="2BBEF435">
            <wp:extent cx="4000500" cy="5461809"/>
            <wp:effectExtent l="0" t="0" r="0" b="0"/>
            <wp:docPr id="43" name="Picture" descr="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
            <wp:cNvGraphicFramePr/>
            <a:graphic xmlns:a="http://schemas.openxmlformats.org/drawingml/2006/main">
              <a:graphicData uri="http://schemas.openxmlformats.org/drawingml/2006/picture">
                <pic:pic xmlns:pic="http://schemas.openxmlformats.org/drawingml/2006/picture">
                  <pic:nvPicPr>
                    <pic:cNvPr id="44" name="Picture" descr="./Watters%20EMM%20figures/Watters%20original%20and%20mistake.png"/>
                    <pic:cNvPicPr>
                      <a:picLocks noChangeAspect="1" noChangeArrowheads="1"/>
                    </pic:cNvPicPr>
                  </pic:nvPicPr>
                  <pic:blipFill>
                    <a:blip r:embed="rId14"/>
                    <a:stretch>
                      <a:fillRect/>
                    </a:stretch>
                  </pic:blipFill>
                  <pic:spPr bwMode="auto">
                    <a:xfrm>
                      <a:off x="0" y="0"/>
                      <a:ext cx="4000500" cy="5461809"/>
                    </a:xfrm>
                    <a:prstGeom prst="rect">
                      <a:avLst/>
                    </a:prstGeom>
                    <a:noFill/>
                    <a:ln w="9525">
                      <a:noFill/>
                      <a:headEnd/>
                      <a:tailEnd/>
                    </a:ln>
                  </pic:spPr>
                </pic:pic>
              </a:graphicData>
            </a:graphic>
          </wp:inline>
        </w:drawing>
      </w:r>
    </w:p>
    <w:p w14:paraId="2BBEF422" w14:textId="77777777" w:rsidR="003311AC" w:rsidRDefault="00000000">
      <w:pPr>
        <w:pStyle w:val="ImageCaption"/>
      </w:pPr>
      <w:r>
        <w:t>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2BBEF423" w14:textId="77777777" w:rsidR="003311AC" w:rsidRDefault="00000000">
      <w:pPr>
        <w:pStyle w:val="CaptionedFigure"/>
      </w:pPr>
      <w:r>
        <w:rPr>
          <w:noProof/>
        </w:rPr>
        <w:lastRenderedPageBreak/>
        <w:drawing>
          <wp:inline distT="0" distB="0" distL="0" distR="0" wp14:anchorId="2BBEF436" wp14:editId="2BBEF437">
            <wp:extent cx="5334000" cy="6258674"/>
            <wp:effectExtent l="0" t="0" r="0" b="0"/>
            <wp:docPr id="46" name="Picture" descr="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
            <wp:cNvGraphicFramePr/>
            <a:graphic xmlns:a="http://schemas.openxmlformats.org/drawingml/2006/main">
              <a:graphicData uri="http://schemas.openxmlformats.org/drawingml/2006/picture">
                <pic:pic xmlns:pic="http://schemas.openxmlformats.org/drawingml/2006/picture">
                  <pic:nvPicPr>
                    <pic:cNvPr id="47" name="Picture" descr="./Watters%20EMM%20figures/All%20spp%20summer%20then%20winter%2037.png"/>
                    <pic:cNvPicPr>
                      <a:picLocks noChangeAspect="1" noChangeArrowheads="1"/>
                    </pic:cNvPicPr>
                  </pic:nvPicPr>
                  <pic:blipFill>
                    <a:blip r:embed="rId15"/>
                    <a:stretch>
                      <a:fillRect/>
                    </a:stretch>
                  </pic:blipFill>
                  <pic:spPr bwMode="auto">
                    <a:xfrm>
                      <a:off x="0" y="0"/>
                      <a:ext cx="5334000" cy="6258674"/>
                    </a:xfrm>
                    <a:prstGeom prst="rect">
                      <a:avLst/>
                    </a:prstGeom>
                    <a:noFill/>
                    <a:ln w="9525">
                      <a:noFill/>
                      <a:headEnd/>
                      <a:tailEnd/>
                    </a:ln>
                  </pic:spPr>
                </pic:pic>
              </a:graphicData>
            </a:graphic>
          </wp:inline>
        </w:drawing>
      </w:r>
    </w:p>
    <w:p w14:paraId="2BBEF424" w14:textId="77777777" w:rsidR="003311AC" w:rsidRDefault="00000000">
      <w:pPr>
        <w:pStyle w:val="ImageCaption"/>
      </w:pPr>
      <w:r>
        <w:t>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2BBEF425" w14:textId="77777777" w:rsidR="003311AC" w:rsidRDefault="00000000">
      <w:pPr>
        <w:pStyle w:val="Ttulo1"/>
      </w:pPr>
      <w:bookmarkStart w:id="2" w:name="citations"/>
      <w:bookmarkEnd w:id="1"/>
      <w:r>
        <w:lastRenderedPageBreak/>
        <w:t>Citations</w:t>
      </w:r>
      <w:bookmarkEnd w:id="2"/>
    </w:p>
    <w:sectPr w:rsidR="003311A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74DAD" w14:textId="77777777" w:rsidR="000622B0" w:rsidRDefault="000622B0">
      <w:pPr>
        <w:spacing w:after="0"/>
      </w:pPr>
      <w:r>
        <w:separator/>
      </w:r>
    </w:p>
  </w:endnote>
  <w:endnote w:type="continuationSeparator" w:id="0">
    <w:p w14:paraId="746F079E" w14:textId="77777777" w:rsidR="000622B0" w:rsidRDefault="000622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126E0" w14:textId="77777777" w:rsidR="000622B0" w:rsidRDefault="000622B0">
      <w:r>
        <w:separator/>
      </w:r>
    </w:p>
  </w:footnote>
  <w:footnote w:type="continuationSeparator" w:id="0">
    <w:p w14:paraId="28888897" w14:textId="77777777" w:rsidR="000622B0" w:rsidRDefault="000622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BB0AA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54287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sDQxMTU2MTQxNTcyNLdQ0lEKTi0uzszPAykwqgUAK8esQywAAAA="/>
  </w:docVars>
  <w:rsids>
    <w:rsidRoot w:val="003311AC"/>
    <w:rsid w:val="0003172D"/>
    <w:rsid w:val="000622B0"/>
    <w:rsid w:val="003311AC"/>
    <w:rsid w:val="007B6C5B"/>
    <w:rsid w:val="00B47DF8"/>
    <w:rsid w:val="00E55B60"/>
    <w:rsid w:val="00EC7BE8"/>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EF3E9"/>
  <w15:docId w15:val="{50EBB81D-29CD-4888-888D-2FEDAEEEA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10</Pages>
  <Words>685</Words>
  <Characters>3631</Characters>
  <Application>Microsoft Office Word</Application>
  <DocSecurity>0</DocSecurity>
  <Lines>103</Lines>
  <Paragraphs>56</Paragraphs>
  <ScaleCrop>false</ScaleCrop>
  <Company/>
  <LinksUpToDate>false</LinksUpToDate>
  <CharactersWithSpaces>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3</cp:revision>
  <dcterms:created xsi:type="dcterms:W3CDTF">2025-12-05T21:55:00Z</dcterms:created>
  <dcterms:modified xsi:type="dcterms:W3CDTF">2025-12-05T22:07:00Z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date">
    <vt:lpwstr>2025-12-05</vt:lpwstr>
  </property>
  <property fmtid="{D5CDD505-2E9C-101B-9397-08002B2CF9AE}" pid="5" name="editor_options">
    <vt:lpwstr/>
  </property>
  <property fmtid="{D5CDD505-2E9C-101B-9397-08002B2CF9AE}" pid="6" name="geometry">
    <vt:lpwstr>margin=3cm</vt:lpwstr>
  </property>
  <property fmtid="{D5CDD505-2E9C-101B-9397-08002B2CF9AE}" pid="7" name="header-includes">
    <vt:lpwstr/>
  </property>
  <property fmtid="{D5CDD505-2E9C-101B-9397-08002B2CF9AE}" pid="8" name="journal">
    <vt:lpwstr>Scientific Reports</vt:lpwstr>
  </property>
  <property fmtid="{D5CDD505-2E9C-101B-9397-08002B2CF9AE}" pid="9" name="output">
    <vt:lpwstr>word_document</vt:lpwstr>
  </property>
</Properties>
</file>