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559666460"/>
        <w:placeholder>
          <w:docPart w:val="308F461C5A514E87B7176B1B8ED53F02"/>
        </w:placeholder>
        <w:dataBinding w:prefixMappings="xmlns:ns0='http://purl.org/dc/elements/1.1/' xmlns:ns1='http://schemas.openxmlformats.org/package/2006/metadata/core-properties' " w:xpath="/ns1:coreProperties[1]/ns0:title[1]" w:storeItemID="{6C3C8BC8-F283-45AE-878A-BAB7291924A1}"/>
        <w:text/>
      </w:sdtPr>
      <w:sdtEndPr/>
      <w:sdtContent>
        <w:p w14:paraId="6A1053D2" w14:textId="2A0B0535" w:rsidR="00CF7C81" w:rsidRDefault="00CF7C81" w:rsidP="00CF7C81">
          <w:pPr>
            <w:pStyle w:val="Title"/>
          </w:pPr>
          <w:r>
            <w:t>ADHD: utilisation analysis</w:t>
          </w:r>
        </w:p>
      </w:sdtContent>
    </w:sdt>
    <w:p w14:paraId="68F00614" w14:textId="799F8740" w:rsidR="00736041" w:rsidRPr="001D390D" w:rsidRDefault="009053D3" w:rsidP="001D390D">
      <w:pPr>
        <w:pStyle w:val="Heading1"/>
      </w:pPr>
      <w:r w:rsidRPr="001D390D">
        <w:t>D</w:t>
      </w:r>
      <w:r w:rsidR="00832324" w:rsidRPr="001D390D">
        <w:t>rug utilisation sub-committee (DUSC)</w:t>
      </w:r>
    </w:p>
    <w:p w14:paraId="78148839" w14:textId="799601E2" w:rsidR="009053D3" w:rsidRPr="00AA4BC3" w:rsidRDefault="0041430C" w:rsidP="001D390D">
      <w:pPr>
        <w:pStyle w:val="Heading2"/>
        <w:rPr>
          <w:rStyle w:val="Strong"/>
        </w:rPr>
      </w:pPr>
      <w:r w:rsidRPr="00AA4BC3">
        <w:rPr>
          <w:rStyle w:val="Strong"/>
        </w:rPr>
        <w:t>June 2015</w:t>
      </w:r>
    </w:p>
    <w:p w14:paraId="696BA719" w14:textId="77777777" w:rsidR="000D733F" w:rsidRPr="000D733F" w:rsidRDefault="000D733F" w:rsidP="000D733F">
      <w:pPr>
        <w:spacing w:line="276" w:lineRule="auto"/>
        <w:rPr>
          <w:b/>
          <w:bCs/>
        </w:rPr>
      </w:pPr>
      <w:r w:rsidRPr="000D733F">
        <w:rPr>
          <w:b/>
          <w:bCs/>
        </w:rPr>
        <w:t>Abstract</w:t>
      </w:r>
    </w:p>
    <w:p w14:paraId="61F659B9" w14:textId="77777777" w:rsidR="000D733F" w:rsidRPr="000D733F" w:rsidRDefault="000D733F" w:rsidP="000D733F">
      <w:pPr>
        <w:spacing w:line="276" w:lineRule="auto"/>
        <w:rPr>
          <w:b/>
          <w:bCs/>
        </w:rPr>
      </w:pPr>
      <w:r w:rsidRPr="000D733F">
        <w:rPr>
          <w:b/>
          <w:bCs/>
        </w:rPr>
        <w:t>Purpose</w:t>
      </w:r>
    </w:p>
    <w:p w14:paraId="42DD00C6" w14:textId="77777777" w:rsidR="000D733F" w:rsidRPr="000D733F" w:rsidRDefault="000D733F" w:rsidP="000D733F">
      <w:pPr>
        <w:spacing w:line="276" w:lineRule="auto"/>
        <w:rPr>
          <w:b/>
          <w:bCs/>
        </w:rPr>
      </w:pPr>
      <w:r w:rsidRPr="000D733F">
        <w:t>To review the utilisation of PBS-listed medicines used in the management of attention deficit hyperactivity disorder (ADHD).</w:t>
      </w:r>
    </w:p>
    <w:p w14:paraId="33737B5B" w14:textId="77777777" w:rsidR="000D733F" w:rsidRPr="000D733F" w:rsidRDefault="000D733F" w:rsidP="000D733F">
      <w:pPr>
        <w:spacing w:line="276" w:lineRule="auto"/>
        <w:rPr>
          <w:b/>
          <w:bCs/>
        </w:rPr>
      </w:pPr>
      <w:r w:rsidRPr="000D733F">
        <w:rPr>
          <w:b/>
          <w:bCs/>
        </w:rPr>
        <w:t>Data Source / methodology</w:t>
      </w:r>
    </w:p>
    <w:p w14:paraId="70501A36" w14:textId="77777777" w:rsidR="000D733F" w:rsidRPr="000D733F" w:rsidRDefault="000D733F" w:rsidP="000D733F">
      <w:pPr>
        <w:spacing w:line="276" w:lineRule="auto"/>
      </w:pPr>
      <w:r w:rsidRPr="000D733F">
        <w:t xml:space="preserve">This analysis used three data sources: DUSC database, Medicare pharmacy claim data and Medicare Australia authority approvals data. </w:t>
      </w:r>
    </w:p>
    <w:p w14:paraId="4C0A86BF" w14:textId="77777777" w:rsidR="000D733F" w:rsidRPr="000D733F" w:rsidRDefault="000D733F" w:rsidP="000D733F">
      <w:pPr>
        <w:spacing w:line="276" w:lineRule="auto"/>
        <w:rPr>
          <w:b/>
          <w:bCs/>
        </w:rPr>
      </w:pPr>
      <w:r w:rsidRPr="000D733F">
        <w:rPr>
          <w:b/>
          <w:bCs/>
        </w:rPr>
        <w:t>Key Findings</w:t>
      </w:r>
    </w:p>
    <w:p w14:paraId="4AE03443" w14:textId="77777777" w:rsidR="000D733F" w:rsidRPr="000D733F" w:rsidRDefault="000D733F" w:rsidP="000D733F">
      <w:pPr>
        <w:spacing w:line="276" w:lineRule="auto"/>
      </w:pPr>
      <w:r w:rsidRPr="000D733F">
        <w:t>Over the five year period 2010-2014:</w:t>
      </w:r>
    </w:p>
    <w:p w14:paraId="1641D73E" w14:textId="77777777" w:rsidR="000D733F" w:rsidRPr="000D733F" w:rsidRDefault="000D733F" w:rsidP="000D733F">
      <w:pPr>
        <w:pStyle w:val="ListParagraph"/>
        <w:numPr>
          <w:ilvl w:val="0"/>
          <w:numId w:val="1"/>
        </w:numPr>
      </w:pPr>
      <w:r w:rsidRPr="000D733F">
        <w:t>The number of patients treated with PBS medicines for ADHD has risen steadily, with an annual increase of 5-8%, and 5 year growth of 31%.</w:t>
      </w:r>
    </w:p>
    <w:p w14:paraId="76EB2463" w14:textId="77777777" w:rsidR="000D733F" w:rsidRPr="000D733F" w:rsidRDefault="000D733F" w:rsidP="000D733F">
      <w:pPr>
        <w:pStyle w:val="ListParagraph"/>
        <w:numPr>
          <w:ilvl w:val="0"/>
          <w:numId w:val="1"/>
        </w:numPr>
      </w:pPr>
      <w:r w:rsidRPr="000D733F">
        <w:t>Similarly the number of prescriptions and PBS expenditure has also increased steadily.</w:t>
      </w:r>
    </w:p>
    <w:p w14:paraId="35DFD304" w14:textId="77777777" w:rsidR="000D733F" w:rsidRPr="000D733F" w:rsidRDefault="000D733F" w:rsidP="000D733F">
      <w:pPr>
        <w:pStyle w:val="ListParagraph"/>
        <w:numPr>
          <w:ilvl w:val="0"/>
          <w:numId w:val="1"/>
        </w:numPr>
      </w:pPr>
      <w:r w:rsidRPr="000D733F">
        <w:t>The most commonly used medicine is methylphenidate. The majority of prescriptions supplied for methylphenidate are as the modified release forms.</w:t>
      </w:r>
    </w:p>
    <w:p w14:paraId="66AF0D41" w14:textId="77777777" w:rsidR="000D733F" w:rsidRPr="000D733F" w:rsidRDefault="000D733F" w:rsidP="000D733F">
      <w:pPr>
        <w:pStyle w:val="ListParagraph"/>
        <w:numPr>
          <w:ilvl w:val="0"/>
          <w:numId w:val="1"/>
        </w:numPr>
      </w:pPr>
      <w:r w:rsidRPr="000D733F">
        <w:t>Adults represent a slightly higher proportion of people treated over time, but do not constitute a higher proportion of people new to treatment.</w:t>
      </w:r>
    </w:p>
    <w:p w14:paraId="649C576B" w14:textId="77777777" w:rsidR="000D733F" w:rsidRPr="000D733F" w:rsidRDefault="000D733F" w:rsidP="000D733F">
      <w:pPr>
        <w:pStyle w:val="ListParagraph"/>
        <w:numPr>
          <w:ilvl w:val="0"/>
          <w:numId w:val="1"/>
        </w:numPr>
      </w:pPr>
      <w:r w:rsidRPr="000D733F">
        <w:t>More males than females are treated, although the ratio is decreasing over time.</w:t>
      </w:r>
    </w:p>
    <w:p w14:paraId="5CD297C9" w14:textId="77777777" w:rsidR="000D733F" w:rsidRPr="000D733F" w:rsidRDefault="000D733F" w:rsidP="000D733F">
      <w:pPr>
        <w:spacing w:line="276" w:lineRule="auto"/>
      </w:pPr>
      <w:r w:rsidRPr="000D733F">
        <w:t>A snapshot of medicine use in 2014 shows that:</w:t>
      </w:r>
    </w:p>
    <w:p w14:paraId="1615D3C9" w14:textId="77777777" w:rsidR="000D733F" w:rsidRPr="000D733F" w:rsidRDefault="000D733F" w:rsidP="000D733F">
      <w:pPr>
        <w:pStyle w:val="ListParagraph"/>
        <w:numPr>
          <w:ilvl w:val="0"/>
          <w:numId w:val="1"/>
        </w:numPr>
      </w:pPr>
      <w:r w:rsidRPr="000D733F">
        <w:t>The majority of prescriptions are written by a specialist, usually a paediatrician or psychiatrist. Most Australian states and territories restrict the prescribing of methylphenidate and dexamphetamine for the treatment of ADHD to specialist medical prescribers.</w:t>
      </w:r>
    </w:p>
    <w:p w14:paraId="5E6A90B9" w14:textId="77777777" w:rsidR="000D733F" w:rsidRPr="000D733F" w:rsidRDefault="000D733F" w:rsidP="000D733F">
      <w:pPr>
        <w:pStyle w:val="ListParagraph"/>
        <w:numPr>
          <w:ilvl w:val="0"/>
          <w:numId w:val="1"/>
        </w:numPr>
      </w:pPr>
      <w:r w:rsidRPr="000D733F">
        <w:t>Over 875,000 prescriptions were dispensed at a cost to the PBS of approximately $30 million.</w:t>
      </w:r>
    </w:p>
    <w:p w14:paraId="393EE6B8" w14:textId="77777777" w:rsidR="000D733F" w:rsidRPr="000D733F" w:rsidRDefault="000D733F" w:rsidP="000D733F">
      <w:pPr>
        <w:pStyle w:val="ListParagraph"/>
        <w:numPr>
          <w:ilvl w:val="0"/>
          <w:numId w:val="1"/>
        </w:numPr>
      </w:pPr>
      <w:r w:rsidRPr="000D733F">
        <w:t>Rates of prescribing vary across states and territories. The rates of treatment in school-aged children are highest in the ACT, NSW and Queensland. Rates of treatment in adults are highest in Western Australia.</w:t>
      </w:r>
    </w:p>
    <w:p w14:paraId="3D25EEB2" w14:textId="77777777" w:rsidR="000D733F" w:rsidRPr="000D733F" w:rsidRDefault="000D733F" w:rsidP="000D733F">
      <w:pPr>
        <w:pStyle w:val="ListParagraph"/>
        <w:numPr>
          <w:ilvl w:val="0"/>
          <w:numId w:val="1"/>
        </w:numPr>
      </w:pPr>
      <w:r w:rsidRPr="000D733F">
        <w:t>117,403 people were granted authority approval for a PBS medicine for ADHD.  Of these:</w:t>
      </w:r>
    </w:p>
    <w:p w14:paraId="7342F1EF" w14:textId="77777777" w:rsidR="000D733F" w:rsidRPr="000D733F" w:rsidRDefault="000D733F" w:rsidP="000D733F">
      <w:pPr>
        <w:numPr>
          <w:ilvl w:val="0"/>
          <w:numId w:val="13"/>
        </w:numPr>
        <w:spacing w:line="276" w:lineRule="auto"/>
      </w:pPr>
      <w:r w:rsidRPr="000D733F">
        <w:lastRenderedPageBreak/>
        <w:t>32% were adults, 22% were adolescents, 43% were children aged 6-12 years and 2% were children under the age of 6.</w:t>
      </w:r>
    </w:p>
    <w:p w14:paraId="719FED5F" w14:textId="63E6D315" w:rsidR="001A580F" w:rsidRPr="000D733F" w:rsidRDefault="000D733F" w:rsidP="000D733F">
      <w:pPr>
        <w:numPr>
          <w:ilvl w:val="0"/>
          <w:numId w:val="13"/>
        </w:numPr>
        <w:spacing w:line="276" w:lineRule="auto"/>
      </w:pPr>
      <w:r w:rsidRPr="000D733F">
        <w:t>24,232 started an ADHD medicine for the first time. The majority of people commence treatment with an immediate release product, most commonly methylphenidate.</w:t>
      </w:r>
    </w:p>
    <w:p w14:paraId="7E2F47CA" w14:textId="77777777" w:rsidR="00A2431E" w:rsidRDefault="00A2431E">
      <w:pPr>
        <w:spacing w:line="276" w:lineRule="auto"/>
        <w:rPr>
          <w:rFonts w:eastAsiaTheme="majorEastAsia" w:cstheme="majorBidi"/>
          <w:b/>
          <w:bCs/>
          <w:sz w:val="32"/>
        </w:rPr>
      </w:pPr>
      <w:r>
        <w:br w:type="page"/>
      </w:r>
    </w:p>
    <w:p w14:paraId="5B262047" w14:textId="096837BF" w:rsidR="00E677DD" w:rsidRPr="005E22C2" w:rsidRDefault="00E677DD" w:rsidP="00AA4BC3">
      <w:pPr>
        <w:pStyle w:val="Heading2"/>
      </w:pPr>
      <w:r w:rsidRPr="005E22C2">
        <w:lastRenderedPageBreak/>
        <w:t xml:space="preserve">Purpose of </w:t>
      </w:r>
      <w:r w:rsidR="00D151EB">
        <w:t>analysis</w:t>
      </w:r>
    </w:p>
    <w:p w14:paraId="70BFC0C9" w14:textId="79B4521B" w:rsidR="00E96DC6" w:rsidRDefault="00E96DC6" w:rsidP="00E96DC6">
      <w:r w:rsidRPr="00463160">
        <w:t xml:space="preserve">To review the utilisation of </w:t>
      </w:r>
      <w:r>
        <w:t>PBS-listed medicines used in the manage</w:t>
      </w:r>
      <w:r w:rsidRPr="00463160">
        <w:t>ment of attention deficit hyperactivity disorder (ADHD).</w:t>
      </w:r>
      <w:r>
        <w:t xml:space="preserve"> </w:t>
      </w:r>
    </w:p>
    <w:p w14:paraId="0753D5DC" w14:textId="77777777" w:rsidR="00E96DC6" w:rsidRPr="0058529A" w:rsidRDefault="00E96DC6" w:rsidP="00E96DC6">
      <w:r w:rsidRPr="0058529A">
        <w:t xml:space="preserve">The </w:t>
      </w:r>
      <w:r>
        <w:t xml:space="preserve">ADHD </w:t>
      </w:r>
      <w:r w:rsidRPr="0058529A">
        <w:t>medicines considered in this analysis are:</w:t>
      </w:r>
    </w:p>
    <w:p w14:paraId="36400F8C" w14:textId="77777777" w:rsidR="00E96DC6" w:rsidRPr="0058529A" w:rsidRDefault="00E96DC6" w:rsidP="0033642D">
      <w:pPr>
        <w:pStyle w:val="ListParagraph"/>
        <w:numPr>
          <w:ilvl w:val="0"/>
          <w:numId w:val="1"/>
        </w:numPr>
      </w:pPr>
      <w:r w:rsidRPr="0058529A">
        <w:t>dexamphetamine sulphate</w:t>
      </w:r>
    </w:p>
    <w:p w14:paraId="52A1314B" w14:textId="77777777" w:rsidR="00E96DC6" w:rsidRDefault="00E96DC6" w:rsidP="0033642D">
      <w:pPr>
        <w:pStyle w:val="ListParagraph"/>
        <w:numPr>
          <w:ilvl w:val="0"/>
          <w:numId w:val="1"/>
        </w:numPr>
      </w:pPr>
      <w:r w:rsidRPr="0058529A">
        <w:t>methylphenidate hydrochloride (immediate</w:t>
      </w:r>
      <w:r>
        <w:t xml:space="preserve"> release (IR) and </w:t>
      </w:r>
      <w:r w:rsidRPr="0058529A">
        <w:t>modi</w:t>
      </w:r>
      <w:r>
        <w:t>fied release (MR) forms)</w:t>
      </w:r>
    </w:p>
    <w:p w14:paraId="0CECF65F" w14:textId="5D1EC53C" w:rsidR="00E96DC6" w:rsidRDefault="00E96DC6" w:rsidP="0033642D">
      <w:pPr>
        <w:pStyle w:val="ListParagraph"/>
        <w:numPr>
          <w:ilvl w:val="0"/>
          <w:numId w:val="1"/>
        </w:numPr>
      </w:pPr>
      <w:r w:rsidRPr="0058529A">
        <w:t>atomoxetine</w:t>
      </w:r>
    </w:p>
    <w:p w14:paraId="0A7F0B57" w14:textId="034D22D5" w:rsidR="006537D9" w:rsidRPr="00AA4BC3" w:rsidRDefault="00736041" w:rsidP="00AA4BC3">
      <w:pPr>
        <w:pStyle w:val="Heading2"/>
      </w:pPr>
      <w:r w:rsidRPr="00AA4BC3">
        <w:t>Background</w:t>
      </w:r>
    </w:p>
    <w:p w14:paraId="25024366" w14:textId="77777777" w:rsidR="00E96DC6" w:rsidRDefault="00E96DC6" w:rsidP="00AA4BC3">
      <w:pPr>
        <w:pStyle w:val="Heading3"/>
      </w:pPr>
      <w:bookmarkStart w:id="0" w:name="_Ref418678996"/>
      <w:r>
        <w:t>ADHD</w:t>
      </w:r>
      <w:bookmarkEnd w:id="0"/>
    </w:p>
    <w:p w14:paraId="62E06A4F" w14:textId="77777777" w:rsidR="00E96DC6" w:rsidRDefault="00E96DC6" w:rsidP="00E96DC6">
      <w:r>
        <w:t xml:space="preserve">ADHD is characterised by inattentiveness and/or hyperactivity and impulsivity that is developmentally inappropriate and causes significant impairment in functioning across multiple settings, such as school/work, social and family settings. There are three subtypes: inattentive, hyperactive-impulsive, and combined. </w:t>
      </w:r>
    </w:p>
    <w:p w14:paraId="565B32C3" w14:textId="77777777" w:rsidR="00E96DC6" w:rsidRPr="007D7AB5" w:rsidRDefault="00E96DC6" w:rsidP="00E96DC6">
      <w:r w:rsidRPr="0030305D">
        <w:t>The reported prevalence of ADHD is variable</w:t>
      </w:r>
      <w:r>
        <w:t xml:space="preserve"> and may be influenced by the diagnostic criteria used. </w:t>
      </w:r>
      <w:r w:rsidRPr="0030305D">
        <w:t xml:space="preserve">In </w:t>
      </w:r>
      <w:r>
        <w:t xml:space="preserve">the UK, the prevalence of ADHD in </w:t>
      </w:r>
      <w:r w:rsidRPr="0030305D">
        <w:t>school aged children and adolescents is around 3-9% and in adults</w:t>
      </w:r>
      <w:r>
        <w:t xml:space="preserve"> </w:t>
      </w:r>
      <w:r w:rsidRPr="007D7AB5">
        <w:t>around 2%.</w:t>
      </w:r>
      <w:r w:rsidRPr="007D7AB5">
        <w:rPr>
          <w:rStyle w:val="EndnoteReference"/>
        </w:rPr>
        <w:endnoteReference w:id="1"/>
      </w:r>
      <w:r w:rsidRPr="007D7AB5">
        <w:t xml:space="preserve"> The prevalence of ADHD is higher in boys than girls</w:t>
      </w:r>
      <w:r>
        <w:t xml:space="preserve">, </w:t>
      </w:r>
      <w:r w:rsidRPr="00BF6614">
        <w:t>at around 9:1 to 6:1 in clinical populations, and around 3:1 in community-based population studies.</w:t>
      </w:r>
      <w:r w:rsidRPr="00BF6614">
        <w:rPr>
          <w:vertAlign w:val="superscript"/>
        </w:rPr>
        <w:endnoteReference w:id="2"/>
      </w:r>
      <w:r w:rsidRPr="00BF6614">
        <w:t xml:space="preserve"> </w:t>
      </w:r>
      <w:r>
        <w:t>Many</w:t>
      </w:r>
      <w:r w:rsidRPr="007D7AB5">
        <w:t xml:space="preserve"> children with ADHD continue to have symptoms as adults with women more likely to have ongoing symptoms.</w:t>
      </w:r>
      <w:bookmarkStart w:id="1" w:name="_Ref418676855"/>
      <w:r>
        <w:rPr>
          <w:rStyle w:val="EndnoteReference"/>
        </w:rPr>
        <w:endnoteReference w:id="3"/>
      </w:r>
      <w:bookmarkEnd w:id="1"/>
      <w:r w:rsidRPr="007D7AB5">
        <w:t xml:space="preserve"> </w:t>
      </w:r>
    </w:p>
    <w:p w14:paraId="03B7496C" w14:textId="77777777" w:rsidR="00E96DC6" w:rsidRDefault="00E96DC6" w:rsidP="00E96DC6">
      <w:r>
        <w:t>In 2012, the National Health and Medical Research Council (NHMRC) developed ‘Clinical Practice Points on the Diagnosis, Assessment and Management of Attention Deficit Hyperactivity Disorder in Children and Adolescents’ (Clinical Practice Points).</w:t>
      </w:r>
      <w:r w:rsidRPr="008513A1">
        <w:rPr>
          <w:vertAlign w:val="superscript"/>
        </w:rPr>
        <w:fldChar w:fldCharType="begin"/>
      </w:r>
      <w:r w:rsidRPr="008513A1">
        <w:rPr>
          <w:vertAlign w:val="superscript"/>
        </w:rPr>
        <w:instrText xml:space="preserve"> NOTEREF _Ref418676855 \h </w:instrText>
      </w:r>
      <w:r>
        <w:rPr>
          <w:vertAlign w:val="superscript"/>
        </w:rPr>
        <w:instrText xml:space="preserve"> \* MERGEFORMAT </w:instrText>
      </w:r>
      <w:r w:rsidRPr="008513A1">
        <w:rPr>
          <w:vertAlign w:val="superscript"/>
        </w:rPr>
      </w:r>
      <w:r w:rsidRPr="008513A1">
        <w:rPr>
          <w:vertAlign w:val="superscript"/>
        </w:rPr>
        <w:fldChar w:fldCharType="separate"/>
      </w:r>
      <w:r w:rsidR="00C1646A">
        <w:rPr>
          <w:vertAlign w:val="superscript"/>
        </w:rPr>
        <w:t>iii</w:t>
      </w:r>
      <w:r w:rsidRPr="008513A1">
        <w:rPr>
          <w:vertAlign w:val="superscript"/>
        </w:rPr>
        <w:fldChar w:fldCharType="end"/>
      </w:r>
      <w:r>
        <w:t xml:space="preserve"> The Clinical Practice Points recommend that ADHD be diagnosed using the DSM or International Statistical Classification of Diseases, 10</w:t>
      </w:r>
      <w:r w:rsidRPr="005D1BDC">
        <w:rPr>
          <w:vertAlign w:val="superscript"/>
        </w:rPr>
        <w:t>th</w:t>
      </w:r>
      <w:r>
        <w:t xml:space="preserve"> revision (ICD-10) criteria by a specialist clinician, such as a paediatrician or psychiatrist. Following diagnosis, an individualised management plan would be developed by the specialist clinician after considering the severity of symptoms, comorbid disorders, and the family’s resources and ability to adhere to the plan. </w:t>
      </w:r>
    </w:p>
    <w:p w14:paraId="29885AE6" w14:textId="77777777" w:rsidR="00E96DC6" w:rsidRDefault="00E96DC6" w:rsidP="00E96DC6">
      <w:r>
        <w:t xml:space="preserve">Behavioural and educational interventions may be used, either alone or in combination with medicines, for the management of ADHD symptoms. This report only examines use of medicines. </w:t>
      </w:r>
    </w:p>
    <w:p w14:paraId="6F13F8E7" w14:textId="77777777" w:rsidR="00E96DC6" w:rsidRDefault="00E96DC6" w:rsidP="00E96DC6">
      <w:r>
        <w:t>Other conditions frequently coexist with ADHD including anxiety disorders, mood disorders or conduct or specific developmental disorders.</w:t>
      </w:r>
      <w:r>
        <w:rPr>
          <w:rStyle w:val="EndnoteReference"/>
        </w:rPr>
        <w:endnoteReference w:id="4"/>
      </w:r>
      <w:r w:rsidRPr="000739F5">
        <w:rPr>
          <w:vertAlign w:val="superscript"/>
        </w:rPr>
        <w:t>;</w:t>
      </w:r>
      <w:bookmarkStart w:id="2" w:name="_Ref418697845"/>
      <w:r>
        <w:rPr>
          <w:rStyle w:val="EndnoteReference"/>
        </w:rPr>
        <w:endnoteReference w:id="5"/>
      </w:r>
      <w:bookmarkEnd w:id="2"/>
      <w:r>
        <w:t xml:space="preserve"> There is limited evidence for efficacy of psychotropic medicine combinations in this population.</w:t>
      </w:r>
      <w:r>
        <w:rPr>
          <w:rStyle w:val="EndnoteReference"/>
        </w:rPr>
        <w:endnoteReference w:id="6"/>
      </w:r>
    </w:p>
    <w:p w14:paraId="0183A567" w14:textId="413DF87B" w:rsidR="007247B9" w:rsidRPr="00E376AA" w:rsidRDefault="007247B9" w:rsidP="00AA4BC3">
      <w:pPr>
        <w:pStyle w:val="Heading3"/>
      </w:pPr>
      <w:r w:rsidRPr="00E376AA">
        <w:lastRenderedPageBreak/>
        <w:t>Pharmacology</w:t>
      </w:r>
    </w:p>
    <w:p w14:paraId="73B4E113" w14:textId="77777777" w:rsidR="004A12E7" w:rsidRDefault="004A12E7" w:rsidP="004A12E7">
      <w:r>
        <w:t>The exact mechanism of action of dexamphetamine and methylphenidate in the treatment of ADHD is not known.</w:t>
      </w:r>
      <w:bookmarkStart w:id="3" w:name="_Ref418677097"/>
      <w:r>
        <w:rPr>
          <w:rStyle w:val="EndnoteReference"/>
        </w:rPr>
        <w:endnoteReference w:id="7"/>
      </w:r>
      <w:bookmarkEnd w:id="3"/>
      <w:r w:rsidRPr="007F3030">
        <w:rPr>
          <w:vertAlign w:val="superscript"/>
        </w:rPr>
        <w:t>;</w:t>
      </w:r>
      <w:bookmarkStart w:id="4" w:name="_Ref418677140"/>
      <w:r>
        <w:rPr>
          <w:rStyle w:val="EndnoteReference"/>
        </w:rPr>
        <w:endnoteReference w:id="8"/>
      </w:r>
      <w:bookmarkEnd w:id="4"/>
      <w:r>
        <w:t xml:space="preserve"> Dexamphetamine and methylphenidate hydrochloride are central nervous system stimulants. Atomoxetine is a selective noradrenaline reuptake inhibitor.</w:t>
      </w:r>
      <w:bookmarkStart w:id="5" w:name="_Ref418677185"/>
      <w:r>
        <w:rPr>
          <w:rStyle w:val="EndnoteReference"/>
        </w:rPr>
        <w:endnoteReference w:id="9"/>
      </w:r>
      <w:bookmarkEnd w:id="5"/>
    </w:p>
    <w:p w14:paraId="6AC18C88" w14:textId="2877AC70" w:rsidR="001420B3" w:rsidRPr="00DE260E" w:rsidRDefault="001420B3" w:rsidP="00AA4BC3">
      <w:pPr>
        <w:pStyle w:val="Heading3"/>
      </w:pPr>
      <w:r w:rsidRPr="00DE260E">
        <w:t>T</w:t>
      </w:r>
      <w:r w:rsidR="000F22BC" w:rsidRPr="00DE260E">
        <w:t xml:space="preserve">herapeutic </w:t>
      </w:r>
      <w:r w:rsidRPr="00DE260E">
        <w:t>G</w:t>
      </w:r>
      <w:r w:rsidR="000F22BC" w:rsidRPr="00DE260E">
        <w:t xml:space="preserve">oods </w:t>
      </w:r>
      <w:r w:rsidRPr="00DE260E">
        <w:t>A</w:t>
      </w:r>
      <w:r w:rsidR="000F22BC" w:rsidRPr="00DE260E">
        <w:t>dministration (TGA)</w:t>
      </w:r>
      <w:r w:rsidRPr="00DE260E">
        <w:t xml:space="preserve"> approved indications</w:t>
      </w:r>
    </w:p>
    <w:p w14:paraId="3D7844EA" w14:textId="77777777" w:rsidR="004A12E7" w:rsidRPr="00B62124" w:rsidRDefault="004A12E7" w:rsidP="004A12E7">
      <w:r w:rsidRPr="00B62124">
        <w:t>Table 1 shows the TGA indications and PBS restricted uses of medicines</w:t>
      </w:r>
      <w:r>
        <w:t xml:space="preserve"> used to treat ADHD</w:t>
      </w:r>
      <w:r w:rsidRPr="00B62124">
        <w:t xml:space="preserve">. </w:t>
      </w:r>
    </w:p>
    <w:p w14:paraId="49F89182" w14:textId="77777777" w:rsidR="004A12E7" w:rsidRPr="00AA4BC3" w:rsidRDefault="004A12E7" w:rsidP="00AA4BC3">
      <w:pPr>
        <w:pStyle w:val="Tabletitle"/>
      </w:pPr>
      <w:r w:rsidRPr="00AA4BC3">
        <w:t>Table 1: TGA indications and PBS restricted uses for ADHD medicines</w:t>
      </w:r>
    </w:p>
    <w:tbl>
      <w:tblPr>
        <w:tblStyle w:val="TableGrid"/>
        <w:tblW w:w="9356" w:type="dxa"/>
        <w:tblInd w:w="108" w:type="dxa"/>
        <w:tblLook w:val="04A0" w:firstRow="1" w:lastRow="0" w:firstColumn="1" w:lastColumn="0" w:noHBand="0" w:noVBand="1"/>
        <w:tblDescription w:val="The different drugs are listed in the first column, read across the row for the TGA indications and abbreviated PBS restricted uses"/>
      </w:tblPr>
      <w:tblGrid>
        <w:gridCol w:w="1843"/>
        <w:gridCol w:w="3756"/>
        <w:gridCol w:w="3757"/>
      </w:tblGrid>
      <w:tr w:rsidR="004A12E7" w:rsidRPr="00A35800" w14:paraId="10018D2E" w14:textId="77777777" w:rsidTr="00A526DF">
        <w:trPr>
          <w:tblHeader/>
        </w:trPr>
        <w:tc>
          <w:tcPr>
            <w:tcW w:w="1843" w:type="dxa"/>
            <w:shd w:val="clear" w:color="auto" w:fill="BFBFBF" w:themeFill="background1" w:themeFillShade="BF"/>
          </w:tcPr>
          <w:p w14:paraId="5FF31386" w14:textId="77777777" w:rsidR="004A12E7" w:rsidRPr="00A35800" w:rsidRDefault="004A12E7" w:rsidP="0052799A">
            <w:pPr>
              <w:pStyle w:val="Tableheading"/>
            </w:pPr>
            <w:r>
              <w:t>Drug</w:t>
            </w:r>
          </w:p>
        </w:tc>
        <w:tc>
          <w:tcPr>
            <w:tcW w:w="3756" w:type="dxa"/>
            <w:shd w:val="clear" w:color="auto" w:fill="BFBFBF" w:themeFill="background1" w:themeFillShade="BF"/>
          </w:tcPr>
          <w:p w14:paraId="0B40D9B8" w14:textId="77777777" w:rsidR="004A12E7" w:rsidRPr="00E401EC" w:rsidRDefault="004A12E7" w:rsidP="0052799A">
            <w:pPr>
              <w:pStyle w:val="Tableheading"/>
            </w:pPr>
            <w:r w:rsidRPr="00E401EC">
              <w:t>TGA indications</w:t>
            </w:r>
          </w:p>
        </w:tc>
        <w:tc>
          <w:tcPr>
            <w:tcW w:w="3757" w:type="dxa"/>
            <w:shd w:val="clear" w:color="auto" w:fill="BFBFBF" w:themeFill="background1" w:themeFillShade="BF"/>
          </w:tcPr>
          <w:p w14:paraId="51ED19BF" w14:textId="77777777" w:rsidR="004A12E7" w:rsidRPr="00A35800" w:rsidRDefault="004A12E7" w:rsidP="0052799A">
            <w:pPr>
              <w:pStyle w:val="Tableheading"/>
            </w:pPr>
            <w:r>
              <w:t>Abbreviated PBS restricted uses</w:t>
            </w:r>
          </w:p>
        </w:tc>
      </w:tr>
      <w:tr w:rsidR="004A12E7" w:rsidRPr="00A35800" w14:paraId="608889BF" w14:textId="77777777" w:rsidTr="00A526DF">
        <w:tc>
          <w:tcPr>
            <w:tcW w:w="1843" w:type="dxa"/>
          </w:tcPr>
          <w:p w14:paraId="2691DA8E" w14:textId="77777777" w:rsidR="004A12E7" w:rsidRPr="00A35800" w:rsidRDefault="004A12E7" w:rsidP="0052799A">
            <w:pPr>
              <w:pStyle w:val="Tablewriting"/>
            </w:pPr>
            <w:r>
              <w:t>Dexamphetamine</w:t>
            </w:r>
          </w:p>
        </w:tc>
        <w:tc>
          <w:tcPr>
            <w:tcW w:w="3756" w:type="dxa"/>
          </w:tcPr>
          <w:p w14:paraId="447A3FF2" w14:textId="77777777" w:rsidR="004A12E7" w:rsidRDefault="004A12E7" w:rsidP="0033642D">
            <w:pPr>
              <w:pStyle w:val="Tablewriting"/>
              <w:numPr>
                <w:ilvl w:val="0"/>
                <w:numId w:val="5"/>
              </w:numPr>
              <w:ind w:left="176" w:hanging="142"/>
            </w:pPr>
            <w:r>
              <w:t>Hyperkinetic behaviour disorders in children</w:t>
            </w:r>
          </w:p>
          <w:p w14:paraId="20F3EFE5" w14:textId="77777777" w:rsidR="004A12E7" w:rsidRPr="00A35800" w:rsidRDefault="004A12E7" w:rsidP="0033642D">
            <w:pPr>
              <w:pStyle w:val="Tablewriting"/>
              <w:numPr>
                <w:ilvl w:val="0"/>
                <w:numId w:val="5"/>
              </w:numPr>
              <w:ind w:left="176" w:hanging="142"/>
            </w:pPr>
            <w:r>
              <w:t>Narcolepsy</w:t>
            </w:r>
          </w:p>
        </w:tc>
        <w:tc>
          <w:tcPr>
            <w:tcW w:w="3757" w:type="dxa"/>
          </w:tcPr>
          <w:p w14:paraId="4946FAE2" w14:textId="77777777" w:rsidR="004A12E7" w:rsidRDefault="004A12E7" w:rsidP="0033642D">
            <w:pPr>
              <w:pStyle w:val="Tablewriting"/>
              <w:numPr>
                <w:ilvl w:val="0"/>
                <w:numId w:val="5"/>
              </w:numPr>
              <w:ind w:left="175" w:hanging="142"/>
            </w:pPr>
            <w:r>
              <w:t>ADHD</w:t>
            </w:r>
          </w:p>
          <w:p w14:paraId="43139003" w14:textId="77777777" w:rsidR="004A12E7" w:rsidRPr="00A35800" w:rsidRDefault="004A12E7" w:rsidP="0033642D">
            <w:pPr>
              <w:pStyle w:val="Tablewriting"/>
              <w:numPr>
                <w:ilvl w:val="0"/>
                <w:numId w:val="5"/>
              </w:numPr>
              <w:ind w:left="175" w:hanging="142"/>
            </w:pPr>
            <w:r>
              <w:t>Narcolepsy</w:t>
            </w:r>
          </w:p>
        </w:tc>
      </w:tr>
      <w:tr w:rsidR="004A12E7" w:rsidRPr="00A35800" w14:paraId="2EDE670E" w14:textId="77777777" w:rsidTr="00A526DF">
        <w:tc>
          <w:tcPr>
            <w:tcW w:w="1843" w:type="dxa"/>
          </w:tcPr>
          <w:p w14:paraId="7119493D" w14:textId="77777777" w:rsidR="004A12E7" w:rsidRPr="00A35800" w:rsidRDefault="004A12E7" w:rsidP="0052799A">
            <w:pPr>
              <w:pStyle w:val="Tablewriting"/>
            </w:pPr>
            <w:r>
              <w:t>Methylphenidate IR</w:t>
            </w:r>
          </w:p>
        </w:tc>
        <w:tc>
          <w:tcPr>
            <w:tcW w:w="3756" w:type="dxa"/>
          </w:tcPr>
          <w:p w14:paraId="721B95BB" w14:textId="77777777" w:rsidR="004A12E7" w:rsidRDefault="004A12E7" w:rsidP="0033642D">
            <w:pPr>
              <w:pStyle w:val="Tablewriting"/>
              <w:numPr>
                <w:ilvl w:val="0"/>
                <w:numId w:val="4"/>
              </w:numPr>
              <w:ind w:left="176" w:hanging="142"/>
            </w:pPr>
            <w:r>
              <w:t>ADHD</w:t>
            </w:r>
          </w:p>
          <w:p w14:paraId="274C086B" w14:textId="77777777" w:rsidR="004A12E7" w:rsidRPr="00A35800" w:rsidRDefault="004A12E7" w:rsidP="0033642D">
            <w:pPr>
              <w:pStyle w:val="Tablewriting"/>
              <w:numPr>
                <w:ilvl w:val="0"/>
                <w:numId w:val="4"/>
              </w:numPr>
              <w:ind w:left="176" w:hanging="142"/>
            </w:pPr>
            <w:r>
              <w:t>Narcolepsy</w:t>
            </w:r>
          </w:p>
        </w:tc>
        <w:tc>
          <w:tcPr>
            <w:tcW w:w="3757" w:type="dxa"/>
          </w:tcPr>
          <w:p w14:paraId="2AEBB07D" w14:textId="77777777" w:rsidR="004A12E7" w:rsidRPr="00A35800" w:rsidRDefault="004A12E7" w:rsidP="0033642D">
            <w:pPr>
              <w:pStyle w:val="Tablewriting"/>
              <w:numPr>
                <w:ilvl w:val="0"/>
                <w:numId w:val="4"/>
              </w:numPr>
              <w:ind w:left="175" w:hanging="142"/>
            </w:pPr>
            <w:r>
              <w:t>ADHD</w:t>
            </w:r>
          </w:p>
        </w:tc>
      </w:tr>
      <w:tr w:rsidR="004A12E7" w:rsidRPr="00A35800" w14:paraId="4468CE51" w14:textId="77777777" w:rsidTr="00A526DF">
        <w:tc>
          <w:tcPr>
            <w:tcW w:w="1843" w:type="dxa"/>
          </w:tcPr>
          <w:p w14:paraId="25244E0B" w14:textId="77777777" w:rsidR="004A12E7" w:rsidRDefault="004A12E7" w:rsidP="0052799A">
            <w:pPr>
              <w:pStyle w:val="Tablewriting"/>
            </w:pPr>
            <w:r>
              <w:t>Methylphenidate MR</w:t>
            </w:r>
          </w:p>
        </w:tc>
        <w:tc>
          <w:tcPr>
            <w:tcW w:w="3756" w:type="dxa"/>
          </w:tcPr>
          <w:p w14:paraId="7CD2BA2F" w14:textId="77777777" w:rsidR="004A12E7" w:rsidRDefault="004A12E7" w:rsidP="0033642D">
            <w:pPr>
              <w:pStyle w:val="Tablewriting"/>
              <w:numPr>
                <w:ilvl w:val="0"/>
                <w:numId w:val="4"/>
              </w:numPr>
              <w:ind w:left="176" w:hanging="142"/>
            </w:pPr>
            <w:r>
              <w:t>ADHD</w:t>
            </w:r>
          </w:p>
        </w:tc>
        <w:tc>
          <w:tcPr>
            <w:tcW w:w="3757" w:type="dxa"/>
          </w:tcPr>
          <w:p w14:paraId="3B3D9423" w14:textId="77777777" w:rsidR="004A12E7" w:rsidRPr="00A35800" w:rsidRDefault="004A12E7" w:rsidP="0033642D">
            <w:pPr>
              <w:pStyle w:val="Tablewriting"/>
              <w:numPr>
                <w:ilvl w:val="0"/>
                <w:numId w:val="4"/>
              </w:numPr>
              <w:ind w:left="175" w:hanging="142"/>
            </w:pPr>
            <w:r>
              <w:t>ADHD in a patient diagnosed between ages 6 to 18</w:t>
            </w:r>
          </w:p>
        </w:tc>
      </w:tr>
      <w:tr w:rsidR="004A12E7" w:rsidRPr="00A35800" w14:paraId="680DA884" w14:textId="77777777" w:rsidTr="00A526DF">
        <w:tc>
          <w:tcPr>
            <w:tcW w:w="1843" w:type="dxa"/>
          </w:tcPr>
          <w:p w14:paraId="03BFDDD5" w14:textId="77777777" w:rsidR="004A12E7" w:rsidRPr="00A35800" w:rsidRDefault="004A12E7" w:rsidP="0052799A">
            <w:pPr>
              <w:pStyle w:val="Tablewriting"/>
            </w:pPr>
            <w:r>
              <w:t xml:space="preserve">Atomoxetine </w:t>
            </w:r>
          </w:p>
        </w:tc>
        <w:tc>
          <w:tcPr>
            <w:tcW w:w="3756" w:type="dxa"/>
          </w:tcPr>
          <w:p w14:paraId="72ADF723" w14:textId="77777777" w:rsidR="004A12E7" w:rsidRPr="00A35800" w:rsidRDefault="004A12E7" w:rsidP="0033642D">
            <w:pPr>
              <w:pStyle w:val="Tablewriting"/>
              <w:numPr>
                <w:ilvl w:val="0"/>
                <w:numId w:val="3"/>
              </w:numPr>
              <w:ind w:left="176" w:hanging="142"/>
            </w:pPr>
            <w:r>
              <w:t>ADHD as defined by the DSM-IV criteria for people aged ≥6 years</w:t>
            </w:r>
          </w:p>
        </w:tc>
        <w:tc>
          <w:tcPr>
            <w:tcW w:w="3757" w:type="dxa"/>
          </w:tcPr>
          <w:p w14:paraId="16EEF3DA" w14:textId="77777777" w:rsidR="004A12E7" w:rsidRPr="00A35800" w:rsidRDefault="004A12E7" w:rsidP="0033642D">
            <w:pPr>
              <w:pStyle w:val="Tablewriting"/>
              <w:numPr>
                <w:ilvl w:val="0"/>
                <w:numId w:val="3"/>
              </w:numPr>
              <w:ind w:left="175" w:hanging="142"/>
            </w:pPr>
            <w:r>
              <w:t>ADHD as defined by the DSM-V criteria, in a patient diagnosed between ages 6 to 18, who is contraindicated to or intolerant of stimulant treatment.</w:t>
            </w:r>
          </w:p>
        </w:tc>
      </w:tr>
    </w:tbl>
    <w:p w14:paraId="6F06C43D" w14:textId="77777777" w:rsidR="004A12E7" w:rsidRDefault="004A12E7" w:rsidP="004A12E7">
      <w:pPr>
        <w:pStyle w:val="Notes"/>
      </w:pPr>
      <w:r w:rsidRPr="004E1645">
        <w:t>Source</w:t>
      </w:r>
      <w:r>
        <w:t>s</w:t>
      </w:r>
      <w:r w:rsidRPr="004E1645">
        <w:t xml:space="preserve">: </w:t>
      </w:r>
      <w:r>
        <w:t xml:space="preserve">Therapeutic Goods Administration (2015), </w:t>
      </w:r>
      <w:hyperlink r:id="rId9" w:history="1">
        <w:r w:rsidRPr="004E1645">
          <w:rPr>
            <w:rStyle w:val="Hyperlink"/>
          </w:rPr>
          <w:t>Australian Register of Therapeutic Goods</w:t>
        </w:r>
      </w:hyperlink>
      <w:r w:rsidRPr="004E1645">
        <w:t>.</w:t>
      </w:r>
      <w:r>
        <w:t xml:space="preserve"> Accessed: May 2015. Department of Health (2015), </w:t>
      </w:r>
      <w:hyperlink r:id="rId10" w:history="1">
        <w:r w:rsidRPr="00A621C1">
          <w:rPr>
            <w:rStyle w:val="Hyperlink"/>
          </w:rPr>
          <w:t>Schedule of Pharmaceutical Benefits</w:t>
        </w:r>
      </w:hyperlink>
      <w:r w:rsidRPr="00A621C1">
        <w:t xml:space="preserve">. </w:t>
      </w:r>
      <w:r>
        <w:t xml:space="preserve"> Effective 1 May 2015. Accessed May 2015.</w:t>
      </w:r>
    </w:p>
    <w:p w14:paraId="71A354C3" w14:textId="77777777" w:rsidR="004A12E7" w:rsidRDefault="004A12E7" w:rsidP="00A526DF">
      <w:pPr>
        <w:pStyle w:val="Heading4"/>
      </w:pPr>
      <w:r>
        <w:t>Black box warnings</w:t>
      </w:r>
    </w:p>
    <w:p w14:paraId="21F7BFBE" w14:textId="77777777" w:rsidR="004A12E7" w:rsidRDefault="004A12E7" w:rsidP="004A12E7">
      <w:r>
        <w:t>Dexamphetamine and methylphenidate have black box warnings regarding drug dependence. They should be used cautiously in people with a history of drug or alcohol dependence. Chronic abuse may lead to tolerance, psychological dependence and abnormal behaviour.</w:t>
      </w:r>
      <w:r>
        <w:rPr>
          <w:vertAlign w:val="superscript"/>
        </w:rPr>
        <w:fldChar w:fldCharType="begin"/>
      </w:r>
      <w:r>
        <w:rPr>
          <w:vertAlign w:val="superscript"/>
        </w:rPr>
        <w:instrText xml:space="preserve"> NOTEREF _Ref418677097 \h </w:instrText>
      </w:r>
      <w:r>
        <w:rPr>
          <w:vertAlign w:val="superscript"/>
        </w:rPr>
      </w:r>
      <w:r>
        <w:rPr>
          <w:vertAlign w:val="superscript"/>
        </w:rPr>
        <w:fldChar w:fldCharType="separate"/>
      </w:r>
      <w:r w:rsidR="00C1646A">
        <w:rPr>
          <w:vertAlign w:val="superscript"/>
        </w:rPr>
        <w:t>vii</w:t>
      </w:r>
      <w:r>
        <w:rPr>
          <w:vertAlign w:val="superscript"/>
        </w:rPr>
        <w:fldChar w:fldCharType="end"/>
      </w:r>
      <w:r>
        <w:rPr>
          <w:vertAlign w:val="superscript"/>
        </w:rPr>
        <w:t>;</w:t>
      </w:r>
      <w:r>
        <w:rPr>
          <w:vertAlign w:val="superscript"/>
        </w:rPr>
        <w:fldChar w:fldCharType="begin"/>
      </w:r>
      <w:r>
        <w:rPr>
          <w:vertAlign w:val="superscript"/>
        </w:rPr>
        <w:instrText xml:space="preserve"> NOTEREF _Ref418677140 \h </w:instrText>
      </w:r>
      <w:r>
        <w:rPr>
          <w:vertAlign w:val="superscript"/>
        </w:rPr>
      </w:r>
      <w:r>
        <w:rPr>
          <w:vertAlign w:val="superscript"/>
        </w:rPr>
        <w:fldChar w:fldCharType="separate"/>
      </w:r>
      <w:r w:rsidR="00C1646A">
        <w:rPr>
          <w:vertAlign w:val="superscript"/>
        </w:rPr>
        <w:t>viii</w:t>
      </w:r>
      <w:r>
        <w:rPr>
          <w:vertAlign w:val="superscript"/>
        </w:rPr>
        <w:fldChar w:fldCharType="end"/>
      </w:r>
      <w:hyperlink w:anchor="_ENREF_12" w:tooltip="Aspen Pharma Pty Ltd, 2009 #24" w:history="1"/>
    </w:p>
    <w:p w14:paraId="38839C17" w14:textId="77777777" w:rsidR="004A12E7" w:rsidRDefault="004A12E7" w:rsidP="004A12E7">
      <w:r>
        <w:t>Atomoxetine has a black box warning to monitor patients for suicidal thoughts and behaviours. Short-term placebo-controlled studies showed a positive signal for suicidal thoughts and behaviours in children aged 12 years and under.</w:t>
      </w:r>
      <w:r w:rsidRPr="008513A1">
        <w:rPr>
          <w:vertAlign w:val="superscript"/>
        </w:rPr>
        <w:fldChar w:fldCharType="begin"/>
      </w:r>
      <w:r w:rsidRPr="008513A1">
        <w:rPr>
          <w:vertAlign w:val="superscript"/>
        </w:rPr>
        <w:instrText xml:space="preserve"> NOTEREF _Ref418677185 \h </w:instrText>
      </w:r>
      <w:r>
        <w:rPr>
          <w:vertAlign w:val="superscript"/>
        </w:rPr>
        <w:instrText xml:space="preserve"> \* MERGEFORMAT </w:instrText>
      </w:r>
      <w:r w:rsidRPr="008513A1">
        <w:rPr>
          <w:vertAlign w:val="superscript"/>
        </w:rPr>
      </w:r>
      <w:r w:rsidRPr="008513A1">
        <w:rPr>
          <w:vertAlign w:val="superscript"/>
        </w:rPr>
        <w:fldChar w:fldCharType="separate"/>
      </w:r>
      <w:r w:rsidR="00C1646A">
        <w:rPr>
          <w:vertAlign w:val="superscript"/>
        </w:rPr>
        <w:t>ix</w:t>
      </w:r>
      <w:r w:rsidRPr="008513A1">
        <w:rPr>
          <w:vertAlign w:val="superscript"/>
        </w:rPr>
        <w:fldChar w:fldCharType="end"/>
      </w:r>
      <w:r>
        <w:t xml:space="preserve"> </w:t>
      </w:r>
    </w:p>
    <w:p w14:paraId="2C07DD72" w14:textId="77777777" w:rsidR="004A12E7" w:rsidRPr="00AF124C" w:rsidRDefault="004A12E7" w:rsidP="00A526DF">
      <w:pPr>
        <w:pStyle w:val="Heading4"/>
      </w:pPr>
      <w:r w:rsidRPr="00AF124C">
        <w:t>Safety alerts</w:t>
      </w:r>
    </w:p>
    <w:p w14:paraId="44C73601" w14:textId="77777777" w:rsidR="004A12E7" w:rsidRDefault="004A12E7" w:rsidP="004A12E7">
      <w:r>
        <w:t xml:space="preserve">The </w:t>
      </w:r>
      <w:r w:rsidRPr="009B7655">
        <w:t xml:space="preserve">TGA issued a safety alert </w:t>
      </w:r>
      <w:r>
        <w:t xml:space="preserve">for atomoxetine in November 2011, </w:t>
      </w:r>
      <w:r w:rsidRPr="009B7655">
        <w:t xml:space="preserve">advising that </w:t>
      </w:r>
      <w:r>
        <w:t xml:space="preserve">the drug </w:t>
      </w:r>
      <w:r w:rsidRPr="009B7655">
        <w:t>can cause clinically significant increases in heart rate and b</w:t>
      </w:r>
      <w:r>
        <w:t xml:space="preserve">lood pressure in some patients and that its use is </w:t>
      </w:r>
      <w:r w:rsidRPr="009B7655">
        <w:t>contraindicated in patients with symptomatic cardiovascular diseases, moderate to severe hypertension</w:t>
      </w:r>
      <w:r>
        <w:t>,</w:t>
      </w:r>
      <w:r w:rsidRPr="009B7655">
        <w:t xml:space="preserve"> or severe cardiovascular disorders, whose condition would be expected to deteriorate if they experienced increases in blood pressure or in heart rate.</w:t>
      </w:r>
      <w:r>
        <w:rPr>
          <w:rStyle w:val="EndnoteReference"/>
        </w:rPr>
        <w:endnoteReference w:id="10"/>
      </w:r>
    </w:p>
    <w:p w14:paraId="296FAB2B" w14:textId="77777777" w:rsidR="004A12E7" w:rsidRDefault="004A12E7" w:rsidP="004A12E7">
      <w:r>
        <w:lastRenderedPageBreak/>
        <w:t>The TGA issued another safety alert for atomoxetine in October 2013 in relation to the risk of suicidal ideation and behaviour in children and adolescents.</w:t>
      </w:r>
      <w:r>
        <w:rPr>
          <w:rStyle w:val="EndnoteReference"/>
        </w:rPr>
        <w:endnoteReference w:id="11"/>
      </w:r>
      <w:r>
        <w:t xml:space="preserve"> The advice reinforced that while the risks of suicidal ideation and behaviour are well known, it is important that health professionals adequately inform parents and caregivers of the risks of suicidal ideation and behaviour in children and adolescents taking atomoxetine.</w:t>
      </w:r>
    </w:p>
    <w:p w14:paraId="3C064C31" w14:textId="77777777" w:rsidR="004A12E7" w:rsidRDefault="004A12E7" w:rsidP="004A12E7">
      <w:r>
        <w:t>In October 2014, the TGA issued a safety alert advising health professionals that in very rare cases treatment with methylphenidate may potentially lead to prolonged and sometimes painful erections.</w:t>
      </w:r>
      <w:r>
        <w:rPr>
          <w:rStyle w:val="EndnoteReference"/>
        </w:rPr>
        <w:endnoteReference w:id="12"/>
      </w:r>
    </w:p>
    <w:p w14:paraId="15E919C1" w14:textId="1B3BA560" w:rsidR="006B709B" w:rsidRPr="00DE260E" w:rsidRDefault="006B709B" w:rsidP="00AA4BC3">
      <w:pPr>
        <w:pStyle w:val="Heading3"/>
      </w:pPr>
      <w:r w:rsidRPr="00DE260E">
        <w:t>Dosage and administration</w:t>
      </w:r>
    </w:p>
    <w:p w14:paraId="46D8D567" w14:textId="77777777" w:rsidR="00816D93" w:rsidRDefault="00816D93" w:rsidP="00816D93">
      <w:r>
        <w:t xml:space="preserve">Treatment is usually commenced on dexamphetamine or the short acting presentation of methylphenidate. </w:t>
      </w:r>
      <w:r w:rsidRPr="00A03141">
        <w:t xml:space="preserve">Dexamphetamine and methylphenidate IR are usually given 2-3 times a day. </w:t>
      </w:r>
      <w:r>
        <w:t>Doses are started low and then up-titrated weekly to optimal doses.  The usual dose of dexamphetamine is in the range of 0.5 – 1 mg/kg up to a maximum of 40 mg per day. The maximum dose of methylphenidate in children is 40 mg and in adults is 60 mg daily.</w:t>
      </w:r>
      <w:bookmarkStart w:id="6" w:name="_Ref418677294"/>
      <w:r>
        <w:rPr>
          <w:rStyle w:val="EndnoteReference"/>
        </w:rPr>
        <w:endnoteReference w:id="13"/>
      </w:r>
      <w:bookmarkEnd w:id="6"/>
      <w:r>
        <w:t xml:space="preserve"> Patients frequently move to long acting methylphenidate once responding. </w:t>
      </w:r>
    </w:p>
    <w:p w14:paraId="077FA325" w14:textId="77777777" w:rsidR="00816D93" w:rsidRDefault="00816D93" w:rsidP="00816D93">
      <w:r>
        <w:t>Some patients require both short and long acting preparations to manage symptoms.</w:t>
      </w:r>
      <w:bookmarkStart w:id="7" w:name="_Ref418677342"/>
      <w:r>
        <w:rPr>
          <w:rStyle w:val="EndnoteReference"/>
        </w:rPr>
        <w:endnoteReference w:id="14"/>
      </w:r>
      <w:bookmarkEnd w:id="7"/>
      <w:r>
        <w:t xml:space="preserve"> In some patients, psychostimulant dose may be altered at times of high cognitive demand.</w:t>
      </w:r>
      <w:r w:rsidRPr="0083230A">
        <w:rPr>
          <w:vertAlign w:val="superscript"/>
        </w:rPr>
        <w:fldChar w:fldCharType="begin"/>
      </w:r>
      <w:r w:rsidRPr="0083230A">
        <w:rPr>
          <w:vertAlign w:val="superscript"/>
        </w:rPr>
        <w:instrText xml:space="preserve"> NOTEREF _Ref418677294 \h </w:instrText>
      </w:r>
      <w:r>
        <w:rPr>
          <w:vertAlign w:val="superscript"/>
        </w:rPr>
        <w:instrText xml:space="preserve"> \* MERGEFORMAT </w:instrText>
      </w:r>
      <w:r w:rsidRPr="0083230A">
        <w:rPr>
          <w:vertAlign w:val="superscript"/>
        </w:rPr>
      </w:r>
      <w:r w:rsidRPr="0083230A">
        <w:rPr>
          <w:vertAlign w:val="superscript"/>
        </w:rPr>
        <w:fldChar w:fldCharType="separate"/>
      </w:r>
      <w:r w:rsidR="00C1646A">
        <w:rPr>
          <w:vertAlign w:val="superscript"/>
        </w:rPr>
        <w:t>xiii</w:t>
      </w:r>
      <w:r w:rsidRPr="0083230A">
        <w:rPr>
          <w:vertAlign w:val="superscript"/>
        </w:rPr>
        <w:fldChar w:fldCharType="end"/>
      </w:r>
      <w:r>
        <w:t xml:space="preserve"> </w:t>
      </w:r>
    </w:p>
    <w:p w14:paraId="46A263EF" w14:textId="77777777" w:rsidR="00816D93" w:rsidRDefault="00816D93" w:rsidP="00816D93">
      <w:r w:rsidRPr="00BA0C7A">
        <w:t>If the maximum stimulant dose has been reached, and significant improvement in symptoms has not occurred after a month or unacceptable side effects have developed, alternative treatments should be trialled.</w:t>
      </w:r>
      <w:r w:rsidRPr="008513A1">
        <w:rPr>
          <w:vertAlign w:val="superscript"/>
        </w:rPr>
        <w:fldChar w:fldCharType="begin"/>
      </w:r>
      <w:r w:rsidRPr="008513A1">
        <w:rPr>
          <w:vertAlign w:val="superscript"/>
        </w:rPr>
        <w:instrText xml:space="preserve"> NOTEREF _Ref418676855 \h </w:instrText>
      </w:r>
      <w:r>
        <w:rPr>
          <w:vertAlign w:val="superscript"/>
        </w:rPr>
        <w:instrText xml:space="preserve"> \* MERGEFORMAT </w:instrText>
      </w:r>
      <w:r w:rsidRPr="008513A1">
        <w:rPr>
          <w:vertAlign w:val="superscript"/>
        </w:rPr>
      </w:r>
      <w:r w:rsidRPr="008513A1">
        <w:rPr>
          <w:vertAlign w:val="superscript"/>
        </w:rPr>
        <w:fldChar w:fldCharType="separate"/>
      </w:r>
      <w:r w:rsidR="00C1646A">
        <w:rPr>
          <w:vertAlign w:val="superscript"/>
        </w:rPr>
        <w:t>iii</w:t>
      </w:r>
      <w:r w:rsidRPr="008513A1">
        <w:rPr>
          <w:vertAlign w:val="superscript"/>
        </w:rPr>
        <w:fldChar w:fldCharType="end"/>
      </w:r>
      <w:hyperlink w:anchor="_ENREF_1" w:tooltip="National Health and Medical Research Council, 2012 #1" w:history="1"/>
    </w:p>
    <w:p w14:paraId="5EE0A914" w14:textId="77777777" w:rsidR="00816D93" w:rsidRDefault="00816D93" w:rsidP="00816D93">
      <w:r>
        <w:t>There are no established guidelines for the length of time a child should be maintained on stimulants.</w:t>
      </w:r>
      <w:r w:rsidRPr="005E0E68">
        <w:rPr>
          <w:vertAlign w:val="superscript"/>
        </w:rPr>
        <w:fldChar w:fldCharType="begin"/>
      </w:r>
      <w:r w:rsidRPr="005E0E68">
        <w:rPr>
          <w:vertAlign w:val="superscript"/>
        </w:rPr>
        <w:instrText xml:space="preserve"> NOTEREF _Ref418677536 \h </w:instrText>
      </w:r>
      <w:r>
        <w:rPr>
          <w:vertAlign w:val="superscript"/>
        </w:rPr>
        <w:instrText xml:space="preserve"> \* MERGEFORMAT </w:instrText>
      </w:r>
      <w:r w:rsidRPr="005E0E68">
        <w:rPr>
          <w:vertAlign w:val="superscript"/>
        </w:rPr>
      </w:r>
      <w:r w:rsidRPr="005E0E68">
        <w:rPr>
          <w:vertAlign w:val="superscript"/>
        </w:rPr>
        <w:fldChar w:fldCharType="separate"/>
      </w:r>
      <w:r w:rsidR="00C1646A">
        <w:rPr>
          <w:vertAlign w:val="superscript"/>
        </w:rPr>
        <w:t>xv</w:t>
      </w:r>
      <w:r w:rsidRPr="005E0E68">
        <w:rPr>
          <w:vertAlign w:val="superscript"/>
        </w:rPr>
        <w:fldChar w:fldCharType="end"/>
      </w:r>
      <w:r>
        <w:t xml:space="preserve"> </w:t>
      </w:r>
    </w:p>
    <w:p w14:paraId="337D0FBB" w14:textId="35225720" w:rsidR="006B709B" w:rsidRPr="002F61CA" w:rsidRDefault="00816D93" w:rsidP="00A35800">
      <w:r>
        <w:t xml:space="preserve">Full details on dosing and titration schedules can be found in the Product Information. </w:t>
      </w:r>
      <w:r w:rsidR="006B709B" w:rsidRPr="002F61CA">
        <w:t xml:space="preserve">The current Product Information (PI) and Consumer Medicine Information (CMI) are available from </w:t>
      </w:r>
      <w:hyperlink r:id="rId11" w:history="1">
        <w:r w:rsidR="004B552B">
          <w:rPr>
            <w:rStyle w:val="Hyperlink"/>
          </w:rPr>
          <w:t>the TGA (Product Information)</w:t>
        </w:r>
      </w:hyperlink>
      <w:r w:rsidR="00561CB4">
        <w:t xml:space="preserve"> and </w:t>
      </w:r>
      <w:hyperlink r:id="rId12" w:history="1">
        <w:r w:rsidR="004B552B">
          <w:rPr>
            <w:rStyle w:val="Hyperlink"/>
          </w:rPr>
          <w:t>the TGA (Consumer Medicines Information)</w:t>
        </w:r>
      </w:hyperlink>
      <w:r w:rsidR="0024294B">
        <w:t>.</w:t>
      </w:r>
    </w:p>
    <w:p w14:paraId="143CC403" w14:textId="5A441729" w:rsidR="001420B3" w:rsidRPr="005C55C6" w:rsidRDefault="001420B3" w:rsidP="00AA4BC3">
      <w:pPr>
        <w:pStyle w:val="Heading3"/>
      </w:pPr>
      <w:r w:rsidRPr="005C55C6">
        <w:t>Clinical situation</w:t>
      </w:r>
    </w:p>
    <w:p w14:paraId="715A51E0" w14:textId="77777777" w:rsidR="00816D93" w:rsidRDefault="00816D93" w:rsidP="00816D93">
      <w:r>
        <w:t>In Australia, psychostimulants (dexamphetamine and methylphenidate) are considered the first-line pharmacological treatment for ADHD for all age groups.</w:t>
      </w:r>
      <w:r w:rsidRPr="00534B5B">
        <w:rPr>
          <w:vertAlign w:val="superscript"/>
        </w:rPr>
        <w:fldChar w:fldCharType="begin"/>
      </w:r>
      <w:r w:rsidRPr="00534B5B">
        <w:rPr>
          <w:vertAlign w:val="superscript"/>
        </w:rPr>
        <w:instrText xml:space="preserve"> NOTEREF _Ref418677342 \h </w:instrText>
      </w:r>
      <w:r>
        <w:rPr>
          <w:vertAlign w:val="superscript"/>
        </w:rPr>
        <w:instrText xml:space="preserve"> \* MERGEFORMAT </w:instrText>
      </w:r>
      <w:r w:rsidRPr="00534B5B">
        <w:rPr>
          <w:vertAlign w:val="superscript"/>
        </w:rPr>
      </w:r>
      <w:r w:rsidRPr="00534B5B">
        <w:rPr>
          <w:vertAlign w:val="superscript"/>
        </w:rPr>
        <w:fldChar w:fldCharType="separate"/>
      </w:r>
      <w:r w:rsidR="00C1646A">
        <w:rPr>
          <w:vertAlign w:val="superscript"/>
        </w:rPr>
        <w:t>xiv</w:t>
      </w:r>
      <w:r w:rsidRPr="00534B5B">
        <w:rPr>
          <w:vertAlign w:val="superscript"/>
        </w:rPr>
        <w:fldChar w:fldCharType="end"/>
      </w:r>
      <w:r>
        <w:t xml:space="preserve"> The NHMRC Clinical Practice Points focus on use of psychostimulants and do not include atomoxetine. Atomoxetine should be considered for children, adolescents and adults with severe ADHD who are contraindicated to, do not respond to, or are intolerant of, stimulants.</w:t>
      </w:r>
      <w:r w:rsidRPr="00534B5B">
        <w:rPr>
          <w:vertAlign w:val="superscript"/>
        </w:rPr>
        <w:fldChar w:fldCharType="begin"/>
      </w:r>
      <w:r w:rsidRPr="00534B5B">
        <w:rPr>
          <w:vertAlign w:val="superscript"/>
        </w:rPr>
        <w:instrText xml:space="preserve"> NOTEREF _Ref418677342 \h </w:instrText>
      </w:r>
      <w:r>
        <w:rPr>
          <w:vertAlign w:val="superscript"/>
        </w:rPr>
        <w:instrText xml:space="preserve"> \* MERGEFORMAT </w:instrText>
      </w:r>
      <w:r w:rsidRPr="00534B5B">
        <w:rPr>
          <w:vertAlign w:val="superscript"/>
        </w:rPr>
      </w:r>
      <w:r w:rsidRPr="00534B5B">
        <w:rPr>
          <w:vertAlign w:val="superscript"/>
        </w:rPr>
        <w:fldChar w:fldCharType="separate"/>
      </w:r>
      <w:r w:rsidR="00C1646A">
        <w:rPr>
          <w:vertAlign w:val="superscript"/>
        </w:rPr>
        <w:t>xiv</w:t>
      </w:r>
      <w:r w:rsidRPr="00534B5B">
        <w:rPr>
          <w:vertAlign w:val="superscript"/>
        </w:rPr>
        <w:fldChar w:fldCharType="end"/>
      </w:r>
      <w:r>
        <w:t xml:space="preserve"> </w:t>
      </w:r>
    </w:p>
    <w:p w14:paraId="3104021A" w14:textId="041CCA5C" w:rsidR="00816D93" w:rsidRDefault="00816D93" w:rsidP="00816D93">
      <w:r>
        <w:t xml:space="preserve">The </w:t>
      </w:r>
      <w:r w:rsidR="004F5067">
        <w:t>T</w:t>
      </w:r>
      <w:r>
        <w:t xml:space="preserve">herapeutic </w:t>
      </w:r>
      <w:r w:rsidR="004F5067">
        <w:t>G</w:t>
      </w:r>
      <w:r>
        <w:t>uidelines recommend that, w</w:t>
      </w:r>
      <w:r w:rsidRPr="00A03141">
        <w:t>ith rare exceptions, stimulants should not be used in children aged younger than 4 years.</w:t>
      </w:r>
      <w:bookmarkStart w:id="8" w:name="_Ref418677536"/>
      <w:r>
        <w:rPr>
          <w:rStyle w:val="EndnoteReference"/>
        </w:rPr>
        <w:endnoteReference w:id="15"/>
      </w:r>
      <w:bookmarkEnd w:id="8"/>
      <w:r w:rsidRPr="00A03141">
        <w:t xml:space="preserve"> </w:t>
      </w:r>
      <w:r>
        <w:t xml:space="preserve">State and territory laws also contain specific regulation regarding the treatment of very young children (see </w:t>
      </w:r>
      <w:r w:rsidRPr="00EB68DD">
        <w:rPr>
          <w:u w:val="single"/>
        </w:rPr>
        <w:t>Appendix A</w:t>
      </w:r>
      <w:r>
        <w:t xml:space="preserve">). </w:t>
      </w:r>
      <w:r w:rsidRPr="00A03141">
        <w:t>Best practice is</w:t>
      </w:r>
      <w:r>
        <w:t xml:space="preserve"> to start with non-pharmacological interventions, such as parent training or</w:t>
      </w:r>
      <w:r w:rsidRPr="00A03141">
        <w:t xml:space="preserve"> educational programs supported by behavioural intervention in the preschool setting. If </w:t>
      </w:r>
      <w:r>
        <w:t>preschool children are prescribed ADHD medicines</w:t>
      </w:r>
      <w:r w:rsidRPr="00A03141">
        <w:t>, small doses should be used to account</w:t>
      </w:r>
      <w:r>
        <w:t xml:space="preserve"> for</w:t>
      </w:r>
      <w:r w:rsidRPr="00A03141">
        <w:t xml:space="preserve"> differences in pharmacokinetics in this age group.</w:t>
      </w:r>
      <w:r>
        <w:t xml:space="preserve"> </w:t>
      </w:r>
    </w:p>
    <w:p w14:paraId="01D15F5D" w14:textId="77777777" w:rsidR="00816D93" w:rsidRDefault="00816D93" w:rsidP="00816D93">
      <w:r>
        <w:lastRenderedPageBreak/>
        <w:t xml:space="preserve">Methylphenidate and dexamphetamine are Schedule 8 controlled drugs. Additional prescribing restrictions for these drugs apply in most states and territories (refer to </w:t>
      </w:r>
      <w:r w:rsidRPr="006F24F6">
        <w:rPr>
          <w:u w:val="single"/>
        </w:rPr>
        <w:t>Appendix</w:t>
      </w:r>
      <w:r>
        <w:rPr>
          <w:u w:val="single"/>
        </w:rPr>
        <w:t> </w:t>
      </w:r>
      <w:r w:rsidRPr="006F24F6">
        <w:rPr>
          <w:u w:val="single"/>
        </w:rPr>
        <w:t>A</w:t>
      </w:r>
      <w:r>
        <w:t>).</w:t>
      </w:r>
    </w:p>
    <w:p w14:paraId="584423F0" w14:textId="77777777" w:rsidR="00816D93" w:rsidRDefault="00816D93" w:rsidP="00816D93">
      <w:r>
        <w:t>There is some evidence of benefit for the following medicines in the treatment of ADHD:</w:t>
      </w:r>
    </w:p>
    <w:p w14:paraId="49238E06" w14:textId="77777777" w:rsidR="00816D93" w:rsidRDefault="00816D93" w:rsidP="0033642D">
      <w:pPr>
        <w:pStyle w:val="ListParagraph"/>
        <w:numPr>
          <w:ilvl w:val="0"/>
          <w:numId w:val="6"/>
        </w:numPr>
      </w:pPr>
      <w:r>
        <w:t>clonidine in primary school aged children</w:t>
      </w:r>
    </w:p>
    <w:p w14:paraId="740C52DE" w14:textId="77777777" w:rsidR="00816D93" w:rsidRDefault="00816D93" w:rsidP="0033642D">
      <w:pPr>
        <w:pStyle w:val="ListParagraph"/>
        <w:numPr>
          <w:ilvl w:val="0"/>
          <w:numId w:val="6"/>
        </w:numPr>
      </w:pPr>
      <w:r>
        <w:t>modafinil in adults</w:t>
      </w:r>
    </w:p>
    <w:p w14:paraId="17D414EC" w14:textId="77777777" w:rsidR="00816D93" w:rsidRDefault="00816D93" w:rsidP="0033642D">
      <w:pPr>
        <w:pStyle w:val="ListParagraph"/>
        <w:numPr>
          <w:ilvl w:val="0"/>
          <w:numId w:val="6"/>
        </w:numPr>
      </w:pPr>
      <w:r>
        <w:t>bupropion in adults.</w:t>
      </w:r>
      <w:r w:rsidRPr="00534B5B">
        <w:rPr>
          <w:vertAlign w:val="superscript"/>
        </w:rPr>
        <w:fldChar w:fldCharType="begin"/>
      </w:r>
      <w:r w:rsidRPr="00534B5B">
        <w:rPr>
          <w:vertAlign w:val="superscript"/>
        </w:rPr>
        <w:instrText xml:space="preserve"> NOTEREF _Ref418677342 \h </w:instrText>
      </w:r>
      <w:r>
        <w:rPr>
          <w:vertAlign w:val="superscript"/>
        </w:rPr>
        <w:instrText xml:space="preserve"> \* MERGEFORMAT </w:instrText>
      </w:r>
      <w:r w:rsidRPr="00534B5B">
        <w:rPr>
          <w:vertAlign w:val="superscript"/>
        </w:rPr>
      </w:r>
      <w:r w:rsidRPr="00534B5B">
        <w:rPr>
          <w:vertAlign w:val="superscript"/>
        </w:rPr>
        <w:fldChar w:fldCharType="separate"/>
      </w:r>
      <w:r w:rsidR="00C1646A">
        <w:rPr>
          <w:vertAlign w:val="superscript"/>
        </w:rPr>
        <w:t>xiv</w:t>
      </w:r>
      <w:r w:rsidRPr="00534B5B">
        <w:rPr>
          <w:vertAlign w:val="superscript"/>
        </w:rPr>
        <w:fldChar w:fldCharType="end"/>
      </w:r>
      <w:r>
        <w:t xml:space="preserve"> </w:t>
      </w:r>
    </w:p>
    <w:p w14:paraId="3E336864" w14:textId="77777777" w:rsidR="00816D93" w:rsidRDefault="00816D93" w:rsidP="00816D93">
      <w:r>
        <w:t>These medicines could be considered for the treatment of ADHD in the specified patient populations, in patients who do not respond to stimulants or atomoxetine.</w:t>
      </w:r>
      <w:r w:rsidRPr="00534B5B">
        <w:rPr>
          <w:vertAlign w:val="superscript"/>
        </w:rPr>
        <w:fldChar w:fldCharType="begin"/>
      </w:r>
      <w:r w:rsidRPr="00534B5B">
        <w:rPr>
          <w:vertAlign w:val="superscript"/>
        </w:rPr>
        <w:instrText xml:space="preserve"> NOTEREF _Ref418677342 \h </w:instrText>
      </w:r>
      <w:r>
        <w:rPr>
          <w:vertAlign w:val="superscript"/>
        </w:rPr>
        <w:instrText xml:space="preserve"> \* MERGEFORMAT </w:instrText>
      </w:r>
      <w:r w:rsidRPr="00534B5B">
        <w:rPr>
          <w:vertAlign w:val="superscript"/>
        </w:rPr>
      </w:r>
      <w:r w:rsidRPr="00534B5B">
        <w:rPr>
          <w:vertAlign w:val="superscript"/>
        </w:rPr>
        <w:fldChar w:fldCharType="separate"/>
      </w:r>
      <w:r w:rsidR="00C1646A">
        <w:rPr>
          <w:vertAlign w:val="superscript"/>
        </w:rPr>
        <w:t>xiv</w:t>
      </w:r>
      <w:r w:rsidRPr="00534B5B">
        <w:rPr>
          <w:vertAlign w:val="superscript"/>
        </w:rPr>
        <w:fldChar w:fldCharType="end"/>
      </w:r>
    </w:p>
    <w:p w14:paraId="4E352EC1" w14:textId="2EED8C88" w:rsidR="00372888" w:rsidRPr="002B64EF" w:rsidRDefault="00816D93" w:rsidP="002B64EF">
      <w:r>
        <w:t>This utilisation analysis does not consider use of buproprion, modafinil or clonidine as these medicines are not TGA-indicated for the treatment of ADHD. PBS subsidised use of modafinil is restricted to the treatment of narcolepsy, while subsidised use of buproprion is restricted to its use as an aid in smoking cessation. Use of clonidine is unrestricted on the PBS; however, its use in the treatment of ADHD would be difficult to distinguish from use to treat other conditions as clonidine may also be used to treat sleep disturbance resulting from treatment with psychostimulants.</w:t>
      </w:r>
      <w:r>
        <w:rPr>
          <w:rStyle w:val="EndnoteReference"/>
        </w:rPr>
        <w:endnoteReference w:id="16"/>
      </w:r>
      <w:r w:rsidRPr="00463160">
        <w:t xml:space="preserve"> </w:t>
      </w:r>
    </w:p>
    <w:p w14:paraId="46E2BB42" w14:textId="2634AF48" w:rsidR="00DF0B13" w:rsidRPr="002801FD" w:rsidRDefault="00DF0B13" w:rsidP="00AA4BC3">
      <w:pPr>
        <w:pStyle w:val="Heading3"/>
      </w:pPr>
      <w:r w:rsidRPr="002801FD">
        <w:t>PBS listing details</w:t>
      </w:r>
      <w:r w:rsidR="00D151EB" w:rsidRPr="002801FD">
        <w:t xml:space="preserve"> (as at </w:t>
      </w:r>
      <w:r w:rsidR="00816D93">
        <w:t>1 May 2015)</w:t>
      </w:r>
    </w:p>
    <w:p w14:paraId="38864D47" w14:textId="77777777" w:rsidR="00816D93" w:rsidRPr="00A526DF" w:rsidRDefault="00816D93" w:rsidP="00A526DF">
      <w:pPr>
        <w:pStyle w:val="Tabletitle"/>
      </w:pPr>
      <w:r w:rsidRPr="00A526DF">
        <w:t xml:space="preserve">Table 2: PBS listings of medicines used in the treatment of ADHD. </w:t>
      </w:r>
    </w:p>
    <w:tbl>
      <w:tblPr>
        <w:tblStyle w:val="TableGrid"/>
        <w:tblW w:w="9000" w:type="dxa"/>
        <w:tblInd w:w="108" w:type="dxa"/>
        <w:tblLayout w:type="fixed"/>
        <w:tblLook w:val="04A0" w:firstRow="1" w:lastRow="0" w:firstColumn="1" w:lastColumn="0" w:noHBand="0" w:noVBand="1"/>
        <w:tblDescription w:val="The first column is the item number, read across the row for the drug name, maximum number of quantities, repeats, DPMQ and brand name"/>
      </w:tblPr>
      <w:tblGrid>
        <w:gridCol w:w="851"/>
        <w:gridCol w:w="3260"/>
        <w:gridCol w:w="992"/>
        <w:gridCol w:w="709"/>
        <w:gridCol w:w="1040"/>
        <w:gridCol w:w="2148"/>
      </w:tblGrid>
      <w:tr w:rsidR="00816D93" w:rsidRPr="00A35800" w14:paraId="2CDDFF88" w14:textId="77777777" w:rsidTr="00D454F1">
        <w:trPr>
          <w:trHeight w:val="694"/>
          <w:tblHeader/>
        </w:trPr>
        <w:tc>
          <w:tcPr>
            <w:tcW w:w="851" w:type="dxa"/>
            <w:shd w:val="clear" w:color="auto" w:fill="BFBFBF" w:themeFill="background1" w:themeFillShade="BF"/>
          </w:tcPr>
          <w:p w14:paraId="134F774F" w14:textId="77777777" w:rsidR="00816D93" w:rsidRPr="00A35800" w:rsidRDefault="00816D93" w:rsidP="0052799A">
            <w:pPr>
              <w:pStyle w:val="Tableheading"/>
              <w:keepNext/>
              <w:keepLines/>
            </w:pPr>
            <w:r w:rsidRPr="00A35800">
              <w:t>Item</w:t>
            </w:r>
          </w:p>
        </w:tc>
        <w:tc>
          <w:tcPr>
            <w:tcW w:w="3260" w:type="dxa"/>
            <w:shd w:val="clear" w:color="auto" w:fill="BFBFBF" w:themeFill="background1" w:themeFillShade="BF"/>
          </w:tcPr>
          <w:p w14:paraId="6AA0D55B" w14:textId="77777777" w:rsidR="00816D93" w:rsidRPr="00A35800" w:rsidRDefault="00816D93" w:rsidP="0052799A">
            <w:pPr>
              <w:pStyle w:val="Tableheading"/>
              <w:keepNext/>
              <w:keepLines/>
            </w:pPr>
            <w:r w:rsidRPr="00A35800">
              <w:t>Name, form &amp; strength, pack size</w:t>
            </w:r>
          </w:p>
        </w:tc>
        <w:tc>
          <w:tcPr>
            <w:tcW w:w="992" w:type="dxa"/>
            <w:shd w:val="clear" w:color="auto" w:fill="BFBFBF" w:themeFill="background1" w:themeFillShade="BF"/>
          </w:tcPr>
          <w:p w14:paraId="37260516" w14:textId="77777777" w:rsidR="00816D93" w:rsidRPr="00A35800" w:rsidRDefault="00816D93" w:rsidP="0052799A">
            <w:pPr>
              <w:pStyle w:val="Tableheading"/>
              <w:keepNext/>
              <w:keepLines/>
            </w:pPr>
            <w:r w:rsidRPr="00A35800">
              <w:t xml:space="preserve">Max. quant. </w:t>
            </w:r>
          </w:p>
        </w:tc>
        <w:tc>
          <w:tcPr>
            <w:tcW w:w="709" w:type="dxa"/>
            <w:shd w:val="clear" w:color="auto" w:fill="BFBFBF" w:themeFill="background1" w:themeFillShade="BF"/>
          </w:tcPr>
          <w:p w14:paraId="489DEE97" w14:textId="77777777" w:rsidR="00816D93" w:rsidRPr="00A35800" w:rsidRDefault="00816D93" w:rsidP="0052799A">
            <w:pPr>
              <w:pStyle w:val="Tableheading"/>
              <w:keepNext/>
              <w:keepLines/>
            </w:pPr>
            <w:r w:rsidRPr="00A35800">
              <w:t xml:space="preserve">Rpts </w:t>
            </w:r>
          </w:p>
        </w:tc>
        <w:tc>
          <w:tcPr>
            <w:tcW w:w="1040" w:type="dxa"/>
            <w:shd w:val="clear" w:color="auto" w:fill="BFBFBF" w:themeFill="background1" w:themeFillShade="BF"/>
          </w:tcPr>
          <w:p w14:paraId="6DD6E946" w14:textId="77777777" w:rsidR="00816D93" w:rsidRPr="00A35800" w:rsidRDefault="00816D93" w:rsidP="0052799A">
            <w:pPr>
              <w:pStyle w:val="Tableheading"/>
              <w:keepNext/>
              <w:keepLines/>
            </w:pPr>
            <w:r w:rsidRPr="00A35800">
              <w:t>DPMQ</w:t>
            </w:r>
          </w:p>
        </w:tc>
        <w:tc>
          <w:tcPr>
            <w:tcW w:w="2148" w:type="dxa"/>
            <w:shd w:val="clear" w:color="auto" w:fill="BFBFBF" w:themeFill="background1" w:themeFillShade="BF"/>
          </w:tcPr>
          <w:p w14:paraId="68C01B23" w14:textId="77777777" w:rsidR="00816D93" w:rsidRPr="00A35800" w:rsidRDefault="00816D93" w:rsidP="0052799A">
            <w:pPr>
              <w:pStyle w:val="Tableheading"/>
              <w:keepNext/>
              <w:keepLines/>
            </w:pPr>
            <w:r w:rsidRPr="00A35800">
              <w:t>Brand name and manufacturer</w:t>
            </w:r>
          </w:p>
        </w:tc>
      </w:tr>
      <w:tr w:rsidR="00816D93" w:rsidRPr="00A35800" w14:paraId="0776740A" w14:textId="77777777" w:rsidTr="00D454F1">
        <w:trPr>
          <w:trHeight w:val="546"/>
          <w:tblHeader/>
        </w:trPr>
        <w:tc>
          <w:tcPr>
            <w:tcW w:w="851" w:type="dxa"/>
            <w:shd w:val="clear" w:color="auto" w:fill="auto"/>
          </w:tcPr>
          <w:p w14:paraId="5BA0DADF" w14:textId="77777777" w:rsidR="00816D93" w:rsidRPr="00CD3739" w:rsidRDefault="00816D93" w:rsidP="0052799A">
            <w:pPr>
              <w:pStyle w:val="Tablewriting"/>
              <w:keepNext/>
              <w:keepLines/>
            </w:pPr>
            <w:r w:rsidRPr="00CD3739">
              <w:rPr>
                <w:lang w:val="en-US"/>
              </w:rPr>
              <w:t>1165H</w:t>
            </w:r>
          </w:p>
        </w:tc>
        <w:tc>
          <w:tcPr>
            <w:tcW w:w="3260" w:type="dxa"/>
            <w:shd w:val="clear" w:color="auto" w:fill="auto"/>
          </w:tcPr>
          <w:p w14:paraId="44F98E61" w14:textId="77777777" w:rsidR="00816D93" w:rsidRPr="00CD3739" w:rsidRDefault="00816D93" w:rsidP="0052799A">
            <w:pPr>
              <w:pStyle w:val="Tablewriting"/>
              <w:keepNext/>
              <w:keepLines/>
            </w:pPr>
            <w:r w:rsidRPr="00CD3739">
              <w:rPr>
                <w:lang w:val="en-US"/>
              </w:rPr>
              <w:t>DEXAMPHETAMINE</w:t>
            </w:r>
            <w:r>
              <w:rPr>
                <w:lang w:val="en-US"/>
              </w:rPr>
              <w:t xml:space="preserve"> SULFATE</w:t>
            </w:r>
            <w:r w:rsidRPr="00CD3739">
              <w:rPr>
                <w:lang w:val="en-US"/>
              </w:rPr>
              <w:br/>
              <w:t xml:space="preserve">Tablet 5 </w:t>
            </w:r>
            <w:r>
              <w:rPr>
                <w:lang w:val="en-US"/>
              </w:rPr>
              <w:t>mg, 100</w:t>
            </w:r>
          </w:p>
        </w:tc>
        <w:tc>
          <w:tcPr>
            <w:tcW w:w="992" w:type="dxa"/>
            <w:shd w:val="clear" w:color="auto" w:fill="auto"/>
          </w:tcPr>
          <w:p w14:paraId="34D7F243" w14:textId="77777777" w:rsidR="00816D93" w:rsidRPr="00CD3739" w:rsidRDefault="00816D93" w:rsidP="0052799A">
            <w:pPr>
              <w:pStyle w:val="Tablewriting"/>
              <w:keepNext/>
              <w:keepLines/>
            </w:pPr>
            <w:r>
              <w:rPr>
                <w:lang w:val="en-US"/>
              </w:rPr>
              <w:t>1</w:t>
            </w:r>
          </w:p>
        </w:tc>
        <w:tc>
          <w:tcPr>
            <w:tcW w:w="709" w:type="dxa"/>
            <w:shd w:val="clear" w:color="auto" w:fill="auto"/>
          </w:tcPr>
          <w:p w14:paraId="5B75B1B4" w14:textId="77777777" w:rsidR="00816D93" w:rsidRPr="00CD3739" w:rsidRDefault="00816D93" w:rsidP="0052799A">
            <w:pPr>
              <w:pStyle w:val="Tablewriting"/>
              <w:keepNext/>
              <w:keepLines/>
            </w:pPr>
            <w:r w:rsidRPr="00CD3739">
              <w:t>5</w:t>
            </w:r>
          </w:p>
        </w:tc>
        <w:tc>
          <w:tcPr>
            <w:tcW w:w="1040" w:type="dxa"/>
            <w:shd w:val="clear" w:color="auto" w:fill="auto"/>
          </w:tcPr>
          <w:p w14:paraId="4D2F3D87" w14:textId="77777777" w:rsidR="00816D93" w:rsidRPr="00CD3739" w:rsidRDefault="00816D93" w:rsidP="0052799A">
            <w:pPr>
              <w:pStyle w:val="Tablewriting"/>
              <w:keepNext/>
              <w:keepLines/>
            </w:pPr>
            <w:r>
              <w:rPr>
                <w:lang w:val="en-US"/>
              </w:rPr>
              <w:t>$18.53</w:t>
            </w:r>
          </w:p>
        </w:tc>
        <w:tc>
          <w:tcPr>
            <w:tcW w:w="2148" w:type="dxa"/>
            <w:shd w:val="clear" w:color="auto" w:fill="auto"/>
          </w:tcPr>
          <w:p w14:paraId="5B312572" w14:textId="77777777" w:rsidR="00816D93" w:rsidRPr="00315C58" w:rsidRDefault="00816D93" w:rsidP="0052799A">
            <w:pPr>
              <w:pStyle w:val="Tablewriting"/>
              <w:keepNext/>
              <w:keepLines/>
              <w:rPr>
                <w:lang w:val="en-US"/>
              </w:rPr>
            </w:pPr>
            <w:r>
              <w:rPr>
                <w:lang w:val="en-US"/>
              </w:rPr>
              <w:t xml:space="preserve">Aspen </w:t>
            </w:r>
            <w:r w:rsidRPr="00CD3739">
              <w:rPr>
                <w:lang w:val="en-US"/>
              </w:rPr>
              <w:t>Pharma Pty Ltd</w:t>
            </w:r>
          </w:p>
        </w:tc>
      </w:tr>
      <w:tr w:rsidR="00816D93" w:rsidRPr="00A35800" w14:paraId="7004756F" w14:textId="77777777" w:rsidTr="00D454F1">
        <w:trPr>
          <w:trHeight w:val="546"/>
          <w:tblHeader/>
        </w:trPr>
        <w:tc>
          <w:tcPr>
            <w:tcW w:w="851" w:type="dxa"/>
            <w:shd w:val="clear" w:color="auto" w:fill="auto"/>
          </w:tcPr>
          <w:p w14:paraId="664E4D24" w14:textId="77777777" w:rsidR="00816D93" w:rsidRPr="00CD3739" w:rsidRDefault="00816D93" w:rsidP="0052799A">
            <w:pPr>
              <w:pStyle w:val="Tablewriting"/>
              <w:keepNext/>
              <w:keepLines/>
              <w:rPr>
                <w:lang w:val="en-US"/>
              </w:rPr>
            </w:pPr>
            <w:r w:rsidRPr="00CD3739">
              <w:rPr>
                <w:lang w:val="en-US"/>
              </w:rPr>
              <w:t>8839F</w:t>
            </w:r>
          </w:p>
        </w:tc>
        <w:tc>
          <w:tcPr>
            <w:tcW w:w="3260" w:type="dxa"/>
            <w:shd w:val="clear" w:color="auto" w:fill="auto"/>
          </w:tcPr>
          <w:p w14:paraId="64F2500B" w14:textId="77777777" w:rsidR="00816D93" w:rsidRPr="00CD3739" w:rsidRDefault="00816D93" w:rsidP="0052799A">
            <w:pPr>
              <w:pStyle w:val="Tablewriting"/>
              <w:keepNext/>
              <w:keepLines/>
              <w:rPr>
                <w:lang w:val="en-US"/>
              </w:rPr>
            </w:pPr>
            <w:r w:rsidRPr="00CD3739">
              <w:rPr>
                <w:lang w:val="en-US"/>
              </w:rPr>
              <w:t>METHYLPHENIDATE</w:t>
            </w:r>
            <w:r>
              <w:rPr>
                <w:lang w:val="en-US"/>
              </w:rPr>
              <w:t xml:space="preserve"> HYDROCHLORIDE</w:t>
            </w:r>
            <w:r w:rsidRPr="00CD3739">
              <w:rPr>
                <w:lang w:val="en-US"/>
              </w:rPr>
              <w:br/>
              <w:t>Tablet 10 mg</w:t>
            </w:r>
            <w:r>
              <w:rPr>
                <w:lang w:val="en-US"/>
              </w:rPr>
              <w:t>, 100</w:t>
            </w:r>
          </w:p>
        </w:tc>
        <w:tc>
          <w:tcPr>
            <w:tcW w:w="992" w:type="dxa"/>
            <w:shd w:val="clear" w:color="auto" w:fill="auto"/>
          </w:tcPr>
          <w:p w14:paraId="3EF59A67" w14:textId="77777777" w:rsidR="00816D93" w:rsidRPr="00CD3739" w:rsidRDefault="00816D93" w:rsidP="0052799A">
            <w:pPr>
              <w:pStyle w:val="Tablewriting"/>
              <w:keepNext/>
              <w:keepLines/>
              <w:rPr>
                <w:lang w:val="en-US"/>
              </w:rPr>
            </w:pPr>
            <w:r>
              <w:rPr>
                <w:lang w:val="en-US"/>
              </w:rPr>
              <w:t>1</w:t>
            </w:r>
          </w:p>
        </w:tc>
        <w:tc>
          <w:tcPr>
            <w:tcW w:w="709" w:type="dxa"/>
            <w:shd w:val="clear" w:color="auto" w:fill="auto"/>
          </w:tcPr>
          <w:p w14:paraId="6F31242D" w14:textId="77777777" w:rsidR="00816D93" w:rsidRPr="00CD3739" w:rsidRDefault="00816D93" w:rsidP="0052799A">
            <w:pPr>
              <w:pStyle w:val="Tablewriting"/>
              <w:keepNext/>
              <w:keepLines/>
            </w:pPr>
            <w:r w:rsidRPr="00CD3739">
              <w:rPr>
                <w:lang w:val="en-US"/>
              </w:rPr>
              <w:t>5</w:t>
            </w:r>
          </w:p>
        </w:tc>
        <w:tc>
          <w:tcPr>
            <w:tcW w:w="1040" w:type="dxa"/>
            <w:shd w:val="clear" w:color="auto" w:fill="auto"/>
          </w:tcPr>
          <w:p w14:paraId="4B45CC7B" w14:textId="77777777" w:rsidR="00816D93" w:rsidRPr="00CD3739" w:rsidRDefault="00816D93" w:rsidP="0052799A">
            <w:pPr>
              <w:pStyle w:val="Tablewriting"/>
              <w:keepNext/>
              <w:keepLines/>
              <w:rPr>
                <w:lang w:val="en-US"/>
              </w:rPr>
            </w:pPr>
            <w:r>
              <w:rPr>
                <w:lang w:val="en-US"/>
              </w:rPr>
              <w:t>$17.23</w:t>
            </w:r>
          </w:p>
        </w:tc>
        <w:tc>
          <w:tcPr>
            <w:tcW w:w="2148" w:type="dxa"/>
            <w:shd w:val="clear" w:color="auto" w:fill="auto"/>
          </w:tcPr>
          <w:p w14:paraId="4FC2675F" w14:textId="77777777" w:rsidR="00816D93" w:rsidRPr="00CD3739" w:rsidRDefault="00816D93" w:rsidP="0052799A">
            <w:pPr>
              <w:pStyle w:val="Tablewriting"/>
              <w:keepNext/>
              <w:keepLines/>
              <w:rPr>
                <w:lang w:val="en-US"/>
              </w:rPr>
            </w:pPr>
            <w:r w:rsidRPr="00CD3739">
              <w:rPr>
                <w:lang w:val="en-US"/>
              </w:rPr>
              <w:t>Ritalin 10</w:t>
            </w:r>
            <w:r w:rsidRPr="00CD3739">
              <w:rPr>
                <w:lang w:val="en-US"/>
              </w:rPr>
              <w:br/>
              <w:t>Novartis</w:t>
            </w:r>
          </w:p>
        </w:tc>
      </w:tr>
      <w:tr w:rsidR="00816D93" w:rsidRPr="00A35800" w14:paraId="1C5CC120" w14:textId="77777777" w:rsidTr="00D454F1">
        <w:trPr>
          <w:trHeight w:val="546"/>
          <w:tblHeader/>
        </w:trPr>
        <w:tc>
          <w:tcPr>
            <w:tcW w:w="851" w:type="dxa"/>
            <w:shd w:val="clear" w:color="auto" w:fill="auto"/>
          </w:tcPr>
          <w:p w14:paraId="761A1FED" w14:textId="77777777" w:rsidR="00816D93" w:rsidRPr="00CD3739" w:rsidRDefault="00816D93" w:rsidP="0052799A">
            <w:pPr>
              <w:pStyle w:val="Tablewriting"/>
              <w:keepNext/>
              <w:keepLines/>
              <w:rPr>
                <w:lang w:val="en-US"/>
              </w:rPr>
            </w:pPr>
            <w:r w:rsidRPr="00CD3739">
              <w:rPr>
                <w:lang w:val="en-US"/>
              </w:rPr>
              <w:t>2387P</w:t>
            </w:r>
          </w:p>
        </w:tc>
        <w:tc>
          <w:tcPr>
            <w:tcW w:w="3260" w:type="dxa"/>
            <w:shd w:val="clear" w:color="auto" w:fill="auto"/>
          </w:tcPr>
          <w:p w14:paraId="6347C9FF" w14:textId="77777777" w:rsidR="00816D93" w:rsidRDefault="00816D93" w:rsidP="0052799A">
            <w:pPr>
              <w:pStyle w:val="Tablewriting"/>
              <w:keepNext/>
              <w:keepLines/>
            </w:pPr>
            <w:r w:rsidRPr="00CD3739">
              <w:rPr>
                <w:lang w:val="en-US"/>
              </w:rPr>
              <w:t>METHYLPHENIDATE</w:t>
            </w:r>
            <w:r>
              <w:rPr>
                <w:lang w:val="en-US"/>
              </w:rPr>
              <w:t xml:space="preserve"> HYDROCHLORIDE</w:t>
            </w:r>
          </w:p>
          <w:p w14:paraId="541D2210" w14:textId="77777777" w:rsidR="00816D93" w:rsidRPr="00CD3739" w:rsidRDefault="00816D93" w:rsidP="0052799A">
            <w:pPr>
              <w:pStyle w:val="Tablewriting"/>
              <w:keepNext/>
              <w:keepLines/>
              <w:rPr>
                <w:lang w:val="en-US"/>
              </w:rPr>
            </w:pPr>
            <w:r>
              <w:t>Tablet 18 mg (modified</w:t>
            </w:r>
            <w:r w:rsidRPr="00CD3739">
              <w:t xml:space="preserve"> release)</w:t>
            </w:r>
            <w:r>
              <w:t xml:space="preserve"> , 30</w:t>
            </w:r>
          </w:p>
        </w:tc>
        <w:tc>
          <w:tcPr>
            <w:tcW w:w="992" w:type="dxa"/>
            <w:shd w:val="clear" w:color="auto" w:fill="auto"/>
          </w:tcPr>
          <w:p w14:paraId="7CB0A543" w14:textId="77777777" w:rsidR="00816D93" w:rsidRPr="00CD3739" w:rsidRDefault="00816D93" w:rsidP="0052799A">
            <w:pPr>
              <w:pStyle w:val="Tablewriting"/>
              <w:keepNext/>
              <w:keepLines/>
            </w:pPr>
            <w:r>
              <w:t>1</w:t>
            </w:r>
          </w:p>
        </w:tc>
        <w:tc>
          <w:tcPr>
            <w:tcW w:w="709" w:type="dxa"/>
            <w:shd w:val="clear" w:color="auto" w:fill="auto"/>
          </w:tcPr>
          <w:p w14:paraId="1FC0F94C" w14:textId="77777777" w:rsidR="00816D93" w:rsidRPr="00CD3739" w:rsidRDefault="00816D93" w:rsidP="0052799A">
            <w:pPr>
              <w:pStyle w:val="Tablewriting"/>
              <w:keepNext/>
              <w:keepLines/>
              <w:rPr>
                <w:lang w:val="en-US"/>
              </w:rPr>
            </w:pPr>
            <w:r w:rsidRPr="00CD3739">
              <w:rPr>
                <w:lang w:val="en-US"/>
              </w:rPr>
              <w:t>5</w:t>
            </w:r>
          </w:p>
        </w:tc>
        <w:tc>
          <w:tcPr>
            <w:tcW w:w="1040" w:type="dxa"/>
            <w:shd w:val="clear" w:color="auto" w:fill="auto"/>
          </w:tcPr>
          <w:p w14:paraId="4928991F" w14:textId="77777777" w:rsidR="00816D93" w:rsidRPr="00CD3739" w:rsidRDefault="00816D93" w:rsidP="0052799A">
            <w:pPr>
              <w:pStyle w:val="Tablewriting"/>
              <w:keepNext/>
              <w:keepLines/>
            </w:pPr>
            <w:r>
              <w:t>$51.66</w:t>
            </w:r>
          </w:p>
        </w:tc>
        <w:tc>
          <w:tcPr>
            <w:tcW w:w="2148" w:type="dxa"/>
            <w:shd w:val="clear" w:color="auto" w:fill="auto"/>
          </w:tcPr>
          <w:p w14:paraId="3587232A" w14:textId="77777777" w:rsidR="00816D93" w:rsidRPr="00CD3739" w:rsidRDefault="00816D93" w:rsidP="0052799A">
            <w:pPr>
              <w:pStyle w:val="Tablewriting"/>
              <w:keepNext/>
              <w:keepLines/>
            </w:pPr>
            <w:r w:rsidRPr="00CD3739">
              <w:t>Concerta</w:t>
            </w:r>
            <w:r w:rsidRPr="00CD3739">
              <w:br/>
              <w:t>Janssen-Cilag</w:t>
            </w:r>
            <w:r>
              <w:t xml:space="preserve"> Pty Ltd</w:t>
            </w:r>
          </w:p>
        </w:tc>
      </w:tr>
      <w:tr w:rsidR="00816D93" w:rsidRPr="00A35800" w14:paraId="673700CC" w14:textId="77777777" w:rsidTr="00D454F1">
        <w:trPr>
          <w:trHeight w:val="546"/>
          <w:tblHeader/>
        </w:trPr>
        <w:tc>
          <w:tcPr>
            <w:tcW w:w="851" w:type="dxa"/>
            <w:shd w:val="clear" w:color="auto" w:fill="auto"/>
          </w:tcPr>
          <w:p w14:paraId="2D69AB50" w14:textId="77777777" w:rsidR="00816D93" w:rsidRPr="00CD3739" w:rsidRDefault="00816D93" w:rsidP="0052799A">
            <w:pPr>
              <w:pStyle w:val="Tablewriting"/>
              <w:keepNext/>
              <w:keepLines/>
              <w:rPr>
                <w:lang w:val="en-US"/>
              </w:rPr>
            </w:pPr>
            <w:r w:rsidRPr="00CD3739">
              <w:rPr>
                <w:lang w:val="en-US"/>
              </w:rPr>
              <w:t>2172H</w:t>
            </w:r>
          </w:p>
        </w:tc>
        <w:tc>
          <w:tcPr>
            <w:tcW w:w="3260" w:type="dxa"/>
            <w:shd w:val="clear" w:color="auto" w:fill="auto"/>
          </w:tcPr>
          <w:p w14:paraId="49DDE8DD" w14:textId="77777777" w:rsidR="00816D93" w:rsidRDefault="00816D93" w:rsidP="0052799A">
            <w:pPr>
              <w:pStyle w:val="Tablewriting"/>
              <w:keepNext/>
              <w:keepLines/>
            </w:pPr>
            <w:r w:rsidRPr="00CD3739">
              <w:rPr>
                <w:lang w:val="en-US"/>
              </w:rPr>
              <w:t>METHYLPHENIDATE</w:t>
            </w:r>
            <w:r>
              <w:rPr>
                <w:lang w:val="en-US"/>
              </w:rPr>
              <w:t xml:space="preserve"> HYDROCHLORIDE</w:t>
            </w:r>
          </w:p>
          <w:p w14:paraId="613B4717" w14:textId="77777777" w:rsidR="00816D93" w:rsidRPr="00CD3739" w:rsidRDefault="00816D93" w:rsidP="0052799A">
            <w:pPr>
              <w:pStyle w:val="Tablewriting"/>
              <w:keepNext/>
              <w:keepLines/>
              <w:rPr>
                <w:lang w:val="en-US"/>
              </w:rPr>
            </w:pPr>
            <w:r>
              <w:t>Tablet 27 mg (modifi</w:t>
            </w:r>
            <w:r w:rsidRPr="00CD3739">
              <w:t>ed release)</w:t>
            </w:r>
            <w:r>
              <w:t>, 30</w:t>
            </w:r>
          </w:p>
        </w:tc>
        <w:tc>
          <w:tcPr>
            <w:tcW w:w="992" w:type="dxa"/>
            <w:shd w:val="clear" w:color="auto" w:fill="auto"/>
          </w:tcPr>
          <w:p w14:paraId="3A233145" w14:textId="77777777" w:rsidR="00816D93" w:rsidRPr="00CD3739" w:rsidRDefault="00816D93" w:rsidP="0052799A">
            <w:pPr>
              <w:pStyle w:val="Tablewriting"/>
              <w:keepNext/>
              <w:keepLines/>
            </w:pPr>
            <w:r>
              <w:t>1</w:t>
            </w:r>
          </w:p>
        </w:tc>
        <w:tc>
          <w:tcPr>
            <w:tcW w:w="709" w:type="dxa"/>
            <w:shd w:val="clear" w:color="auto" w:fill="auto"/>
          </w:tcPr>
          <w:p w14:paraId="7325FDD4" w14:textId="77777777" w:rsidR="00816D93" w:rsidRPr="00CD3739" w:rsidRDefault="00816D93" w:rsidP="0052799A">
            <w:pPr>
              <w:pStyle w:val="Tablewriting"/>
              <w:keepNext/>
              <w:keepLines/>
              <w:rPr>
                <w:lang w:val="en-US"/>
              </w:rPr>
            </w:pPr>
            <w:r w:rsidRPr="00CD3739">
              <w:rPr>
                <w:lang w:val="en-US"/>
              </w:rPr>
              <w:t>5</w:t>
            </w:r>
          </w:p>
        </w:tc>
        <w:tc>
          <w:tcPr>
            <w:tcW w:w="1040" w:type="dxa"/>
            <w:shd w:val="clear" w:color="auto" w:fill="auto"/>
          </w:tcPr>
          <w:p w14:paraId="13879F16" w14:textId="77777777" w:rsidR="00816D93" w:rsidRPr="00CD3739" w:rsidRDefault="00816D93" w:rsidP="0052799A">
            <w:pPr>
              <w:pStyle w:val="Tablewriting"/>
              <w:keepNext/>
              <w:keepLines/>
            </w:pPr>
            <w:r>
              <w:t>$55.80</w:t>
            </w:r>
          </w:p>
        </w:tc>
        <w:tc>
          <w:tcPr>
            <w:tcW w:w="2148" w:type="dxa"/>
            <w:shd w:val="clear" w:color="auto" w:fill="auto"/>
          </w:tcPr>
          <w:p w14:paraId="54EEC637" w14:textId="77777777" w:rsidR="00816D93" w:rsidRPr="00CD3739" w:rsidRDefault="00816D93" w:rsidP="0052799A">
            <w:pPr>
              <w:pStyle w:val="Tablewriting"/>
              <w:keepNext/>
              <w:keepLines/>
            </w:pPr>
            <w:r w:rsidRPr="00CD3739">
              <w:t>Concerta</w:t>
            </w:r>
            <w:r w:rsidRPr="00CD3739">
              <w:br/>
              <w:t>Janssen-Cilag</w:t>
            </w:r>
            <w:r>
              <w:t xml:space="preserve"> Pty Ltd</w:t>
            </w:r>
          </w:p>
        </w:tc>
      </w:tr>
      <w:tr w:rsidR="00816D93" w:rsidRPr="00A35800" w14:paraId="5840790A" w14:textId="77777777" w:rsidTr="00D454F1">
        <w:trPr>
          <w:trHeight w:val="546"/>
          <w:tblHeader/>
        </w:trPr>
        <w:tc>
          <w:tcPr>
            <w:tcW w:w="851" w:type="dxa"/>
            <w:shd w:val="clear" w:color="auto" w:fill="auto"/>
          </w:tcPr>
          <w:p w14:paraId="442683A0" w14:textId="77777777" w:rsidR="00816D93" w:rsidRPr="00CD3739" w:rsidRDefault="00816D93" w:rsidP="0052799A">
            <w:pPr>
              <w:pStyle w:val="Tablewriting"/>
              <w:keepNext/>
              <w:keepLines/>
              <w:rPr>
                <w:lang w:val="en-US"/>
              </w:rPr>
            </w:pPr>
            <w:r w:rsidRPr="00CD3739">
              <w:rPr>
                <w:lang w:val="en-US"/>
              </w:rPr>
              <w:t>2388</w:t>
            </w:r>
            <w:r>
              <w:rPr>
                <w:lang w:val="en-US"/>
              </w:rPr>
              <w:t>Q</w:t>
            </w:r>
          </w:p>
        </w:tc>
        <w:tc>
          <w:tcPr>
            <w:tcW w:w="3260" w:type="dxa"/>
            <w:shd w:val="clear" w:color="auto" w:fill="auto"/>
          </w:tcPr>
          <w:p w14:paraId="14947216" w14:textId="77777777" w:rsidR="00816D93" w:rsidRDefault="00816D93" w:rsidP="0052799A">
            <w:pPr>
              <w:pStyle w:val="Tablewriting"/>
              <w:keepNext/>
              <w:keepLines/>
            </w:pPr>
            <w:r w:rsidRPr="00CD3739">
              <w:rPr>
                <w:lang w:val="en-US"/>
              </w:rPr>
              <w:t>METHYLPHENIDATE</w:t>
            </w:r>
            <w:r>
              <w:rPr>
                <w:lang w:val="en-US"/>
              </w:rPr>
              <w:t xml:space="preserve"> HYDROCHLORIDE</w:t>
            </w:r>
          </w:p>
          <w:p w14:paraId="1DE96B1E" w14:textId="77777777" w:rsidR="00816D93" w:rsidRPr="00CD3739" w:rsidRDefault="00816D93" w:rsidP="0052799A">
            <w:pPr>
              <w:pStyle w:val="Tablewriting"/>
              <w:keepNext/>
              <w:keepLines/>
              <w:rPr>
                <w:lang w:val="en-US"/>
              </w:rPr>
            </w:pPr>
            <w:r w:rsidRPr="00CD3739">
              <w:t>Tablet 36 m</w:t>
            </w:r>
            <w:r>
              <w:t>g (modifi</w:t>
            </w:r>
            <w:r w:rsidRPr="00CD3739">
              <w:t>ed release)</w:t>
            </w:r>
            <w:r>
              <w:t xml:space="preserve"> , 30</w:t>
            </w:r>
          </w:p>
        </w:tc>
        <w:tc>
          <w:tcPr>
            <w:tcW w:w="992" w:type="dxa"/>
            <w:shd w:val="clear" w:color="auto" w:fill="auto"/>
          </w:tcPr>
          <w:p w14:paraId="1EBF2F6C" w14:textId="77777777" w:rsidR="00816D93" w:rsidRPr="00CD3739" w:rsidRDefault="00816D93" w:rsidP="0052799A">
            <w:pPr>
              <w:pStyle w:val="Tablewriting"/>
              <w:keepNext/>
              <w:keepLines/>
            </w:pPr>
            <w:r>
              <w:t>1</w:t>
            </w:r>
          </w:p>
        </w:tc>
        <w:tc>
          <w:tcPr>
            <w:tcW w:w="709" w:type="dxa"/>
            <w:shd w:val="clear" w:color="auto" w:fill="auto"/>
          </w:tcPr>
          <w:p w14:paraId="278B0DB0" w14:textId="77777777" w:rsidR="00816D93" w:rsidRPr="00CD3739" w:rsidRDefault="00816D93" w:rsidP="0052799A">
            <w:pPr>
              <w:pStyle w:val="Tablewriting"/>
              <w:keepNext/>
              <w:keepLines/>
              <w:rPr>
                <w:lang w:val="en-US"/>
              </w:rPr>
            </w:pPr>
            <w:r w:rsidRPr="00CD3739">
              <w:rPr>
                <w:lang w:val="en-US"/>
              </w:rPr>
              <w:t>5</w:t>
            </w:r>
          </w:p>
        </w:tc>
        <w:tc>
          <w:tcPr>
            <w:tcW w:w="1040" w:type="dxa"/>
            <w:shd w:val="clear" w:color="auto" w:fill="auto"/>
          </w:tcPr>
          <w:p w14:paraId="1C98EF68" w14:textId="77777777" w:rsidR="00816D93" w:rsidRPr="00CD3739" w:rsidRDefault="00816D93" w:rsidP="0052799A">
            <w:pPr>
              <w:pStyle w:val="Tablewriting"/>
              <w:keepNext/>
              <w:keepLines/>
            </w:pPr>
            <w:r>
              <w:t>$60.03</w:t>
            </w:r>
          </w:p>
        </w:tc>
        <w:tc>
          <w:tcPr>
            <w:tcW w:w="2148" w:type="dxa"/>
            <w:shd w:val="clear" w:color="auto" w:fill="auto"/>
          </w:tcPr>
          <w:p w14:paraId="322533C9" w14:textId="77777777" w:rsidR="00816D93" w:rsidRPr="00CD3739" w:rsidRDefault="00816D93" w:rsidP="0052799A">
            <w:pPr>
              <w:pStyle w:val="Tablewriting"/>
              <w:keepNext/>
              <w:keepLines/>
            </w:pPr>
            <w:r w:rsidRPr="00CD3739">
              <w:t>Concerta</w:t>
            </w:r>
            <w:r w:rsidRPr="00CD3739">
              <w:br/>
              <w:t>Janssen-Cilag</w:t>
            </w:r>
            <w:r>
              <w:t xml:space="preserve"> Pty Ltd</w:t>
            </w:r>
          </w:p>
        </w:tc>
      </w:tr>
      <w:tr w:rsidR="00816D93" w:rsidRPr="00A35800" w14:paraId="7A1D1672" w14:textId="77777777" w:rsidTr="00D454F1">
        <w:trPr>
          <w:trHeight w:val="546"/>
          <w:tblHeader/>
        </w:trPr>
        <w:tc>
          <w:tcPr>
            <w:tcW w:w="851" w:type="dxa"/>
            <w:shd w:val="clear" w:color="auto" w:fill="auto"/>
          </w:tcPr>
          <w:p w14:paraId="3C70585D" w14:textId="77777777" w:rsidR="00816D93" w:rsidRPr="00CD3739" w:rsidRDefault="00816D93" w:rsidP="0052799A">
            <w:pPr>
              <w:pStyle w:val="Tablewriting"/>
              <w:rPr>
                <w:lang w:val="en-US"/>
              </w:rPr>
            </w:pPr>
            <w:r w:rsidRPr="00CD3739">
              <w:rPr>
                <w:lang w:val="en-US"/>
              </w:rPr>
              <w:t>2432B</w:t>
            </w:r>
          </w:p>
        </w:tc>
        <w:tc>
          <w:tcPr>
            <w:tcW w:w="3260" w:type="dxa"/>
            <w:shd w:val="clear" w:color="auto" w:fill="auto"/>
          </w:tcPr>
          <w:p w14:paraId="3CFAB88F" w14:textId="77777777" w:rsidR="00816D93" w:rsidRPr="00CD3739" w:rsidRDefault="00816D93" w:rsidP="0052799A">
            <w:pPr>
              <w:pStyle w:val="Tablewriting"/>
              <w:rPr>
                <w:lang w:val="en-US"/>
              </w:rPr>
            </w:pPr>
            <w:r w:rsidRPr="00CD3739">
              <w:rPr>
                <w:lang w:val="en-US"/>
              </w:rPr>
              <w:t>METHYLPHENIDATE</w:t>
            </w:r>
            <w:r>
              <w:rPr>
                <w:lang w:val="en-US"/>
              </w:rPr>
              <w:t xml:space="preserve"> HYDROCHLORIDE</w:t>
            </w:r>
            <w:r>
              <w:t xml:space="preserve"> Tablet 54 mg (modifi</w:t>
            </w:r>
            <w:r w:rsidRPr="00CD3739">
              <w:t>ed release)</w:t>
            </w:r>
            <w:r>
              <w:t xml:space="preserve"> , 30</w:t>
            </w:r>
          </w:p>
        </w:tc>
        <w:tc>
          <w:tcPr>
            <w:tcW w:w="992" w:type="dxa"/>
            <w:shd w:val="clear" w:color="auto" w:fill="auto"/>
          </w:tcPr>
          <w:p w14:paraId="79871871" w14:textId="77777777" w:rsidR="00816D93" w:rsidRPr="00CD3739" w:rsidRDefault="00816D93" w:rsidP="0052799A">
            <w:pPr>
              <w:pStyle w:val="Tablewriting"/>
            </w:pPr>
            <w:r>
              <w:t>1</w:t>
            </w:r>
          </w:p>
        </w:tc>
        <w:tc>
          <w:tcPr>
            <w:tcW w:w="709" w:type="dxa"/>
            <w:shd w:val="clear" w:color="auto" w:fill="auto"/>
          </w:tcPr>
          <w:p w14:paraId="4EC1A6BA" w14:textId="77777777" w:rsidR="00816D93" w:rsidRPr="00CD3739" w:rsidRDefault="00816D93" w:rsidP="0052799A">
            <w:pPr>
              <w:pStyle w:val="Tablewriting"/>
              <w:rPr>
                <w:lang w:val="en-US"/>
              </w:rPr>
            </w:pPr>
            <w:r w:rsidRPr="00CD3739">
              <w:rPr>
                <w:lang w:val="en-US"/>
              </w:rPr>
              <w:t>5</w:t>
            </w:r>
          </w:p>
        </w:tc>
        <w:tc>
          <w:tcPr>
            <w:tcW w:w="1040" w:type="dxa"/>
            <w:shd w:val="clear" w:color="auto" w:fill="auto"/>
          </w:tcPr>
          <w:p w14:paraId="76261B30" w14:textId="77777777" w:rsidR="00816D93" w:rsidRPr="00CD3739" w:rsidRDefault="00816D93" w:rsidP="0052799A">
            <w:pPr>
              <w:pStyle w:val="Tablewriting"/>
            </w:pPr>
            <w:r>
              <w:t>$70.09</w:t>
            </w:r>
          </w:p>
        </w:tc>
        <w:tc>
          <w:tcPr>
            <w:tcW w:w="2148" w:type="dxa"/>
            <w:shd w:val="clear" w:color="auto" w:fill="auto"/>
          </w:tcPr>
          <w:p w14:paraId="2EEDF6AD" w14:textId="77777777" w:rsidR="00816D93" w:rsidRPr="00CD3739" w:rsidRDefault="00816D93" w:rsidP="0052799A">
            <w:pPr>
              <w:pStyle w:val="Tablewriting"/>
            </w:pPr>
            <w:r w:rsidRPr="00CD3739">
              <w:t>Concerta</w:t>
            </w:r>
            <w:r w:rsidRPr="00CD3739">
              <w:br/>
              <w:t>Janssen-Cilag</w:t>
            </w:r>
            <w:r>
              <w:t xml:space="preserve"> Pty Ltd</w:t>
            </w:r>
          </w:p>
        </w:tc>
      </w:tr>
      <w:tr w:rsidR="00816D93" w:rsidRPr="00A35800" w14:paraId="2F042874" w14:textId="77777777" w:rsidTr="00D454F1">
        <w:trPr>
          <w:trHeight w:val="546"/>
          <w:tblHeader/>
        </w:trPr>
        <w:tc>
          <w:tcPr>
            <w:tcW w:w="851" w:type="dxa"/>
            <w:shd w:val="clear" w:color="auto" w:fill="auto"/>
          </w:tcPr>
          <w:p w14:paraId="48F31E2E" w14:textId="77777777" w:rsidR="00816D93" w:rsidRPr="00CD3739" w:rsidRDefault="00816D93" w:rsidP="0052799A">
            <w:pPr>
              <w:pStyle w:val="Tablewriting"/>
              <w:rPr>
                <w:lang w:val="en-US"/>
              </w:rPr>
            </w:pPr>
            <w:r w:rsidRPr="00CD3739">
              <w:rPr>
                <w:lang w:val="en-US"/>
              </w:rPr>
              <w:t>3440C</w:t>
            </w:r>
          </w:p>
        </w:tc>
        <w:tc>
          <w:tcPr>
            <w:tcW w:w="3260" w:type="dxa"/>
            <w:shd w:val="clear" w:color="auto" w:fill="auto"/>
          </w:tcPr>
          <w:p w14:paraId="31D9B3D6" w14:textId="77777777" w:rsidR="00816D93" w:rsidRPr="00CD3739" w:rsidRDefault="00816D93" w:rsidP="0052799A">
            <w:pPr>
              <w:pStyle w:val="Tablewriting"/>
              <w:rPr>
                <w:lang w:val="en-US"/>
              </w:rPr>
            </w:pPr>
            <w:r w:rsidRPr="00CD3739">
              <w:rPr>
                <w:lang w:val="en-US"/>
              </w:rPr>
              <w:t>METHYLPHENIDATE</w:t>
            </w:r>
            <w:r>
              <w:rPr>
                <w:lang w:val="en-US"/>
              </w:rPr>
              <w:t xml:space="preserve"> HYDROCHLORIDE</w:t>
            </w:r>
            <w:r w:rsidRPr="00CD3739">
              <w:t xml:space="preserve"> Capsule 10 mg (modified release)</w:t>
            </w:r>
            <w:r>
              <w:t>, 30</w:t>
            </w:r>
          </w:p>
        </w:tc>
        <w:tc>
          <w:tcPr>
            <w:tcW w:w="992" w:type="dxa"/>
            <w:shd w:val="clear" w:color="auto" w:fill="auto"/>
          </w:tcPr>
          <w:p w14:paraId="07D4EC84" w14:textId="77777777" w:rsidR="00816D93" w:rsidRPr="00CD3739" w:rsidRDefault="00816D93" w:rsidP="0052799A">
            <w:pPr>
              <w:pStyle w:val="Tablewriting"/>
            </w:pPr>
            <w:r>
              <w:t>1</w:t>
            </w:r>
          </w:p>
        </w:tc>
        <w:tc>
          <w:tcPr>
            <w:tcW w:w="709" w:type="dxa"/>
            <w:shd w:val="clear" w:color="auto" w:fill="auto"/>
          </w:tcPr>
          <w:p w14:paraId="0E823A48" w14:textId="77777777" w:rsidR="00816D93" w:rsidRPr="00CD3739" w:rsidRDefault="00816D93" w:rsidP="0052799A">
            <w:pPr>
              <w:pStyle w:val="Tablewriting"/>
            </w:pPr>
            <w:r w:rsidRPr="00CD3739">
              <w:t>5</w:t>
            </w:r>
          </w:p>
        </w:tc>
        <w:tc>
          <w:tcPr>
            <w:tcW w:w="1040" w:type="dxa"/>
            <w:shd w:val="clear" w:color="auto" w:fill="auto"/>
          </w:tcPr>
          <w:p w14:paraId="350283B8" w14:textId="77777777" w:rsidR="00816D93" w:rsidRPr="00CD3739" w:rsidRDefault="00816D93" w:rsidP="0052799A">
            <w:pPr>
              <w:pStyle w:val="Tablewriting"/>
            </w:pPr>
            <w:r>
              <w:t>$34.39</w:t>
            </w:r>
          </w:p>
        </w:tc>
        <w:tc>
          <w:tcPr>
            <w:tcW w:w="2148" w:type="dxa"/>
            <w:shd w:val="clear" w:color="auto" w:fill="auto"/>
          </w:tcPr>
          <w:p w14:paraId="3C840016" w14:textId="77777777" w:rsidR="00816D93" w:rsidRPr="00CD3739" w:rsidRDefault="00816D93" w:rsidP="0052799A">
            <w:pPr>
              <w:pStyle w:val="Tablewriting"/>
            </w:pPr>
            <w:r w:rsidRPr="00CD3739">
              <w:t>Ritalin LA</w:t>
            </w:r>
            <w:r w:rsidRPr="00CD3739">
              <w:br/>
              <w:t>Novartis</w:t>
            </w:r>
          </w:p>
        </w:tc>
      </w:tr>
      <w:tr w:rsidR="00816D93" w:rsidRPr="00A35800" w14:paraId="4798A730" w14:textId="77777777" w:rsidTr="00D454F1">
        <w:trPr>
          <w:trHeight w:val="546"/>
          <w:tblHeader/>
        </w:trPr>
        <w:tc>
          <w:tcPr>
            <w:tcW w:w="851" w:type="dxa"/>
            <w:shd w:val="clear" w:color="auto" w:fill="auto"/>
          </w:tcPr>
          <w:p w14:paraId="4D90C986" w14:textId="77777777" w:rsidR="00816D93" w:rsidRPr="00CD3739" w:rsidRDefault="00816D93" w:rsidP="0052799A">
            <w:pPr>
              <w:pStyle w:val="Tablewriting"/>
              <w:rPr>
                <w:lang w:val="en-US"/>
              </w:rPr>
            </w:pPr>
            <w:r w:rsidRPr="00CD3739">
              <w:rPr>
                <w:lang w:val="en-US"/>
              </w:rPr>
              <w:lastRenderedPageBreak/>
              <w:t>2276T</w:t>
            </w:r>
          </w:p>
        </w:tc>
        <w:tc>
          <w:tcPr>
            <w:tcW w:w="3260" w:type="dxa"/>
            <w:shd w:val="clear" w:color="auto" w:fill="auto"/>
          </w:tcPr>
          <w:p w14:paraId="468FFC49" w14:textId="77777777" w:rsidR="00816D93" w:rsidRPr="00CD3739" w:rsidRDefault="00816D93" w:rsidP="0052799A">
            <w:pPr>
              <w:pStyle w:val="Tablewriting"/>
              <w:rPr>
                <w:lang w:val="en-US"/>
              </w:rPr>
            </w:pPr>
            <w:r w:rsidRPr="00CD3739">
              <w:rPr>
                <w:lang w:val="en-US"/>
              </w:rPr>
              <w:t>METHYLPHENIDATE</w:t>
            </w:r>
            <w:r>
              <w:rPr>
                <w:lang w:val="en-US"/>
              </w:rPr>
              <w:t xml:space="preserve"> HYDROCHLORIDE</w:t>
            </w:r>
            <w:r w:rsidRPr="00CD3739">
              <w:t xml:space="preserve"> Capsule 20 mg (modified release)</w:t>
            </w:r>
            <w:r>
              <w:t>, 30</w:t>
            </w:r>
          </w:p>
        </w:tc>
        <w:tc>
          <w:tcPr>
            <w:tcW w:w="992" w:type="dxa"/>
            <w:shd w:val="clear" w:color="auto" w:fill="auto"/>
          </w:tcPr>
          <w:p w14:paraId="1CCE57DC" w14:textId="77777777" w:rsidR="00816D93" w:rsidRPr="00CD3739" w:rsidRDefault="00816D93" w:rsidP="0052799A">
            <w:pPr>
              <w:pStyle w:val="Tablewriting"/>
            </w:pPr>
            <w:r>
              <w:t>1</w:t>
            </w:r>
          </w:p>
        </w:tc>
        <w:tc>
          <w:tcPr>
            <w:tcW w:w="709" w:type="dxa"/>
            <w:shd w:val="clear" w:color="auto" w:fill="auto"/>
          </w:tcPr>
          <w:p w14:paraId="330D5682" w14:textId="77777777" w:rsidR="00816D93" w:rsidRPr="00CD3739" w:rsidRDefault="00816D93" w:rsidP="0052799A">
            <w:pPr>
              <w:pStyle w:val="Tablewriting"/>
              <w:rPr>
                <w:lang w:val="en-US"/>
              </w:rPr>
            </w:pPr>
            <w:r w:rsidRPr="00CD3739">
              <w:t>5</w:t>
            </w:r>
          </w:p>
        </w:tc>
        <w:tc>
          <w:tcPr>
            <w:tcW w:w="1040" w:type="dxa"/>
            <w:shd w:val="clear" w:color="auto" w:fill="auto"/>
          </w:tcPr>
          <w:p w14:paraId="21BC8CEC" w14:textId="77777777" w:rsidR="00816D93" w:rsidRPr="00CD3739" w:rsidRDefault="00816D93" w:rsidP="0052799A">
            <w:pPr>
              <w:pStyle w:val="Tablewriting"/>
            </w:pPr>
            <w:r>
              <w:t>$44.91</w:t>
            </w:r>
          </w:p>
        </w:tc>
        <w:tc>
          <w:tcPr>
            <w:tcW w:w="2148" w:type="dxa"/>
            <w:shd w:val="clear" w:color="auto" w:fill="auto"/>
          </w:tcPr>
          <w:p w14:paraId="59770F73" w14:textId="77777777" w:rsidR="00816D93" w:rsidRPr="00CD3739" w:rsidRDefault="00816D93" w:rsidP="0052799A">
            <w:pPr>
              <w:pStyle w:val="Tablewriting"/>
            </w:pPr>
            <w:r w:rsidRPr="00CD3739">
              <w:t>Ritalin LA</w:t>
            </w:r>
            <w:r w:rsidRPr="00CD3739">
              <w:br/>
              <w:t>Novartis</w:t>
            </w:r>
          </w:p>
        </w:tc>
      </w:tr>
      <w:tr w:rsidR="00816D93" w:rsidRPr="00A35800" w14:paraId="0997BCFF" w14:textId="77777777" w:rsidTr="00D454F1">
        <w:trPr>
          <w:trHeight w:val="546"/>
          <w:tblHeader/>
        </w:trPr>
        <w:tc>
          <w:tcPr>
            <w:tcW w:w="851" w:type="dxa"/>
            <w:shd w:val="clear" w:color="auto" w:fill="auto"/>
          </w:tcPr>
          <w:p w14:paraId="4652B24E" w14:textId="77777777" w:rsidR="00816D93" w:rsidRPr="00CD3739" w:rsidRDefault="00816D93" w:rsidP="0052799A">
            <w:pPr>
              <w:pStyle w:val="Tablewriting"/>
              <w:rPr>
                <w:lang w:val="en-US"/>
              </w:rPr>
            </w:pPr>
            <w:r w:rsidRPr="00CD3739">
              <w:rPr>
                <w:lang w:val="en-US"/>
              </w:rPr>
              <w:t>2280B</w:t>
            </w:r>
          </w:p>
        </w:tc>
        <w:tc>
          <w:tcPr>
            <w:tcW w:w="3260" w:type="dxa"/>
            <w:shd w:val="clear" w:color="auto" w:fill="auto"/>
          </w:tcPr>
          <w:p w14:paraId="6D8F3A51" w14:textId="77777777" w:rsidR="00816D93" w:rsidRPr="00CD3739" w:rsidRDefault="00816D93" w:rsidP="0052799A">
            <w:pPr>
              <w:pStyle w:val="Tablewriting"/>
              <w:rPr>
                <w:lang w:val="en-US"/>
              </w:rPr>
            </w:pPr>
            <w:r w:rsidRPr="00CD3739">
              <w:rPr>
                <w:lang w:val="en-US"/>
              </w:rPr>
              <w:t>METHYLPHENIDATE</w:t>
            </w:r>
            <w:r>
              <w:rPr>
                <w:lang w:val="en-US"/>
              </w:rPr>
              <w:t xml:space="preserve"> HYDROCHLORIDE</w:t>
            </w:r>
            <w:r w:rsidRPr="00CD3739">
              <w:t xml:space="preserve"> Capsule</w:t>
            </w:r>
            <w:bookmarkStart w:id="9" w:name="_GoBack"/>
            <w:bookmarkEnd w:id="9"/>
            <w:r w:rsidRPr="00CD3739">
              <w:t xml:space="preserve"> 30 mg (modified release)</w:t>
            </w:r>
            <w:r>
              <w:t>, 30</w:t>
            </w:r>
          </w:p>
        </w:tc>
        <w:tc>
          <w:tcPr>
            <w:tcW w:w="992" w:type="dxa"/>
            <w:shd w:val="clear" w:color="auto" w:fill="auto"/>
          </w:tcPr>
          <w:p w14:paraId="2ABD296B" w14:textId="77777777" w:rsidR="00816D93" w:rsidRPr="00CD3739" w:rsidRDefault="00816D93" w:rsidP="0052799A">
            <w:pPr>
              <w:pStyle w:val="Tablewriting"/>
            </w:pPr>
            <w:r>
              <w:t>1</w:t>
            </w:r>
          </w:p>
        </w:tc>
        <w:tc>
          <w:tcPr>
            <w:tcW w:w="709" w:type="dxa"/>
            <w:shd w:val="clear" w:color="auto" w:fill="auto"/>
          </w:tcPr>
          <w:p w14:paraId="35EAA83E" w14:textId="77777777" w:rsidR="00816D93" w:rsidRPr="00CD3739" w:rsidRDefault="00816D93" w:rsidP="0052799A">
            <w:pPr>
              <w:pStyle w:val="Tablewriting"/>
            </w:pPr>
            <w:r w:rsidRPr="00CD3739">
              <w:t>5</w:t>
            </w:r>
          </w:p>
        </w:tc>
        <w:tc>
          <w:tcPr>
            <w:tcW w:w="1040" w:type="dxa"/>
            <w:shd w:val="clear" w:color="auto" w:fill="auto"/>
          </w:tcPr>
          <w:p w14:paraId="0645191C" w14:textId="77777777" w:rsidR="00816D93" w:rsidRPr="00CD3739" w:rsidRDefault="00816D93" w:rsidP="0052799A">
            <w:pPr>
              <w:pStyle w:val="Tablewriting"/>
            </w:pPr>
            <w:r>
              <w:t>$52.37</w:t>
            </w:r>
          </w:p>
        </w:tc>
        <w:tc>
          <w:tcPr>
            <w:tcW w:w="2148" w:type="dxa"/>
            <w:shd w:val="clear" w:color="auto" w:fill="auto"/>
          </w:tcPr>
          <w:p w14:paraId="23E0FEB2" w14:textId="77777777" w:rsidR="00816D93" w:rsidRPr="00CD3739" w:rsidRDefault="00816D93" w:rsidP="0052799A">
            <w:pPr>
              <w:pStyle w:val="Tablewriting"/>
            </w:pPr>
            <w:r w:rsidRPr="00CD3739">
              <w:t>Ritalin LA</w:t>
            </w:r>
            <w:r w:rsidRPr="00CD3739">
              <w:br/>
              <w:t>Novartis</w:t>
            </w:r>
          </w:p>
        </w:tc>
      </w:tr>
      <w:tr w:rsidR="00816D93" w:rsidRPr="00A35800" w14:paraId="3352EFE8" w14:textId="77777777" w:rsidTr="00D454F1">
        <w:trPr>
          <w:trHeight w:val="546"/>
          <w:tblHeader/>
        </w:trPr>
        <w:tc>
          <w:tcPr>
            <w:tcW w:w="851" w:type="dxa"/>
            <w:shd w:val="clear" w:color="auto" w:fill="auto"/>
          </w:tcPr>
          <w:p w14:paraId="1D3A3D4F" w14:textId="77777777" w:rsidR="00816D93" w:rsidRPr="00CD3739" w:rsidRDefault="00816D93" w:rsidP="0052799A">
            <w:pPr>
              <w:pStyle w:val="Tablewriting"/>
              <w:rPr>
                <w:lang w:val="en-US"/>
              </w:rPr>
            </w:pPr>
            <w:r w:rsidRPr="00CD3739">
              <w:rPr>
                <w:lang w:val="en-US"/>
              </w:rPr>
              <w:t>2283E</w:t>
            </w:r>
          </w:p>
        </w:tc>
        <w:tc>
          <w:tcPr>
            <w:tcW w:w="3260" w:type="dxa"/>
            <w:shd w:val="clear" w:color="auto" w:fill="auto"/>
          </w:tcPr>
          <w:p w14:paraId="5E4EBBCA" w14:textId="77777777" w:rsidR="00816D93" w:rsidRPr="00CD3739" w:rsidRDefault="00816D93" w:rsidP="0052799A">
            <w:pPr>
              <w:pStyle w:val="Tablewriting"/>
              <w:rPr>
                <w:lang w:val="en-US"/>
              </w:rPr>
            </w:pPr>
            <w:r w:rsidRPr="00CD3739">
              <w:rPr>
                <w:lang w:val="en-US"/>
              </w:rPr>
              <w:t>METHYLPHENIDATE</w:t>
            </w:r>
            <w:r>
              <w:rPr>
                <w:lang w:val="en-US"/>
              </w:rPr>
              <w:t xml:space="preserve"> HYDROCHLORIDE</w:t>
            </w:r>
            <w:r w:rsidRPr="00CD3739">
              <w:t xml:space="preserve"> Capsule 40 mg (modified release)</w:t>
            </w:r>
            <w:r>
              <w:t>, 30</w:t>
            </w:r>
          </w:p>
        </w:tc>
        <w:tc>
          <w:tcPr>
            <w:tcW w:w="992" w:type="dxa"/>
            <w:shd w:val="clear" w:color="auto" w:fill="auto"/>
          </w:tcPr>
          <w:p w14:paraId="0D872827" w14:textId="77777777" w:rsidR="00816D93" w:rsidRPr="00CD3739" w:rsidRDefault="00816D93" w:rsidP="0052799A">
            <w:pPr>
              <w:pStyle w:val="Tablewriting"/>
            </w:pPr>
            <w:r>
              <w:t>1</w:t>
            </w:r>
          </w:p>
        </w:tc>
        <w:tc>
          <w:tcPr>
            <w:tcW w:w="709" w:type="dxa"/>
            <w:shd w:val="clear" w:color="auto" w:fill="auto"/>
          </w:tcPr>
          <w:p w14:paraId="151C05A3" w14:textId="77777777" w:rsidR="00816D93" w:rsidRPr="00CD3739" w:rsidRDefault="00816D93" w:rsidP="0052799A">
            <w:pPr>
              <w:pStyle w:val="Tablewriting"/>
            </w:pPr>
            <w:r w:rsidRPr="00CD3739">
              <w:t>5</w:t>
            </w:r>
          </w:p>
        </w:tc>
        <w:tc>
          <w:tcPr>
            <w:tcW w:w="1040" w:type="dxa"/>
            <w:shd w:val="clear" w:color="auto" w:fill="auto"/>
          </w:tcPr>
          <w:p w14:paraId="6F10EACB" w14:textId="77777777" w:rsidR="00816D93" w:rsidRPr="00CD3739" w:rsidRDefault="00816D93" w:rsidP="0052799A">
            <w:pPr>
              <w:pStyle w:val="Tablewriting"/>
            </w:pPr>
            <w:r>
              <w:t>$54.90</w:t>
            </w:r>
          </w:p>
        </w:tc>
        <w:tc>
          <w:tcPr>
            <w:tcW w:w="2148" w:type="dxa"/>
            <w:shd w:val="clear" w:color="auto" w:fill="auto"/>
          </w:tcPr>
          <w:p w14:paraId="770C70DE" w14:textId="77777777" w:rsidR="00816D93" w:rsidRPr="00CD3739" w:rsidRDefault="00816D93" w:rsidP="0052799A">
            <w:pPr>
              <w:pStyle w:val="Tablewriting"/>
            </w:pPr>
            <w:r w:rsidRPr="00CD3739">
              <w:t>Ritalin LA</w:t>
            </w:r>
            <w:r w:rsidRPr="00CD3739">
              <w:br/>
              <w:t>Novartis</w:t>
            </w:r>
          </w:p>
        </w:tc>
      </w:tr>
      <w:tr w:rsidR="00816D93" w:rsidRPr="00A35800" w14:paraId="2157B485" w14:textId="77777777" w:rsidTr="00D454F1">
        <w:trPr>
          <w:trHeight w:val="546"/>
          <w:tblHeader/>
        </w:trPr>
        <w:tc>
          <w:tcPr>
            <w:tcW w:w="851" w:type="dxa"/>
            <w:shd w:val="clear" w:color="auto" w:fill="auto"/>
          </w:tcPr>
          <w:p w14:paraId="0FCA697B" w14:textId="77777777" w:rsidR="00816D93" w:rsidRPr="00CD3739" w:rsidRDefault="00816D93" w:rsidP="0052799A">
            <w:pPr>
              <w:pStyle w:val="Tablewriting"/>
              <w:rPr>
                <w:lang w:val="en-US"/>
              </w:rPr>
            </w:pPr>
            <w:r w:rsidRPr="00CD3739">
              <w:t>9092M</w:t>
            </w:r>
          </w:p>
        </w:tc>
        <w:tc>
          <w:tcPr>
            <w:tcW w:w="3260" w:type="dxa"/>
            <w:shd w:val="clear" w:color="auto" w:fill="auto"/>
          </w:tcPr>
          <w:p w14:paraId="633D511F" w14:textId="77777777" w:rsidR="00816D93" w:rsidRPr="00CD3739" w:rsidRDefault="00816D93" w:rsidP="0052799A">
            <w:pPr>
              <w:pStyle w:val="Tablewriting"/>
              <w:rPr>
                <w:lang w:val="en-US"/>
              </w:rPr>
            </w:pPr>
            <w:r w:rsidRPr="00CD3739">
              <w:t>ATOMOXETINE</w:t>
            </w:r>
            <w:r w:rsidRPr="00CD3739">
              <w:br/>
              <w:t xml:space="preserve">Capsule 10 </w:t>
            </w:r>
            <w:r>
              <w:t>mg, 28</w:t>
            </w:r>
          </w:p>
        </w:tc>
        <w:tc>
          <w:tcPr>
            <w:tcW w:w="992" w:type="dxa"/>
            <w:shd w:val="clear" w:color="auto" w:fill="auto"/>
          </w:tcPr>
          <w:p w14:paraId="425E105E" w14:textId="77777777" w:rsidR="00816D93" w:rsidRDefault="00816D93" w:rsidP="0052799A">
            <w:pPr>
              <w:pStyle w:val="Tablewriting"/>
            </w:pPr>
            <w:r>
              <w:t>2</w:t>
            </w:r>
          </w:p>
        </w:tc>
        <w:tc>
          <w:tcPr>
            <w:tcW w:w="709" w:type="dxa"/>
            <w:shd w:val="clear" w:color="auto" w:fill="auto"/>
          </w:tcPr>
          <w:p w14:paraId="2DA6B486" w14:textId="77777777" w:rsidR="00816D93" w:rsidRPr="00CD3739" w:rsidRDefault="00816D93" w:rsidP="0052799A">
            <w:pPr>
              <w:pStyle w:val="Tablewriting"/>
            </w:pPr>
            <w:r w:rsidRPr="00CD3739">
              <w:t>5</w:t>
            </w:r>
          </w:p>
        </w:tc>
        <w:tc>
          <w:tcPr>
            <w:tcW w:w="1040" w:type="dxa"/>
            <w:shd w:val="clear" w:color="auto" w:fill="auto"/>
          </w:tcPr>
          <w:p w14:paraId="6F68525E" w14:textId="77777777" w:rsidR="00816D93" w:rsidRDefault="00816D93" w:rsidP="0052799A">
            <w:pPr>
              <w:pStyle w:val="Tablewriting"/>
            </w:pPr>
            <w:r>
              <w:t>$221.52</w:t>
            </w:r>
          </w:p>
        </w:tc>
        <w:tc>
          <w:tcPr>
            <w:tcW w:w="2148" w:type="dxa"/>
            <w:shd w:val="clear" w:color="auto" w:fill="auto"/>
          </w:tcPr>
          <w:p w14:paraId="102CCA40" w14:textId="77777777" w:rsidR="00816D93" w:rsidRPr="00CD3739" w:rsidRDefault="00816D93" w:rsidP="0052799A">
            <w:pPr>
              <w:pStyle w:val="Tablewriting"/>
            </w:pPr>
            <w:r w:rsidRPr="00CD3739">
              <w:t>Strattera</w:t>
            </w:r>
            <w:r w:rsidRPr="00CD3739">
              <w:br/>
              <w:t>Eli Lilly Pty Ltd</w:t>
            </w:r>
          </w:p>
        </w:tc>
      </w:tr>
      <w:tr w:rsidR="00816D93" w:rsidRPr="00A35800" w14:paraId="5852B060" w14:textId="77777777" w:rsidTr="00D454F1">
        <w:trPr>
          <w:trHeight w:val="546"/>
          <w:tblHeader/>
        </w:trPr>
        <w:tc>
          <w:tcPr>
            <w:tcW w:w="851" w:type="dxa"/>
            <w:shd w:val="clear" w:color="auto" w:fill="auto"/>
          </w:tcPr>
          <w:p w14:paraId="3CB51FCB" w14:textId="77777777" w:rsidR="00816D93" w:rsidRPr="00CD3739" w:rsidRDefault="00816D93" w:rsidP="0052799A">
            <w:pPr>
              <w:pStyle w:val="Tablewriting"/>
              <w:rPr>
                <w:lang w:val="en-US"/>
              </w:rPr>
            </w:pPr>
            <w:r w:rsidRPr="00CD3739">
              <w:t>9093N</w:t>
            </w:r>
          </w:p>
        </w:tc>
        <w:tc>
          <w:tcPr>
            <w:tcW w:w="3260" w:type="dxa"/>
            <w:shd w:val="clear" w:color="auto" w:fill="auto"/>
          </w:tcPr>
          <w:p w14:paraId="0B91818C" w14:textId="77777777" w:rsidR="00816D93" w:rsidRDefault="00816D93" w:rsidP="0052799A">
            <w:pPr>
              <w:pStyle w:val="Tablewriting"/>
            </w:pPr>
            <w:r>
              <w:t>ATOMOXETINE</w:t>
            </w:r>
          </w:p>
          <w:p w14:paraId="68238052" w14:textId="77777777" w:rsidR="00816D93" w:rsidRPr="00CD3739" w:rsidRDefault="00816D93" w:rsidP="0052799A">
            <w:pPr>
              <w:pStyle w:val="Tablewriting"/>
              <w:rPr>
                <w:lang w:val="en-US"/>
              </w:rPr>
            </w:pPr>
            <w:r w:rsidRPr="00CD3739">
              <w:t xml:space="preserve">Capsule 18 </w:t>
            </w:r>
            <w:r>
              <w:t>mg, 28</w:t>
            </w:r>
          </w:p>
        </w:tc>
        <w:tc>
          <w:tcPr>
            <w:tcW w:w="992" w:type="dxa"/>
            <w:shd w:val="clear" w:color="auto" w:fill="auto"/>
          </w:tcPr>
          <w:p w14:paraId="34FEA6ED" w14:textId="77777777" w:rsidR="00816D93" w:rsidRDefault="00816D93" w:rsidP="0052799A">
            <w:pPr>
              <w:pStyle w:val="Tablewriting"/>
            </w:pPr>
            <w:r>
              <w:t>2</w:t>
            </w:r>
          </w:p>
        </w:tc>
        <w:tc>
          <w:tcPr>
            <w:tcW w:w="709" w:type="dxa"/>
            <w:shd w:val="clear" w:color="auto" w:fill="auto"/>
          </w:tcPr>
          <w:p w14:paraId="2856A379" w14:textId="77777777" w:rsidR="00816D93" w:rsidRPr="00CD3739" w:rsidRDefault="00816D93" w:rsidP="0052799A">
            <w:pPr>
              <w:pStyle w:val="Tablewriting"/>
            </w:pPr>
            <w:r w:rsidRPr="00CD3739">
              <w:t>5</w:t>
            </w:r>
          </w:p>
        </w:tc>
        <w:tc>
          <w:tcPr>
            <w:tcW w:w="1040" w:type="dxa"/>
            <w:shd w:val="clear" w:color="auto" w:fill="auto"/>
          </w:tcPr>
          <w:p w14:paraId="1ECA167A" w14:textId="77777777" w:rsidR="00816D93" w:rsidRDefault="00816D93" w:rsidP="0052799A">
            <w:pPr>
              <w:pStyle w:val="Tablewriting"/>
            </w:pPr>
            <w:r>
              <w:t>$221.52</w:t>
            </w:r>
          </w:p>
        </w:tc>
        <w:tc>
          <w:tcPr>
            <w:tcW w:w="2148" w:type="dxa"/>
            <w:shd w:val="clear" w:color="auto" w:fill="auto"/>
          </w:tcPr>
          <w:p w14:paraId="49CCFEAB" w14:textId="77777777" w:rsidR="00816D93" w:rsidRPr="00CD3739" w:rsidRDefault="00816D93" w:rsidP="0052799A">
            <w:pPr>
              <w:pStyle w:val="Tablewriting"/>
            </w:pPr>
            <w:r w:rsidRPr="00CD3739">
              <w:t>Strattera</w:t>
            </w:r>
            <w:r w:rsidRPr="00CD3739">
              <w:br/>
              <w:t>Eli Lilly Pty Ltd</w:t>
            </w:r>
          </w:p>
        </w:tc>
      </w:tr>
      <w:tr w:rsidR="00816D93" w:rsidRPr="00A35800" w14:paraId="4F7E9B18" w14:textId="77777777" w:rsidTr="00D454F1">
        <w:trPr>
          <w:trHeight w:val="546"/>
          <w:tblHeader/>
        </w:trPr>
        <w:tc>
          <w:tcPr>
            <w:tcW w:w="851" w:type="dxa"/>
            <w:shd w:val="clear" w:color="auto" w:fill="auto"/>
          </w:tcPr>
          <w:p w14:paraId="77452CF0" w14:textId="77777777" w:rsidR="00816D93" w:rsidRPr="00CD3739" w:rsidRDefault="00816D93" w:rsidP="0052799A">
            <w:pPr>
              <w:pStyle w:val="Tablewriting"/>
              <w:rPr>
                <w:lang w:val="en-US"/>
              </w:rPr>
            </w:pPr>
            <w:r w:rsidRPr="00CD3739">
              <w:t>9094P</w:t>
            </w:r>
          </w:p>
        </w:tc>
        <w:tc>
          <w:tcPr>
            <w:tcW w:w="3260" w:type="dxa"/>
            <w:shd w:val="clear" w:color="auto" w:fill="auto"/>
          </w:tcPr>
          <w:p w14:paraId="33D9D9C4" w14:textId="77777777" w:rsidR="00816D93" w:rsidRDefault="00816D93" w:rsidP="0052799A">
            <w:pPr>
              <w:pStyle w:val="Tablewriting"/>
            </w:pPr>
            <w:r>
              <w:t>ATOMOXETINE</w:t>
            </w:r>
          </w:p>
          <w:p w14:paraId="4784014E" w14:textId="77777777" w:rsidR="00816D93" w:rsidRPr="00CD3739" w:rsidRDefault="00816D93" w:rsidP="0052799A">
            <w:pPr>
              <w:pStyle w:val="Tablewriting"/>
              <w:rPr>
                <w:lang w:val="en-US"/>
              </w:rPr>
            </w:pPr>
            <w:r w:rsidRPr="00CD3739">
              <w:t xml:space="preserve">Capsule 25 </w:t>
            </w:r>
            <w:r>
              <w:t>mg, 28</w:t>
            </w:r>
          </w:p>
        </w:tc>
        <w:tc>
          <w:tcPr>
            <w:tcW w:w="992" w:type="dxa"/>
            <w:shd w:val="clear" w:color="auto" w:fill="auto"/>
          </w:tcPr>
          <w:p w14:paraId="2E32E3A8" w14:textId="77777777" w:rsidR="00816D93" w:rsidRDefault="00816D93" w:rsidP="0052799A">
            <w:pPr>
              <w:pStyle w:val="Tablewriting"/>
            </w:pPr>
            <w:r>
              <w:t>2</w:t>
            </w:r>
          </w:p>
        </w:tc>
        <w:tc>
          <w:tcPr>
            <w:tcW w:w="709" w:type="dxa"/>
            <w:shd w:val="clear" w:color="auto" w:fill="auto"/>
          </w:tcPr>
          <w:p w14:paraId="71546118" w14:textId="77777777" w:rsidR="00816D93" w:rsidRPr="00CD3739" w:rsidRDefault="00816D93" w:rsidP="0052799A">
            <w:pPr>
              <w:pStyle w:val="Tablewriting"/>
            </w:pPr>
            <w:r w:rsidRPr="00CD3739">
              <w:t>5</w:t>
            </w:r>
          </w:p>
        </w:tc>
        <w:tc>
          <w:tcPr>
            <w:tcW w:w="1040" w:type="dxa"/>
            <w:shd w:val="clear" w:color="auto" w:fill="auto"/>
          </w:tcPr>
          <w:p w14:paraId="4D1DD758" w14:textId="77777777" w:rsidR="00816D93" w:rsidRDefault="00816D93" w:rsidP="0052799A">
            <w:pPr>
              <w:pStyle w:val="Tablewriting"/>
            </w:pPr>
            <w:r>
              <w:t>$221.52</w:t>
            </w:r>
          </w:p>
        </w:tc>
        <w:tc>
          <w:tcPr>
            <w:tcW w:w="2148" w:type="dxa"/>
            <w:shd w:val="clear" w:color="auto" w:fill="auto"/>
          </w:tcPr>
          <w:p w14:paraId="0CDB2DF4" w14:textId="77777777" w:rsidR="00816D93" w:rsidRPr="00CD3739" w:rsidRDefault="00816D93" w:rsidP="0052799A">
            <w:pPr>
              <w:pStyle w:val="Tablewriting"/>
            </w:pPr>
            <w:r w:rsidRPr="00CD3739">
              <w:t>Strattera</w:t>
            </w:r>
            <w:r w:rsidRPr="00CD3739">
              <w:br/>
              <w:t>Eli Lilly Pty Ltd</w:t>
            </w:r>
          </w:p>
        </w:tc>
      </w:tr>
      <w:tr w:rsidR="00816D93" w:rsidRPr="00A35800" w14:paraId="70DEA7BF" w14:textId="77777777" w:rsidTr="00D454F1">
        <w:trPr>
          <w:trHeight w:val="546"/>
          <w:tblHeader/>
        </w:trPr>
        <w:tc>
          <w:tcPr>
            <w:tcW w:w="851" w:type="dxa"/>
            <w:shd w:val="clear" w:color="auto" w:fill="auto"/>
          </w:tcPr>
          <w:p w14:paraId="4710BD10" w14:textId="77777777" w:rsidR="00816D93" w:rsidRPr="00CD3739" w:rsidRDefault="00816D93" w:rsidP="0052799A">
            <w:pPr>
              <w:pStyle w:val="Tablewriting"/>
              <w:rPr>
                <w:lang w:val="en-US"/>
              </w:rPr>
            </w:pPr>
            <w:r w:rsidRPr="00CD3739">
              <w:t>9095Q</w:t>
            </w:r>
          </w:p>
        </w:tc>
        <w:tc>
          <w:tcPr>
            <w:tcW w:w="3260" w:type="dxa"/>
            <w:shd w:val="clear" w:color="auto" w:fill="auto"/>
          </w:tcPr>
          <w:p w14:paraId="6831E461" w14:textId="77777777" w:rsidR="00816D93" w:rsidRDefault="00816D93" w:rsidP="0052799A">
            <w:pPr>
              <w:pStyle w:val="Tablewriting"/>
            </w:pPr>
            <w:r>
              <w:t>ATOMOXETINE</w:t>
            </w:r>
          </w:p>
          <w:p w14:paraId="5D1347B6" w14:textId="77777777" w:rsidR="00816D93" w:rsidRPr="00CD3739" w:rsidRDefault="00816D93" w:rsidP="0052799A">
            <w:pPr>
              <w:pStyle w:val="Tablewriting"/>
              <w:rPr>
                <w:lang w:val="en-US"/>
              </w:rPr>
            </w:pPr>
            <w:r w:rsidRPr="00CD3739">
              <w:t xml:space="preserve">Capsule 40 </w:t>
            </w:r>
            <w:r>
              <w:t>mg, 28</w:t>
            </w:r>
          </w:p>
        </w:tc>
        <w:tc>
          <w:tcPr>
            <w:tcW w:w="992" w:type="dxa"/>
            <w:shd w:val="clear" w:color="auto" w:fill="auto"/>
          </w:tcPr>
          <w:p w14:paraId="47B2EF3A" w14:textId="77777777" w:rsidR="00816D93" w:rsidRDefault="00816D93" w:rsidP="0052799A">
            <w:pPr>
              <w:pStyle w:val="Tablewriting"/>
            </w:pPr>
            <w:r>
              <w:t>2</w:t>
            </w:r>
          </w:p>
        </w:tc>
        <w:tc>
          <w:tcPr>
            <w:tcW w:w="709" w:type="dxa"/>
            <w:shd w:val="clear" w:color="auto" w:fill="auto"/>
          </w:tcPr>
          <w:p w14:paraId="3690634E" w14:textId="77777777" w:rsidR="00816D93" w:rsidRPr="00CD3739" w:rsidRDefault="00816D93" w:rsidP="0052799A">
            <w:pPr>
              <w:pStyle w:val="Tablewriting"/>
            </w:pPr>
            <w:r w:rsidRPr="00CD3739">
              <w:t>5</w:t>
            </w:r>
          </w:p>
        </w:tc>
        <w:tc>
          <w:tcPr>
            <w:tcW w:w="1040" w:type="dxa"/>
            <w:shd w:val="clear" w:color="auto" w:fill="auto"/>
          </w:tcPr>
          <w:p w14:paraId="5C3E7C01" w14:textId="77777777" w:rsidR="00816D93" w:rsidRDefault="00816D93" w:rsidP="0052799A">
            <w:pPr>
              <w:pStyle w:val="Tablewriting"/>
            </w:pPr>
            <w:r>
              <w:t>$221.52</w:t>
            </w:r>
          </w:p>
        </w:tc>
        <w:tc>
          <w:tcPr>
            <w:tcW w:w="2148" w:type="dxa"/>
            <w:shd w:val="clear" w:color="auto" w:fill="auto"/>
          </w:tcPr>
          <w:p w14:paraId="642815F1" w14:textId="77777777" w:rsidR="00816D93" w:rsidRPr="00CD3739" w:rsidRDefault="00816D93" w:rsidP="0052799A">
            <w:pPr>
              <w:pStyle w:val="Tablewriting"/>
            </w:pPr>
            <w:r w:rsidRPr="00CD3739">
              <w:t>Strattera</w:t>
            </w:r>
            <w:r w:rsidRPr="00CD3739">
              <w:br/>
              <w:t>Eli Lilly Pty Ltd</w:t>
            </w:r>
          </w:p>
        </w:tc>
      </w:tr>
      <w:tr w:rsidR="00816D93" w:rsidRPr="00A35800" w14:paraId="4ED9C006" w14:textId="77777777" w:rsidTr="00D454F1">
        <w:trPr>
          <w:trHeight w:val="546"/>
          <w:tblHeader/>
        </w:trPr>
        <w:tc>
          <w:tcPr>
            <w:tcW w:w="851" w:type="dxa"/>
            <w:shd w:val="clear" w:color="auto" w:fill="auto"/>
          </w:tcPr>
          <w:p w14:paraId="28D64B7D" w14:textId="77777777" w:rsidR="00816D93" w:rsidRPr="00CD3739" w:rsidRDefault="00816D93" w:rsidP="0052799A">
            <w:pPr>
              <w:pStyle w:val="Tablewriting"/>
              <w:rPr>
                <w:lang w:val="en-US"/>
              </w:rPr>
            </w:pPr>
            <w:r w:rsidRPr="00CD3739">
              <w:t>9096R</w:t>
            </w:r>
          </w:p>
        </w:tc>
        <w:tc>
          <w:tcPr>
            <w:tcW w:w="3260" w:type="dxa"/>
            <w:shd w:val="clear" w:color="auto" w:fill="auto"/>
          </w:tcPr>
          <w:p w14:paraId="401AD30D" w14:textId="77777777" w:rsidR="00816D93" w:rsidRDefault="00816D93" w:rsidP="0052799A">
            <w:pPr>
              <w:pStyle w:val="Tablewriting"/>
            </w:pPr>
            <w:r>
              <w:t>ATOMOXETINE</w:t>
            </w:r>
          </w:p>
          <w:p w14:paraId="601F6EFD" w14:textId="77777777" w:rsidR="00816D93" w:rsidRPr="00CD3739" w:rsidRDefault="00816D93" w:rsidP="0052799A">
            <w:pPr>
              <w:pStyle w:val="Tablewriting"/>
              <w:rPr>
                <w:lang w:val="en-US"/>
              </w:rPr>
            </w:pPr>
            <w:r w:rsidRPr="00CD3739">
              <w:t xml:space="preserve">Capsule 60 </w:t>
            </w:r>
            <w:r>
              <w:t>mg, 28</w:t>
            </w:r>
          </w:p>
        </w:tc>
        <w:tc>
          <w:tcPr>
            <w:tcW w:w="992" w:type="dxa"/>
            <w:shd w:val="clear" w:color="auto" w:fill="auto"/>
          </w:tcPr>
          <w:p w14:paraId="30F1D4E0" w14:textId="77777777" w:rsidR="00816D93" w:rsidRDefault="00816D93" w:rsidP="0052799A">
            <w:pPr>
              <w:pStyle w:val="Tablewriting"/>
            </w:pPr>
            <w:r>
              <w:t>2</w:t>
            </w:r>
          </w:p>
        </w:tc>
        <w:tc>
          <w:tcPr>
            <w:tcW w:w="709" w:type="dxa"/>
            <w:shd w:val="clear" w:color="auto" w:fill="auto"/>
          </w:tcPr>
          <w:p w14:paraId="48805D9B" w14:textId="77777777" w:rsidR="00816D93" w:rsidRPr="00CD3739" w:rsidRDefault="00816D93" w:rsidP="0052799A">
            <w:pPr>
              <w:pStyle w:val="Tablewriting"/>
            </w:pPr>
            <w:r w:rsidRPr="00CD3739">
              <w:t>5</w:t>
            </w:r>
          </w:p>
        </w:tc>
        <w:tc>
          <w:tcPr>
            <w:tcW w:w="1040" w:type="dxa"/>
            <w:shd w:val="clear" w:color="auto" w:fill="auto"/>
          </w:tcPr>
          <w:p w14:paraId="7F93E10A" w14:textId="77777777" w:rsidR="00816D93" w:rsidRDefault="00816D93" w:rsidP="0052799A">
            <w:pPr>
              <w:pStyle w:val="Tablewriting"/>
            </w:pPr>
            <w:r>
              <w:t>$221.52</w:t>
            </w:r>
          </w:p>
        </w:tc>
        <w:tc>
          <w:tcPr>
            <w:tcW w:w="2148" w:type="dxa"/>
            <w:shd w:val="clear" w:color="auto" w:fill="auto"/>
          </w:tcPr>
          <w:p w14:paraId="672D45C0" w14:textId="77777777" w:rsidR="00816D93" w:rsidRPr="00CD3739" w:rsidRDefault="00816D93" w:rsidP="0052799A">
            <w:pPr>
              <w:pStyle w:val="Tablewriting"/>
            </w:pPr>
            <w:r w:rsidRPr="00CD3739">
              <w:t>Strattera</w:t>
            </w:r>
            <w:r w:rsidRPr="00CD3739">
              <w:br/>
              <w:t>Eli Lilly Pty Ltd</w:t>
            </w:r>
          </w:p>
        </w:tc>
      </w:tr>
      <w:tr w:rsidR="00816D93" w:rsidRPr="00A35800" w14:paraId="7A3225BD" w14:textId="77777777" w:rsidTr="00D454F1">
        <w:trPr>
          <w:trHeight w:val="546"/>
          <w:tblHeader/>
        </w:trPr>
        <w:tc>
          <w:tcPr>
            <w:tcW w:w="851" w:type="dxa"/>
            <w:shd w:val="clear" w:color="auto" w:fill="auto"/>
          </w:tcPr>
          <w:p w14:paraId="12A887E4" w14:textId="77777777" w:rsidR="00816D93" w:rsidRPr="00CD3739" w:rsidRDefault="00816D93" w:rsidP="0052799A">
            <w:pPr>
              <w:pStyle w:val="Tablewriting"/>
              <w:rPr>
                <w:lang w:val="en-US"/>
              </w:rPr>
            </w:pPr>
            <w:r w:rsidRPr="00CD3739">
              <w:t>9289X</w:t>
            </w:r>
          </w:p>
        </w:tc>
        <w:tc>
          <w:tcPr>
            <w:tcW w:w="3260" w:type="dxa"/>
            <w:shd w:val="clear" w:color="auto" w:fill="auto"/>
          </w:tcPr>
          <w:p w14:paraId="6671E3E8" w14:textId="77777777" w:rsidR="00816D93" w:rsidRDefault="00816D93" w:rsidP="0052799A">
            <w:pPr>
              <w:pStyle w:val="Tablewriting"/>
            </w:pPr>
            <w:r w:rsidRPr="00CD3739">
              <w:t xml:space="preserve">ATOMOXETINE </w:t>
            </w:r>
          </w:p>
          <w:p w14:paraId="3A413052" w14:textId="77777777" w:rsidR="00816D93" w:rsidRPr="00CD3739" w:rsidRDefault="00816D93" w:rsidP="0052799A">
            <w:pPr>
              <w:pStyle w:val="Tablewriting"/>
              <w:rPr>
                <w:lang w:val="en-US"/>
              </w:rPr>
            </w:pPr>
            <w:r w:rsidRPr="00CD3739">
              <w:t xml:space="preserve">Capsule 80 </w:t>
            </w:r>
            <w:r>
              <w:t>mg, 28</w:t>
            </w:r>
          </w:p>
        </w:tc>
        <w:tc>
          <w:tcPr>
            <w:tcW w:w="992" w:type="dxa"/>
            <w:shd w:val="clear" w:color="auto" w:fill="auto"/>
          </w:tcPr>
          <w:p w14:paraId="71E788FC" w14:textId="77777777" w:rsidR="00816D93" w:rsidRDefault="00816D93" w:rsidP="0052799A">
            <w:pPr>
              <w:pStyle w:val="Tablewriting"/>
            </w:pPr>
            <w:r>
              <w:t>1</w:t>
            </w:r>
          </w:p>
        </w:tc>
        <w:tc>
          <w:tcPr>
            <w:tcW w:w="709" w:type="dxa"/>
            <w:shd w:val="clear" w:color="auto" w:fill="auto"/>
          </w:tcPr>
          <w:p w14:paraId="5A7F2B86" w14:textId="77777777" w:rsidR="00816D93" w:rsidRPr="00CD3739" w:rsidRDefault="00816D93" w:rsidP="0052799A">
            <w:pPr>
              <w:pStyle w:val="Tablewriting"/>
            </w:pPr>
            <w:r w:rsidRPr="00CD3739">
              <w:t>5</w:t>
            </w:r>
          </w:p>
        </w:tc>
        <w:tc>
          <w:tcPr>
            <w:tcW w:w="1040" w:type="dxa"/>
            <w:shd w:val="clear" w:color="auto" w:fill="auto"/>
          </w:tcPr>
          <w:p w14:paraId="5BB596CF" w14:textId="77777777" w:rsidR="00816D93" w:rsidRDefault="00816D93" w:rsidP="0052799A">
            <w:pPr>
              <w:pStyle w:val="Tablewriting"/>
            </w:pPr>
            <w:r>
              <w:t>$147.45</w:t>
            </w:r>
          </w:p>
        </w:tc>
        <w:tc>
          <w:tcPr>
            <w:tcW w:w="2148" w:type="dxa"/>
            <w:shd w:val="clear" w:color="auto" w:fill="auto"/>
          </w:tcPr>
          <w:p w14:paraId="606768F3" w14:textId="77777777" w:rsidR="00816D93" w:rsidRPr="00CD3739" w:rsidRDefault="00816D93" w:rsidP="0052799A">
            <w:pPr>
              <w:pStyle w:val="Tablewriting"/>
            </w:pPr>
            <w:r w:rsidRPr="00CD3739">
              <w:t>Strattera</w:t>
            </w:r>
            <w:r w:rsidRPr="00CD3739">
              <w:br/>
              <w:t>Eli Lilly Pty Ltd</w:t>
            </w:r>
          </w:p>
        </w:tc>
      </w:tr>
      <w:tr w:rsidR="00816D93" w:rsidRPr="00A35800" w14:paraId="2EACF50F" w14:textId="77777777" w:rsidTr="00D454F1">
        <w:trPr>
          <w:trHeight w:val="546"/>
          <w:tblHeader/>
        </w:trPr>
        <w:tc>
          <w:tcPr>
            <w:tcW w:w="851" w:type="dxa"/>
            <w:shd w:val="clear" w:color="auto" w:fill="auto"/>
          </w:tcPr>
          <w:p w14:paraId="70DEC057" w14:textId="77777777" w:rsidR="00816D93" w:rsidRPr="00CD3739" w:rsidRDefault="00816D93" w:rsidP="0052799A">
            <w:pPr>
              <w:pStyle w:val="Tablewriting"/>
              <w:rPr>
                <w:lang w:val="en-US"/>
              </w:rPr>
            </w:pPr>
            <w:r w:rsidRPr="00CD3739">
              <w:t>9290Y</w:t>
            </w:r>
          </w:p>
        </w:tc>
        <w:tc>
          <w:tcPr>
            <w:tcW w:w="3260" w:type="dxa"/>
            <w:shd w:val="clear" w:color="auto" w:fill="auto"/>
          </w:tcPr>
          <w:p w14:paraId="2C85AD09" w14:textId="77777777" w:rsidR="00816D93" w:rsidRDefault="00816D93" w:rsidP="0052799A">
            <w:pPr>
              <w:pStyle w:val="Tablewriting"/>
            </w:pPr>
            <w:r>
              <w:t>ATOMOXETINE</w:t>
            </w:r>
          </w:p>
          <w:p w14:paraId="1F4C0D9C" w14:textId="77777777" w:rsidR="00816D93" w:rsidRPr="00CD3739" w:rsidRDefault="00816D93" w:rsidP="0052799A">
            <w:pPr>
              <w:pStyle w:val="Tablewriting"/>
              <w:rPr>
                <w:lang w:val="en-US"/>
              </w:rPr>
            </w:pPr>
            <w:r w:rsidRPr="00CD3739">
              <w:t xml:space="preserve">Capsule 100 </w:t>
            </w:r>
            <w:r>
              <w:t>mg, 28</w:t>
            </w:r>
          </w:p>
        </w:tc>
        <w:tc>
          <w:tcPr>
            <w:tcW w:w="992" w:type="dxa"/>
            <w:shd w:val="clear" w:color="auto" w:fill="auto"/>
          </w:tcPr>
          <w:p w14:paraId="43B2DD42" w14:textId="77777777" w:rsidR="00816D93" w:rsidRDefault="00816D93" w:rsidP="0052799A">
            <w:pPr>
              <w:pStyle w:val="Tablewriting"/>
            </w:pPr>
            <w:r>
              <w:t>1</w:t>
            </w:r>
          </w:p>
        </w:tc>
        <w:tc>
          <w:tcPr>
            <w:tcW w:w="709" w:type="dxa"/>
            <w:shd w:val="clear" w:color="auto" w:fill="auto"/>
          </w:tcPr>
          <w:p w14:paraId="3FDF00AC" w14:textId="77777777" w:rsidR="00816D93" w:rsidRPr="00CD3739" w:rsidRDefault="00816D93" w:rsidP="0052799A">
            <w:pPr>
              <w:pStyle w:val="Tablewriting"/>
            </w:pPr>
            <w:r w:rsidRPr="00CD3739">
              <w:t>5</w:t>
            </w:r>
          </w:p>
        </w:tc>
        <w:tc>
          <w:tcPr>
            <w:tcW w:w="1040" w:type="dxa"/>
            <w:shd w:val="clear" w:color="auto" w:fill="auto"/>
          </w:tcPr>
          <w:p w14:paraId="69299C33" w14:textId="77777777" w:rsidR="00816D93" w:rsidRDefault="00816D93" w:rsidP="0052799A">
            <w:pPr>
              <w:pStyle w:val="Tablewriting"/>
            </w:pPr>
            <w:r>
              <w:t>$147.45</w:t>
            </w:r>
          </w:p>
        </w:tc>
        <w:tc>
          <w:tcPr>
            <w:tcW w:w="2148" w:type="dxa"/>
            <w:shd w:val="clear" w:color="auto" w:fill="auto"/>
          </w:tcPr>
          <w:p w14:paraId="7C5A48EF" w14:textId="77777777" w:rsidR="00816D93" w:rsidRPr="00CD3739" w:rsidRDefault="00816D93" w:rsidP="0052799A">
            <w:pPr>
              <w:pStyle w:val="Tablewriting"/>
            </w:pPr>
            <w:r w:rsidRPr="00CD3739">
              <w:t>Strattera</w:t>
            </w:r>
            <w:r w:rsidRPr="00CD3739">
              <w:br/>
              <w:t>Eli Lilly Pty Ltd</w:t>
            </w:r>
          </w:p>
        </w:tc>
      </w:tr>
    </w:tbl>
    <w:p w14:paraId="3C41FA12" w14:textId="77777777" w:rsidR="00816D93" w:rsidRDefault="00816D93" w:rsidP="00816D93">
      <w:pPr>
        <w:pStyle w:val="Notes"/>
        <w:spacing w:after="0"/>
      </w:pPr>
      <w:r w:rsidRPr="00A35800">
        <w:t xml:space="preserve">Source: </w:t>
      </w:r>
      <w:r>
        <w:t xml:space="preserve">Department of Health (2015), </w:t>
      </w:r>
      <w:r>
        <w:rPr>
          <w:i/>
        </w:rPr>
        <w:t>Schedule of Pharmaceutical Benefits Effective 1 May 2015</w:t>
      </w:r>
      <w:r>
        <w:t>, Canberra.</w:t>
      </w:r>
    </w:p>
    <w:p w14:paraId="4A23522A" w14:textId="77777777" w:rsidR="00816D93" w:rsidRDefault="00816D93" w:rsidP="00816D93">
      <w:pPr>
        <w:pStyle w:val="Notes"/>
      </w:pPr>
      <w:r w:rsidRPr="00684BEF">
        <w:t>Notes: Novartis</w:t>
      </w:r>
      <w:r>
        <w:t xml:space="preserve"> = Novartis Pharmaceuticals Australia Pty Limited.</w:t>
      </w:r>
    </w:p>
    <w:p w14:paraId="1AFA1485" w14:textId="7FC715CD" w:rsidR="004C3186" w:rsidRPr="004F1E15" w:rsidRDefault="004C3186" w:rsidP="00A526DF">
      <w:pPr>
        <w:pStyle w:val="Heading4"/>
      </w:pPr>
      <w:r w:rsidRPr="004F1E15">
        <w:t>Restriction</w:t>
      </w:r>
      <w:r w:rsidR="006F5219">
        <w:t>s</w:t>
      </w:r>
    </w:p>
    <w:p w14:paraId="32AA5530" w14:textId="77777777" w:rsidR="00816D93" w:rsidRPr="00FB3457" w:rsidRDefault="00816D93" w:rsidP="00816D93">
      <w:pPr>
        <w:pStyle w:val="Heading5"/>
      </w:pPr>
      <w:r w:rsidRPr="00FB3457">
        <w:t>Dexamphetamine</w:t>
      </w:r>
    </w:p>
    <w:p w14:paraId="4B92EAED" w14:textId="77777777" w:rsidR="00816D93" w:rsidRPr="00FB3457" w:rsidRDefault="00816D93" w:rsidP="00816D93">
      <w:pPr>
        <w:rPr>
          <w:rFonts w:cs="Arial"/>
          <w:b/>
          <w:sz w:val="20"/>
          <w:szCs w:val="20"/>
        </w:rPr>
      </w:pPr>
      <w:r w:rsidRPr="00FB3457">
        <w:rPr>
          <w:rFonts w:cs="Arial"/>
          <w:b/>
          <w:sz w:val="20"/>
          <w:szCs w:val="20"/>
        </w:rPr>
        <w:t>Authority required</w:t>
      </w:r>
    </w:p>
    <w:p w14:paraId="5E4B73CB" w14:textId="77777777" w:rsidR="00816D93" w:rsidRPr="00FB3457" w:rsidRDefault="00816D93" w:rsidP="00816D93">
      <w:pPr>
        <w:rPr>
          <w:rFonts w:cs="Arial"/>
          <w:sz w:val="20"/>
          <w:szCs w:val="20"/>
        </w:rPr>
      </w:pPr>
      <w:r w:rsidRPr="00FB3457">
        <w:rPr>
          <w:rFonts w:cs="Arial"/>
          <w:sz w:val="20"/>
          <w:szCs w:val="20"/>
        </w:rPr>
        <w:t>Use in attention deficit hyperactivity disorder, in accordance with State/Territory law</w:t>
      </w:r>
    </w:p>
    <w:p w14:paraId="0FA60997" w14:textId="77777777" w:rsidR="00816D93" w:rsidRPr="00FB3457" w:rsidRDefault="00816D93" w:rsidP="00816D93">
      <w:pPr>
        <w:rPr>
          <w:rFonts w:cs="Arial"/>
          <w:b/>
          <w:sz w:val="20"/>
          <w:szCs w:val="20"/>
        </w:rPr>
      </w:pPr>
      <w:r w:rsidRPr="00FB3457">
        <w:rPr>
          <w:rFonts w:cs="Arial"/>
          <w:b/>
          <w:sz w:val="20"/>
          <w:szCs w:val="20"/>
        </w:rPr>
        <w:t>Authority required</w:t>
      </w:r>
    </w:p>
    <w:p w14:paraId="6FCAAD56" w14:textId="77777777" w:rsidR="00816D93" w:rsidRPr="00FB3457" w:rsidRDefault="00816D93" w:rsidP="00816D93">
      <w:pPr>
        <w:rPr>
          <w:rFonts w:cs="Arial"/>
          <w:sz w:val="20"/>
          <w:szCs w:val="20"/>
        </w:rPr>
      </w:pPr>
      <w:r w:rsidRPr="00FB3457">
        <w:rPr>
          <w:rFonts w:cs="Arial"/>
          <w:sz w:val="20"/>
          <w:szCs w:val="20"/>
        </w:rPr>
        <w:t>Narcolepsy</w:t>
      </w:r>
    </w:p>
    <w:p w14:paraId="4D68A105" w14:textId="77777777" w:rsidR="00816D93" w:rsidRPr="00FB3457" w:rsidRDefault="00816D93" w:rsidP="00816D93">
      <w:pPr>
        <w:rPr>
          <w:rFonts w:cs="Arial"/>
          <w:sz w:val="20"/>
          <w:szCs w:val="20"/>
        </w:rPr>
      </w:pPr>
      <w:r w:rsidRPr="00FB3457">
        <w:rPr>
          <w:rFonts w:cs="Arial"/>
          <w:b/>
          <w:sz w:val="20"/>
          <w:szCs w:val="20"/>
        </w:rPr>
        <w:t>Note:</w:t>
      </w:r>
      <w:r w:rsidRPr="00FB3457">
        <w:rPr>
          <w:rFonts w:cs="Arial"/>
          <w:sz w:val="20"/>
          <w:szCs w:val="20"/>
        </w:rPr>
        <w:t xml:space="preserve"> Care must be taken to comply with the provisions of State/Territory law when prescribing dexamphetamine.</w:t>
      </w:r>
    </w:p>
    <w:p w14:paraId="41F6227F" w14:textId="77777777" w:rsidR="00816D93" w:rsidRPr="00FB3457" w:rsidRDefault="00816D93" w:rsidP="00816D93">
      <w:pPr>
        <w:rPr>
          <w:rFonts w:cs="Arial"/>
          <w:sz w:val="20"/>
          <w:szCs w:val="20"/>
        </w:rPr>
      </w:pPr>
      <w:r w:rsidRPr="00FB3457">
        <w:rPr>
          <w:rFonts w:cs="Arial"/>
          <w:b/>
          <w:sz w:val="20"/>
          <w:szCs w:val="20"/>
        </w:rPr>
        <w:t>Note:</w:t>
      </w:r>
      <w:r w:rsidRPr="00FB3457">
        <w:rPr>
          <w:rFonts w:cs="Arial"/>
          <w:sz w:val="20"/>
          <w:szCs w:val="20"/>
        </w:rPr>
        <w:t xml:space="preserve"> Continuing Therapy Only: For prescribing by nurse practitioners as continuing therapy only, where the treatment of, and prescribing of medicine for, a patient has been initiated by a medical practitioner. Further information can be found in the Explanatory Notes for Nurse Practitioners.</w:t>
      </w:r>
    </w:p>
    <w:p w14:paraId="1A962846" w14:textId="77777777" w:rsidR="00816D93" w:rsidRPr="00FB3457" w:rsidRDefault="00816D93" w:rsidP="00816D93">
      <w:pPr>
        <w:pStyle w:val="Heading5"/>
      </w:pPr>
      <w:r w:rsidRPr="00FB3457">
        <w:t>Methylphenidate</w:t>
      </w:r>
      <w:r>
        <w:t xml:space="preserve"> IR</w:t>
      </w:r>
    </w:p>
    <w:p w14:paraId="0D93B982" w14:textId="77777777" w:rsidR="00816D93" w:rsidRPr="00FB3457" w:rsidRDefault="00816D93" w:rsidP="00816D93">
      <w:pPr>
        <w:rPr>
          <w:rFonts w:cs="Arial"/>
          <w:b/>
          <w:sz w:val="20"/>
          <w:szCs w:val="20"/>
        </w:rPr>
      </w:pPr>
      <w:r w:rsidRPr="00FB3457">
        <w:rPr>
          <w:rFonts w:cs="Arial"/>
          <w:b/>
          <w:sz w:val="20"/>
          <w:szCs w:val="20"/>
        </w:rPr>
        <w:t>Authority required</w:t>
      </w:r>
    </w:p>
    <w:p w14:paraId="77406CEA" w14:textId="77777777" w:rsidR="00816D93" w:rsidRPr="00684BEF" w:rsidRDefault="00816D93" w:rsidP="00816D93">
      <w:pPr>
        <w:rPr>
          <w:rFonts w:cs="Arial"/>
          <w:sz w:val="20"/>
          <w:szCs w:val="20"/>
        </w:rPr>
      </w:pPr>
      <w:r w:rsidRPr="00684BEF">
        <w:rPr>
          <w:rFonts w:cs="Arial"/>
          <w:sz w:val="20"/>
          <w:szCs w:val="20"/>
        </w:rPr>
        <w:t>Use in</w:t>
      </w:r>
      <w:r>
        <w:rPr>
          <w:rFonts w:cs="Arial"/>
          <w:sz w:val="20"/>
          <w:szCs w:val="20"/>
        </w:rPr>
        <w:t xml:space="preserve"> </w:t>
      </w:r>
      <w:r w:rsidRPr="00684BEF">
        <w:rPr>
          <w:rFonts w:cs="Arial"/>
          <w:sz w:val="20"/>
          <w:szCs w:val="20"/>
        </w:rPr>
        <w:t>attention deficit hyperactivity disorder, in accordance with State/Territory law.</w:t>
      </w:r>
    </w:p>
    <w:p w14:paraId="7D9F5227" w14:textId="77777777" w:rsidR="00816D93" w:rsidRPr="00FB3457" w:rsidRDefault="00816D93" w:rsidP="00816D93">
      <w:pPr>
        <w:rPr>
          <w:rFonts w:cs="Arial"/>
          <w:sz w:val="20"/>
          <w:szCs w:val="20"/>
        </w:rPr>
      </w:pPr>
      <w:r w:rsidRPr="00FB3457">
        <w:rPr>
          <w:rFonts w:cs="Arial"/>
          <w:b/>
          <w:sz w:val="20"/>
          <w:szCs w:val="20"/>
        </w:rPr>
        <w:lastRenderedPageBreak/>
        <w:t>Note:</w:t>
      </w:r>
      <w:r w:rsidRPr="00FB3457">
        <w:rPr>
          <w:rFonts w:cs="Arial"/>
          <w:sz w:val="20"/>
          <w:szCs w:val="20"/>
        </w:rPr>
        <w:t xml:space="preserve"> Care must be taken to comply with the provisions of State/Territory law when prescribing methylphenidate hydrochloride.</w:t>
      </w:r>
    </w:p>
    <w:p w14:paraId="641F99D4" w14:textId="77777777" w:rsidR="00816D93" w:rsidRPr="00FB3457" w:rsidRDefault="00816D93" w:rsidP="00816D93">
      <w:pPr>
        <w:rPr>
          <w:rFonts w:cs="Arial"/>
          <w:sz w:val="20"/>
          <w:szCs w:val="20"/>
        </w:rPr>
      </w:pPr>
      <w:r w:rsidRPr="00FB3457">
        <w:rPr>
          <w:rFonts w:cs="Arial"/>
          <w:b/>
          <w:sz w:val="20"/>
          <w:szCs w:val="20"/>
        </w:rPr>
        <w:t>Note:</w:t>
      </w:r>
      <w:r w:rsidRPr="00FB3457">
        <w:rPr>
          <w:rFonts w:cs="Arial"/>
          <w:sz w:val="20"/>
          <w:szCs w:val="20"/>
        </w:rPr>
        <w:t xml:space="preserve"> Continuing Therapy Only: For prescribing by nurse practitioners as continuing therapy only, where the treatment of, and prescribing of medicine for, a patient has been initiated by a medical practitioner. Further information can be found in the Explanatory Notes for Nurse Practitioners.</w:t>
      </w:r>
    </w:p>
    <w:p w14:paraId="3213E4CD" w14:textId="77777777" w:rsidR="00816D93" w:rsidRPr="00FB3457" w:rsidRDefault="00816D93" w:rsidP="00816D93">
      <w:pPr>
        <w:pStyle w:val="Heading5"/>
      </w:pPr>
      <w:r w:rsidRPr="00FB3457">
        <w:t>Methylphenidate</w:t>
      </w:r>
      <w:r>
        <w:t xml:space="preserve"> MR (Ritalin LA®)</w:t>
      </w:r>
    </w:p>
    <w:p w14:paraId="403D523B" w14:textId="77777777" w:rsidR="00816D93" w:rsidRPr="001B3CB8" w:rsidRDefault="00D454F1" w:rsidP="00816D93">
      <w:pPr>
        <w:rPr>
          <w:b/>
          <w:sz w:val="20"/>
          <w:szCs w:val="20"/>
        </w:rPr>
      </w:pPr>
      <w:hyperlink r:id="rId13" w:history="1">
        <w:r w:rsidR="00816D93" w:rsidRPr="001B3CB8">
          <w:rPr>
            <w:b/>
            <w:sz w:val="20"/>
            <w:szCs w:val="20"/>
          </w:rPr>
          <w:t>Authority Required</w:t>
        </w:r>
      </w:hyperlink>
    </w:p>
    <w:p w14:paraId="0B887F66" w14:textId="77777777" w:rsidR="00816D93" w:rsidRDefault="00816D93" w:rsidP="00816D93">
      <w:pPr>
        <w:rPr>
          <w:sz w:val="20"/>
          <w:szCs w:val="20"/>
        </w:rPr>
      </w:pPr>
      <w:r w:rsidRPr="001B3CB8">
        <w:rPr>
          <w:sz w:val="20"/>
          <w:szCs w:val="20"/>
        </w:rPr>
        <w:t xml:space="preserve">Treatment of attention deficit hyperactivity disorder (ADHD) in a patient </w:t>
      </w:r>
      <w:r>
        <w:rPr>
          <w:sz w:val="20"/>
          <w:szCs w:val="20"/>
        </w:rPr>
        <w:t xml:space="preserve">diagnosed between the ages of 6 </w:t>
      </w:r>
      <w:r w:rsidRPr="001B3CB8">
        <w:rPr>
          <w:sz w:val="20"/>
          <w:szCs w:val="20"/>
        </w:rPr>
        <w:t>and 18 years inclusive, who has demonstrated a response to im</w:t>
      </w:r>
      <w:r>
        <w:rPr>
          <w:sz w:val="20"/>
          <w:szCs w:val="20"/>
        </w:rPr>
        <w:t xml:space="preserve">mediate release methylphenidate </w:t>
      </w:r>
      <w:r w:rsidRPr="001B3CB8">
        <w:rPr>
          <w:sz w:val="20"/>
          <w:szCs w:val="20"/>
        </w:rPr>
        <w:t>hydrochloride with no emergence of serious adverse events, and who requires continuous coverage over 8 hours</w:t>
      </w:r>
      <w:r>
        <w:rPr>
          <w:sz w:val="20"/>
          <w:szCs w:val="20"/>
        </w:rPr>
        <w:t>.</w:t>
      </w:r>
    </w:p>
    <w:p w14:paraId="0E8C16FE" w14:textId="77777777" w:rsidR="00816D93" w:rsidRPr="00011633" w:rsidRDefault="00816D93" w:rsidP="00816D93">
      <w:pPr>
        <w:rPr>
          <w:sz w:val="20"/>
          <w:szCs w:val="20"/>
        </w:rPr>
      </w:pPr>
      <w:r w:rsidRPr="00011633">
        <w:rPr>
          <w:b/>
          <w:bCs/>
          <w:sz w:val="20"/>
          <w:szCs w:val="20"/>
        </w:rPr>
        <w:t>Note:</w:t>
      </w:r>
      <w:r w:rsidRPr="00011633">
        <w:rPr>
          <w:sz w:val="20"/>
          <w:szCs w:val="20"/>
        </w:rPr>
        <w:t xml:space="preserve"> Care must be taken to comply with the provisions of State/Territory law when prescribing methylphenidate hydrochloride.</w:t>
      </w:r>
    </w:p>
    <w:p w14:paraId="2F5AC4D3" w14:textId="77777777" w:rsidR="00816D93" w:rsidRDefault="00816D93" w:rsidP="00816D93">
      <w:pPr>
        <w:rPr>
          <w:sz w:val="20"/>
          <w:szCs w:val="20"/>
        </w:rPr>
      </w:pPr>
      <w:r w:rsidRPr="00011633">
        <w:rPr>
          <w:b/>
          <w:bCs/>
          <w:sz w:val="20"/>
          <w:szCs w:val="20"/>
        </w:rPr>
        <w:t>Note:</w:t>
      </w:r>
      <w:r w:rsidRPr="00011633">
        <w:rPr>
          <w:sz w:val="20"/>
          <w:szCs w:val="20"/>
        </w:rPr>
        <w:t xml:space="preserve"> Continuing Therapy Only: For prescribing by nurse practitioners as continuing therapy only, where the treatment of, and prescribing of medicine for, a patient has been initiated by a medical practitioner. Further information can be found in the Explanatory Notes for Nurse Practitioners.</w:t>
      </w:r>
    </w:p>
    <w:p w14:paraId="483D8F1F" w14:textId="77777777" w:rsidR="00816D93" w:rsidRPr="00FB3457" w:rsidRDefault="00816D93" w:rsidP="00816D93">
      <w:pPr>
        <w:pStyle w:val="Heading5"/>
      </w:pPr>
      <w:r w:rsidRPr="00FB3457">
        <w:t>Methylphenidate</w:t>
      </w:r>
      <w:r>
        <w:t xml:space="preserve"> MR (Concerta®)</w:t>
      </w:r>
    </w:p>
    <w:p w14:paraId="7CA86223" w14:textId="77777777" w:rsidR="00816D93" w:rsidRPr="001B3CB8" w:rsidRDefault="00D454F1" w:rsidP="00816D93">
      <w:pPr>
        <w:rPr>
          <w:b/>
          <w:sz w:val="20"/>
          <w:szCs w:val="20"/>
        </w:rPr>
      </w:pPr>
      <w:hyperlink r:id="rId14" w:history="1">
        <w:r w:rsidR="00816D93" w:rsidRPr="001B3CB8">
          <w:rPr>
            <w:b/>
            <w:sz w:val="20"/>
            <w:szCs w:val="20"/>
          </w:rPr>
          <w:t>Authority Required</w:t>
        </w:r>
      </w:hyperlink>
    </w:p>
    <w:p w14:paraId="62C9DCA9" w14:textId="77777777" w:rsidR="00816D93" w:rsidRDefault="00816D93" w:rsidP="00816D93">
      <w:pPr>
        <w:rPr>
          <w:sz w:val="20"/>
          <w:szCs w:val="20"/>
        </w:rPr>
      </w:pPr>
      <w:r w:rsidRPr="001B3CB8">
        <w:rPr>
          <w:sz w:val="20"/>
          <w:szCs w:val="20"/>
        </w:rPr>
        <w:t>Treatment of attention deficit hyperactivity disorder (ADHD) in a patient diagnosed between the ages of 6 and 18 years inclusive, who has demonstrated a response to immediate release methylphenidate hydrochloride with no emergence of serious adverse events, and who requires continuous coverage over 12 hours</w:t>
      </w:r>
      <w:r>
        <w:rPr>
          <w:sz w:val="20"/>
          <w:szCs w:val="20"/>
        </w:rPr>
        <w:t>.</w:t>
      </w:r>
      <w:r w:rsidRPr="001B3CB8">
        <w:rPr>
          <w:sz w:val="20"/>
          <w:szCs w:val="20"/>
        </w:rPr>
        <w:t xml:space="preserve">  </w:t>
      </w:r>
    </w:p>
    <w:p w14:paraId="75233AA6" w14:textId="77777777" w:rsidR="00816D93" w:rsidRPr="00011633" w:rsidRDefault="00816D93" w:rsidP="00816D93">
      <w:pPr>
        <w:rPr>
          <w:sz w:val="20"/>
          <w:szCs w:val="20"/>
        </w:rPr>
      </w:pPr>
      <w:r w:rsidRPr="00011633">
        <w:rPr>
          <w:b/>
          <w:bCs/>
          <w:sz w:val="20"/>
          <w:szCs w:val="20"/>
        </w:rPr>
        <w:t>Note:</w:t>
      </w:r>
      <w:r w:rsidRPr="00011633">
        <w:rPr>
          <w:sz w:val="20"/>
          <w:szCs w:val="20"/>
        </w:rPr>
        <w:t xml:space="preserve"> Care must be taken to comply with the provisions of State/Territory law when prescribing methylphenidate hydrochloride.</w:t>
      </w:r>
    </w:p>
    <w:p w14:paraId="638DEACA" w14:textId="77777777" w:rsidR="00816D93" w:rsidRDefault="00816D93" w:rsidP="00816D93">
      <w:pPr>
        <w:rPr>
          <w:sz w:val="20"/>
          <w:szCs w:val="20"/>
        </w:rPr>
      </w:pPr>
      <w:r w:rsidRPr="00011633">
        <w:rPr>
          <w:b/>
          <w:bCs/>
          <w:sz w:val="20"/>
          <w:szCs w:val="20"/>
        </w:rPr>
        <w:t>Note:</w:t>
      </w:r>
      <w:r w:rsidRPr="00011633">
        <w:rPr>
          <w:sz w:val="20"/>
          <w:szCs w:val="20"/>
        </w:rPr>
        <w:t xml:space="preserve"> Continuing Therapy Only: For prescribing by nurse practitioners as continuing therapy only, where the treatment of, and prescribing of medicine for, a patient has been initiated by a medical practitioner. Further information can be found in the Explanatory Notes for Nurse Practitioners.</w:t>
      </w:r>
    </w:p>
    <w:p w14:paraId="56752438" w14:textId="77777777" w:rsidR="00816D93" w:rsidRPr="00FB3457" w:rsidRDefault="00816D93" w:rsidP="00816D93">
      <w:pPr>
        <w:pStyle w:val="Heading5"/>
      </w:pPr>
      <w:r w:rsidRPr="00FB3457">
        <w:t>Atomoxetine</w:t>
      </w:r>
    </w:p>
    <w:p w14:paraId="66FB5434" w14:textId="77777777" w:rsidR="00816D93" w:rsidRPr="00FB3457" w:rsidRDefault="00816D93" w:rsidP="00816D93">
      <w:pPr>
        <w:keepNext/>
        <w:keepLines/>
        <w:rPr>
          <w:rFonts w:cs="Arial"/>
          <w:b/>
          <w:sz w:val="20"/>
          <w:szCs w:val="20"/>
        </w:rPr>
      </w:pPr>
      <w:r w:rsidRPr="00FB3457">
        <w:rPr>
          <w:rFonts w:cs="Arial"/>
          <w:b/>
          <w:sz w:val="20"/>
          <w:szCs w:val="20"/>
        </w:rPr>
        <w:t>Authority required (STREAMLINED)</w:t>
      </w:r>
    </w:p>
    <w:p w14:paraId="52DA4341" w14:textId="77777777" w:rsidR="00816D93" w:rsidRPr="00FB3457" w:rsidRDefault="00816D93" w:rsidP="00816D93">
      <w:pPr>
        <w:keepNext/>
        <w:keepLines/>
        <w:rPr>
          <w:rFonts w:cs="Arial"/>
          <w:b/>
          <w:i/>
          <w:iCs/>
          <w:sz w:val="20"/>
          <w:szCs w:val="20"/>
        </w:rPr>
      </w:pPr>
      <w:r w:rsidRPr="00FB3457">
        <w:rPr>
          <w:rFonts w:cs="Arial"/>
          <w:b/>
          <w:i/>
          <w:iCs/>
          <w:sz w:val="20"/>
          <w:szCs w:val="20"/>
        </w:rPr>
        <w:t>4591</w:t>
      </w:r>
    </w:p>
    <w:p w14:paraId="1A52F1D4" w14:textId="77777777" w:rsidR="00816D93" w:rsidRPr="00FB3457" w:rsidRDefault="00816D93" w:rsidP="00816D93">
      <w:pPr>
        <w:keepNext/>
        <w:keepLines/>
        <w:rPr>
          <w:rFonts w:cs="Arial"/>
          <w:sz w:val="20"/>
          <w:szCs w:val="20"/>
        </w:rPr>
      </w:pPr>
      <w:r w:rsidRPr="00FB3457">
        <w:rPr>
          <w:rFonts w:cs="Arial"/>
          <w:sz w:val="20"/>
          <w:szCs w:val="20"/>
        </w:rPr>
        <w:t>Attention deficit hyperactivity disorder</w:t>
      </w:r>
    </w:p>
    <w:p w14:paraId="7B1403FD" w14:textId="77777777" w:rsidR="00816D93" w:rsidRPr="00FB3457" w:rsidRDefault="00816D93" w:rsidP="00816D93">
      <w:pPr>
        <w:rPr>
          <w:rFonts w:cs="Arial"/>
          <w:sz w:val="20"/>
          <w:szCs w:val="20"/>
        </w:rPr>
      </w:pPr>
      <w:r w:rsidRPr="00FB3457">
        <w:rPr>
          <w:rFonts w:cs="Arial"/>
          <w:sz w:val="20"/>
          <w:szCs w:val="20"/>
        </w:rPr>
        <w:t>Treatment Phase: Initial treatment</w:t>
      </w:r>
    </w:p>
    <w:p w14:paraId="49EA0708" w14:textId="77777777" w:rsidR="00816D93" w:rsidRPr="00FB3457" w:rsidRDefault="00816D93" w:rsidP="00816D93">
      <w:pPr>
        <w:rPr>
          <w:rFonts w:cs="Arial"/>
          <w:sz w:val="20"/>
          <w:szCs w:val="20"/>
        </w:rPr>
      </w:pPr>
      <w:r w:rsidRPr="00FB3457">
        <w:rPr>
          <w:rFonts w:cs="Arial"/>
          <w:b/>
          <w:sz w:val="20"/>
          <w:szCs w:val="20"/>
        </w:rPr>
        <w:t>Clinical criteria:</w:t>
      </w:r>
      <w:r w:rsidRPr="00FB3457">
        <w:rPr>
          <w:rFonts w:cs="Arial"/>
          <w:sz w:val="20"/>
          <w:szCs w:val="20"/>
        </w:rPr>
        <w:t xml:space="preserve"> The condition must be or have been diagnosed by a paediatrician or psychiatrist according to the DSM-5 criteria, AND</w:t>
      </w:r>
    </w:p>
    <w:p w14:paraId="321C9CFE" w14:textId="77777777" w:rsidR="00816D93" w:rsidRPr="00FB3457" w:rsidRDefault="00816D93" w:rsidP="00816D93">
      <w:pPr>
        <w:rPr>
          <w:rFonts w:cs="Arial"/>
          <w:sz w:val="20"/>
          <w:szCs w:val="20"/>
        </w:rPr>
      </w:pPr>
      <w:r w:rsidRPr="00FB3457">
        <w:rPr>
          <w:rFonts w:cs="Arial"/>
          <w:sz w:val="20"/>
          <w:szCs w:val="20"/>
        </w:rPr>
        <w:t>Patient must have a contraindication to dexamphetamine or methylphenidate as specified in TGA-approved product information; OR</w:t>
      </w:r>
    </w:p>
    <w:p w14:paraId="0EBF8302" w14:textId="77777777" w:rsidR="00816D93" w:rsidRPr="00FB3457" w:rsidRDefault="00816D93" w:rsidP="00816D93">
      <w:pPr>
        <w:rPr>
          <w:rFonts w:cs="Arial"/>
          <w:sz w:val="20"/>
          <w:szCs w:val="20"/>
        </w:rPr>
      </w:pPr>
      <w:r w:rsidRPr="00FB3457">
        <w:rPr>
          <w:rFonts w:cs="Arial"/>
          <w:sz w:val="20"/>
          <w:szCs w:val="20"/>
        </w:rPr>
        <w:t>Patient must have a comorbid mood disorder that has developed or worsened as a result of dexamphetamine or methylphenidate treatment and is of a severity necessitating treatment withdrawal; OR</w:t>
      </w:r>
    </w:p>
    <w:p w14:paraId="6411A92F" w14:textId="77777777" w:rsidR="00816D93" w:rsidRPr="00FB3457" w:rsidRDefault="00816D93" w:rsidP="00816D93">
      <w:pPr>
        <w:rPr>
          <w:rFonts w:cs="Arial"/>
          <w:sz w:val="20"/>
          <w:szCs w:val="20"/>
        </w:rPr>
      </w:pPr>
      <w:r w:rsidRPr="00FB3457">
        <w:rPr>
          <w:rFonts w:cs="Arial"/>
          <w:sz w:val="20"/>
          <w:szCs w:val="20"/>
        </w:rPr>
        <w:t>Patient must be at an unacceptable medical risk of a severity necessitating permanent stimulant treatment withdrawal if given a stimulant</w:t>
      </w:r>
      <w:r>
        <w:rPr>
          <w:rFonts w:cs="Arial"/>
          <w:sz w:val="20"/>
          <w:szCs w:val="20"/>
        </w:rPr>
        <w:t xml:space="preserve"> </w:t>
      </w:r>
      <w:r w:rsidRPr="00FB3457">
        <w:rPr>
          <w:rFonts w:cs="Arial"/>
          <w:sz w:val="20"/>
          <w:szCs w:val="20"/>
        </w:rPr>
        <w:t>treatment with another agent; OR</w:t>
      </w:r>
    </w:p>
    <w:p w14:paraId="14945887" w14:textId="77777777" w:rsidR="00816D93" w:rsidRPr="00FB3457" w:rsidRDefault="00816D93" w:rsidP="00816D93">
      <w:pPr>
        <w:rPr>
          <w:rFonts w:cs="Arial"/>
          <w:sz w:val="20"/>
          <w:szCs w:val="20"/>
        </w:rPr>
      </w:pPr>
      <w:r w:rsidRPr="00FB3457">
        <w:rPr>
          <w:rFonts w:cs="Arial"/>
          <w:sz w:val="20"/>
          <w:szCs w:val="20"/>
        </w:rPr>
        <w:lastRenderedPageBreak/>
        <w:t>Patient must have experienced adverse reactions of a severity necessitating permanent treatment withdrawal following treatment with dexamphetamine and treatment with methylphenidate (not simultaneously).</w:t>
      </w:r>
    </w:p>
    <w:p w14:paraId="1A14EE77" w14:textId="77777777" w:rsidR="00816D93" w:rsidRPr="00FB3457" w:rsidRDefault="00816D93" w:rsidP="00816D93">
      <w:pPr>
        <w:rPr>
          <w:rFonts w:cs="Arial"/>
          <w:b/>
          <w:sz w:val="20"/>
          <w:szCs w:val="20"/>
        </w:rPr>
      </w:pPr>
      <w:r w:rsidRPr="00FB3457">
        <w:rPr>
          <w:rFonts w:cs="Arial"/>
          <w:b/>
          <w:sz w:val="20"/>
          <w:szCs w:val="20"/>
        </w:rPr>
        <w:t xml:space="preserve">Population criteria: </w:t>
      </w:r>
      <w:r w:rsidRPr="00FB3457">
        <w:rPr>
          <w:rFonts w:cs="Arial"/>
          <w:sz w:val="20"/>
          <w:szCs w:val="20"/>
        </w:rPr>
        <w:t>Patient must be or have been diagnosed between the ages of 6 and 18 years inclusive.</w:t>
      </w:r>
    </w:p>
    <w:p w14:paraId="300D0048" w14:textId="77777777" w:rsidR="00816D93" w:rsidRPr="00FB3457" w:rsidRDefault="00816D93" w:rsidP="00816D93">
      <w:pPr>
        <w:rPr>
          <w:rFonts w:cs="Arial"/>
          <w:b/>
          <w:sz w:val="20"/>
          <w:szCs w:val="20"/>
        </w:rPr>
      </w:pPr>
      <w:r w:rsidRPr="00FB3457">
        <w:rPr>
          <w:rFonts w:cs="Arial"/>
          <w:b/>
          <w:sz w:val="20"/>
          <w:szCs w:val="20"/>
        </w:rPr>
        <w:t>Authority required (STREAMLINED)</w:t>
      </w:r>
    </w:p>
    <w:p w14:paraId="7DD094B5" w14:textId="77777777" w:rsidR="00816D93" w:rsidRPr="00FB3457" w:rsidRDefault="00816D93" w:rsidP="00816D93">
      <w:pPr>
        <w:rPr>
          <w:rFonts w:cs="Arial"/>
          <w:b/>
          <w:i/>
          <w:iCs/>
          <w:sz w:val="20"/>
          <w:szCs w:val="20"/>
        </w:rPr>
      </w:pPr>
      <w:r w:rsidRPr="00FB3457">
        <w:rPr>
          <w:rFonts w:cs="Arial"/>
          <w:b/>
          <w:i/>
          <w:iCs/>
          <w:sz w:val="20"/>
          <w:szCs w:val="20"/>
        </w:rPr>
        <w:t>4578</w:t>
      </w:r>
    </w:p>
    <w:p w14:paraId="45E5D9B1" w14:textId="77777777" w:rsidR="00816D93" w:rsidRPr="00FB3457" w:rsidRDefault="00816D93" w:rsidP="00816D93">
      <w:pPr>
        <w:rPr>
          <w:rFonts w:cs="Arial"/>
          <w:sz w:val="20"/>
          <w:szCs w:val="20"/>
        </w:rPr>
      </w:pPr>
      <w:r w:rsidRPr="00FB3457">
        <w:rPr>
          <w:rFonts w:cs="Arial"/>
          <w:sz w:val="20"/>
          <w:szCs w:val="20"/>
        </w:rPr>
        <w:t>Attention deficit hyperactivity disorder</w:t>
      </w:r>
    </w:p>
    <w:p w14:paraId="1DDD3165" w14:textId="77777777" w:rsidR="00816D93" w:rsidRPr="00FB3457" w:rsidRDefault="00816D93" w:rsidP="00816D93">
      <w:pPr>
        <w:rPr>
          <w:rFonts w:cs="Arial"/>
          <w:sz w:val="20"/>
          <w:szCs w:val="20"/>
        </w:rPr>
      </w:pPr>
      <w:r w:rsidRPr="00FB3457">
        <w:rPr>
          <w:rFonts w:cs="Arial"/>
          <w:sz w:val="20"/>
          <w:szCs w:val="20"/>
        </w:rPr>
        <w:t>Treatment Phase: Continuing treatment</w:t>
      </w:r>
    </w:p>
    <w:p w14:paraId="49BCBE37" w14:textId="77777777" w:rsidR="00816D93" w:rsidRPr="00FB3457" w:rsidRDefault="00816D93" w:rsidP="00816D93">
      <w:pPr>
        <w:rPr>
          <w:rFonts w:cs="Arial"/>
          <w:b/>
          <w:sz w:val="20"/>
          <w:szCs w:val="20"/>
        </w:rPr>
      </w:pPr>
      <w:r w:rsidRPr="00FB3457">
        <w:rPr>
          <w:rFonts w:cs="Arial"/>
          <w:b/>
          <w:sz w:val="20"/>
          <w:szCs w:val="20"/>
        </w:rPr>
        <w:t xml:space="preserve">Clinical criteria: </w:t>
      </w:r>
      <w:r w:rsidRPr="00FB3457">
        <w:rPr>
          <w:rFonts w:cs="Arial"/>
          <w:sz w:val="20"/>
          <w:szCs w:val="20"/>
        </w:rPr>
        <w:t>Patient must have previously been issued with an authority prescription for this drug.</w:t>
      </w:r>
    </w:p>
    <w:p w14:paraId="68DA2B9B" w14:textId="77777777" w:rsidR="00816D93" w:rsidRPr="00FB3457" w:rsidRDefault="00816D93" w:rsidP="00816D93">
      <w:pPr>
        <w:rPr>
          <w:rFonts w:cs="Arial"/>
          <w:sz w:val="20"/>
          <w:szCs w:val="20"/>
        </w:rPr>
      </w:pPr>
      <w:r w:rsidRPr="00FB3457">
        <w:rPr>
          <w:rFonts w:cs="Arial"/>
          <w:b/>
          <w:sz w:val="20"/>
          <w:szCs w:val="20"/>
        </w:rPr>
        <w:t>Note:</w:t>
      </w:r>
      <w:r w:rsidRPr="00FB3457">
        <w:rPr>
          <w:rFonts w:cs="Arial"/>
          <w:sz w:val="20"/>
          <w:szCs w:val="20"/>
        </w:rPr>
        <w:t xml:space="preserve"> No increase in the maximum quantity or number of units may be authorised.</w:t>
      </w:r>
    </w:p>
    <w:p w14:paraId="14C7BB2B" w14:textId="77777777" w:rsidR="00816D93" w:rsidRPr="00FB3457" w:rsidRDefault="00816D93" w:rsidP="00816D93">
      <w:pPr>
        <w:rPr>
          <w:rFonts w:cs="Arial"/>
          <w:sz w:val="20"/>
          <w:szCs w:val="20"/>
        </w:rPr>
      </w:pPr>
      <w:r w:rsidRPr="00FB3457">
        <w:rPr>
          <w:rFonts w:cs="Arial"/>
          <w:b/>
          <w:sz w:val="20"/>
          <w:szCs w:val="20"/>
        </w:rPr>
        <w:t>Note:</w:t>
      </w:r>
      <w:r w:rsidRPr="00FB3457">
        <w:rPr>
          <w:rFonts w:cs="Arial"/>
          <w:sz w:val="20"/>
          <w:szCs w:val="20"/>
        </w:rPr>
        <w:t xml:space="preserve"> No increase in the maximum number of repeats may be authorised.</w:t>
      </w:r>
    </w:p>
    <w:p w14:paraId="0FD48BB2" w14:textId="77777777" w:rsidR="00816D93" w:rsidRPr="002F61CA" w:rsidRDefault="00816D93" w:rsidP="00816D93">
      <w:r w:rsidRPr="002F61CA">
        <w:t xml:space="preserve">Current PBS listing details are available from </w:t>
      </w:r>
      <w:r>
        <w:t xml:space="preserve">the </w:t>
      </w:r>
      <w:hyperlink r:id="rId15" w:history="1">
        <w:r w:rsidRPr="00645D51">
          <w:rPr>
            <w:rStyle w:val="Hyperlink"/>
          </w:rPr>
          <w:t>PBS website</w:t>
        </w:r>
      </w:hyperlink>
      <w:r>
        <w:t>.</w:t>
      </w:r>
    </w:p>
    <w:p w14:paraId="509ADFEB" w14:textId="5D8DB94B" w:rsidR="009C35F2" w:rsidRDefault="009C35F2" w:rsidP="00A526DF">
      <w:pPr>
        <w:pStyle w:val="Heading4"/>
      </w:pPr>
      <w:r w:rsidRPr="00675BB1">
        <w:t>Date of listing on PBS</w:t>
      </w:r>
    </w:p>
    <w:p w14:paraId="024EEB45" w14:textId="77777777" w:rsidR="00A526DF" w:rsidRDefault="00A526DF" w:rsidP="00A526DF">
      <w:r>
        <w:t xml:space="preserve">The dates of listing and changes to listing for these medicines are available in </w:t>
      </w:r>
      <w:r w:rsidRPr="0046147D">
        <w:rPr>
          <w:u w:val="single"/>
        </w:rPr>
        <w:t xml:space="preserve">Appendix </w:t>
      </w:r>
      <w:r>
        <w:rPr>
          <w:u w:val="single"/>
        </w:rPr>
        <w:t>B</w:t>
      </w:r>
      <w:r>
        <w:t xml:space="preserve">. </w:t>
      </w:r>
    </w:p>
    <w:p w14:paraId="615F5EAF" w14:textId="77777777" w:rsidR="00A526DF" w:rsidRPr="002F61CA" w:rsidRDefault="00A526DF" w:rsidP="00A526DF">
      <w:r w:rsidRPr="002F61CA">
        <w:t xml:space="preserve">Current PBS listing details are available from </w:t>
      </w:r>
      <w:r>
        <w:t xml:space="preserve">the </w:t>
      </w:r>
      <w:hyperlink r:id="rId16" w:history="1">
        <w:r w:rsidRPr="00645D51">
          <w:rPr>
            <w:rStyle w:val="Hyperlink"/>
          </w:rPr>
          <w:t>PBS website</w:t>
        </w:r>
      </w:hyperlink>
      <w:r>
        <w:t>.</w:t>
      </w:r>
    </w:p>
    <w:p w14:paraId="383E312E" w14:textId="391486DA" w:rsidR="00736041" w:rsidRPr="006C4620" w:rsidRDefault="00C41246" w:rsidP="00AA4BC3">
      <w:pPr>
        <w:pStyle w:val="Heading3"/>
      </w:pPr>
      <w:r w:rsidRPr="006C4620">
        <w:t xml:space="preserve">Relevant aspects of </w:t>
      </w:r>
      <w:r w:rsidR="0063021F" w:rsidRPr="006C4620">
        <w:t xml:space="preserve">the PBAC </w:t>
      </w:r>
      <w:r w:rsidR="00736041" w:rsidRPr="006C4620">
        <w:t>consideration</w:t>
      </w:r>
    </w:p>
    <w:p w14:paraId="6D59A852" w14:textId="77777777" w:rsidR="00816D93" w:rsidRPr="00B379EC" w:rsidRDefault="00816D93" w:rsidP="00A526DF">
      <w:pPr>
        <w:pStyle w:val="Heading4"/>
      </w:pPr>
      <w:r>
        <w:t>Methylphenidate I</w:t>
      </w:r>
      <w:r w:rsidRPr="00B379EC">
        <w:t>R</w:t>
      </w:r>
    </w:p>
    <w:p w14:paraId="239B3AD7" w14:textId="77777777" w:rsidR="00816D93" w:rsidRPr="00BE62FE" w:rsidRDefault="00816D93" w:rsidP="00816D93">
      <w:r>
        <w:t>At the March 2005 meeting, the PBAC recommended listing on a cost-minimisation basis compared to dexamphetamine sulfate, with the equi-effective doses being methylphenidate hydrochloride 10 mg and dexamphetamine sulfate 5 mg.</w:t>
      </w:r>
      <w:r>
        <w:rPr>
          <w:rStyle w:val="EndnoteReference"/>
        </w:rPr>
        <w:endnoteReference w:id="17"/>
      </w:r>
      <w:r>
        <w:t xml:space="preserve"> The PBAC was concerned over the possible extent of use of the product and requested that the DUSC monitor this. </w:t>
      </w:r>
    </w:p>
    <w:p w14:paraId="152D16E9" w14:textId="77777777" w:rsidR="00816D93" w:rsidRPr="00B379EC" w:rsidRDefault="00816D93" w:rsidP="00A526DF">
      <w:pPr>
        <w:pStyle w:val="Heading4"/>
      </w:pPr>
      <w:r>
        <w:t>Methylphenidate MR</w:t>
      </w:r>
      <w:r w:rsidRPr="00B379EC">
        <w:t xml:space="preserve"> (Concerta</w:t>
      </w:r>
      <w:r w:rsidRPr="00B379EC">
        <w:rPr>
          <w:vertAlign w:val="superscript"/>
        </w:rPr>
        <w:t>®</w:t>
      </w:r>
      <w:r w:rsidRPr="00B379EC">
        <w:t>)</w:t>
      </w:r>
    </w:p>
    <w:p w14:paraId="7DD4A316" w14:textId="77777777" w:rsidR="00816D93" w:rsidRDefault="00816D93" w:rsidP="00816D93">
      <w:pPr>
        <w:rPr>
          <w:lang w:val="en-US" w:eastAsia="en-US"/>
        </w:rPr>
      </w:pPr>
      <w:r w:rsidRPr="00312504">
        <w:rPr>
          <w:bCs/>
        </w:rPr>
        <w:t xml:space="preserve">At the November 2006 meeting the PBAC recommended </w:t>
      </w:r>
      <w:r w:rsidRPr="00312504">
        <w:rPr>
          <w:lang w:val="en-US" w:eastAsia="en-US"/>
        </w:rPr>
        <w:t xml:space="preserve">listing of </w:t>
      </w:r>
      <w:r>
        <w:rPr>
          <w:lang w:val="en-US" w:eastAsia="en-US"/>
        </w:rPr>
        <w:t>m</w:t>
      </w:r>
      <w:r>
        <w:rPr>
          <w:bCs/>
        </w:rPr>
        <w:t>ethylphenidate M</w:t>
      </w:r>
      <w:r w:rsidRPr="00312504">
        <w:rPr>
          <w:bCs/>
        </w:rPr>
        <w:t>R (Concerta</w:t>
      </w:r>
      <w:r w:rsidRPr="00312504">
        <w:rPr>
          <w:vertAlign w:val="superscript"/>
        </w:rPr>
        <w:t>®</w:t>
      </w:r>
      <w:r w:rsidRPr="00312504">
        <w:rPr>
          <w:bCs/>
        </w:rPr>
        <w:t xml:space="preserve">) </w:t>
      </w:r>
      <w:r w:rsidRPr="00312504">
        <w:rPr>
          <w:lang w:val="en-US" w:eastAsia="en-US"/>
        </w:rPr>
        <w:t>as an authority required benefit on a cost effectiveness basis over methylphenidate</w:t>
      </w:r>
      <w:r>
        <w:rPr>
          <w:lang w:val="en-US" w:eastAsia="en-US"/>
        </w:rPr>
        <w:t xml:space="preserve"> IR</w:t>
      </w:r>
      <w:r w:rsidRPr="00312504">
        <w:rPr>
          <w:lang w:val="en-US" w:eastAsia="en-US"/>
        </w:rPr>
        <w:t xml:space="preserve">. Although the extent of any clinical benefit over methylphenidate </w:t>
      </w:r>
      <w:r>
        <w:rPr>
          <w:lang w:val="en-US" w:eastAsia="en-US"/>
        </w:rPr>
        <w:t>IR remained</w:t>
      </w:r>
      <w:r w:rsidRPr="00312504">
        <w:rPr>
          <w:lang w:val="en-US" w:eastAsia="en-US"/>
        </w:rPr>
        <w:t xml:space="preserve"> uncertain, the Committee agreed that the likely improvements in compliance and in ease of administration, particularly in relation to the removal of the need for a dose of medication at school, were sufficient to justify listing.</w:t>
      </w:r>
      <w:r>
        <w:rPr>
          <w:rStyle w:val="EndnoteReference"/>
          <w:lang w:val="en-US" w:eastAsia="en-US"/>
        </w:rPr>
        <w:endnoteReference w:id="18"/>
      </w:r>
      <w:r>
        <w:rPr>
          <w:lang w:val="en-US" w:eastAsia="en-US"/>
        </w:rPr>
        <w:t xml:space="preserve"> </w:t>
      </w:r>
    </w:p>
    <w:p w14:paraId="618176E8" w14:textId="77777777" w:rsidR="00816D93" w:rsidRPr="00312504" w:rsidRDefault="00816D93" w:rsidP="00816D93">
      <w:pPr>
        <w:rPr>
          <w:lang w:val="en-US" w:eastAsia="en-US"/>
        </w:rPr>
      </w:pPr>
      <w:r>
        <w:rPr>
          <w:lang w:val="en-US" w:eastAsia="en-US"/>
        </w:rPr>
        <w:t>In July 2012 the PBAC rejected a submission to extend the listing to include patients diagnosed with ADHD after the age of 18 years, on the basis of uncertain efficacy and safety in the proposed population, and high and highly uncertain cost to the PBS.</w:t>
      </w:r>
      <w:r>
        <w:rPr>
          <w:rStyle w:val="EndnoteReference"/>
          <w:lang w:val="en-US" w:eastAsia="en-US"/>
        </w:rPr>
        <w:endnoteReference w:id="19"/>
      </w:r>
      <w:r w:rsidRPr="00312504">
        <w:rPr>
          <w:lang w:val="en-US" w:eastAsia="en-US"/>
        </w:rPr>
        <w:t xml:space="preserve"> </w:t>
      </w:r>
    </w:p>
    <w:p w14:paraId="3EBB7C1F" w14:textId="77777777" w:rsidR="00816D93" w:rsidRPr="00B379EC" w:rsidRDefault="00816D93" w:rsidP="00A526DF">
      <w:pPr>
        <w:pStyle w:val="Heading4"/>
      </w:pPr>
      <w:r>
        <w:lastRenderedPageBreak/>
        <w:t>Methylphenidate MR</w:t>
      </w:r>
      <w:r w:rsidRPr="00B379EC">
        <w:t xml:space="preserve"> (Ritalin LA</w:t>
      </w:r>
      <w:r w:rsidRPr="00B379EC">
        <w:rPr>
          <w:vertAlign w:val="superscript"/>
        </w:rPr>
        <w:t>®</w:t>
      </w:r>
      <w:r w:rsidRPr="00B379EC">
        <w:t>)</w:t>
      </w:r>
    </w:p>
    <w:p w14:paraId="399582EF" w14:textId="77777777" w:rsidR="00816D93" w:rsidRDefault="00816D93" w:rsidP="00816D93">
      <w:r>
        <w:t xml:space="preserve">In November 2007, </w:t>
      </w:r>
      <w:r w:rsidRPr="00312504">
        <w:t xml:space="preserve">the PBAC recommended </w:t>
      </w:r>
      <w:r w:rsidRPr="00312504">
        <w:rPr>
          <w:lang w:val="en-US" w:eastAsia="en-US"/>
        </w:rPr>
        <w:t xml:space="preserve">listing </w:t>
      </w:r>
      <w:r w:rsidRPr="00312504">
        <w:t xml:space="preserve">of methylphenidate hydrochloride </w:t>
      </w:r>
      <w:r>
        <w:t xml:space="preserve">modified </w:t>
      </w:r>
      <w:r w:rsidRPr="00312504">
        <w:t xml:space="preserve">release </w:t>
      </w:r>
      <w:r>
        <w:t xml:space="preserve">(Ritalin LA®) </w:t>
      </w:r>
      <w:r w:rsidRPr="00312504">
        <w:t xml:space="preserve">capsules on the PBS on a cost-minimisation basis compared with methylphenidate hydrochloride </w:t>
      </w:r>
      <w:r>
        <w:t xml:space="preserve">modified </w:t>
      </w:r>
      <w:r w:rsidRPr="00312504">
        <w:t>release tablets (Concerta</w:t>
      </w:r>
      <w:r w:rsidRPr="00312504">
        <w:rPr>
          <w:vertAlign w:val="superscript"/>
        </w:rPr>
        <w:t>®</w:t>
      </w:r>
      <w:r>
        <w:t xml:space="preserve">) at </w:t>
      </w:r>
      <w:r w:rsidRPr="00312504">
        <w:t>the same price per day, as reflected by the equi-effective doses.</w:t>
      </w:r>
      <w:r>
        <w:rPr>
          <w:rStyle w:val="EndnoteReference"/>
        </w:rPr>
        <w:endnoteReference w:id="20"/>
      </w:r>
      <w:r>
        <w:t xml:space="preserve"> </w:t>
      </w:r>
    </w:p>
    <w:p w14:paraId="37CCE437" w14:textId="77777777" w:rsidR="00816D93" w:rsidRDefault="00816D93" w:rsidP="00A526DF">
      <w:pPr>
        <w:pStyle w:val="Heading4"/>
      </w:pPr>
      <w:r>
        <w:t>Atomoxetine (Strattera®)</w:t>
      </w:r>
    </w:p>
    <w:p w14:paraId="4A5BE035" w14:textId="77777777" w:rsidR="00816D93" w:rsidRDefault="00816D93" w:rsidP="00816D93">
      <w:r>
        <w:t>The PBAC recommended the listing of atomoxetine (Strattera®) 10 mg, 18mg, 25 mg, 40 mg and 60 mg in November 2006, on a cost-effectiveness basis over placebo. The PBAC considered that there was a clinical need for the product and that the proposed restriction targeted the appropriate population.</w:t>
      </w:r>
      <w:r>
        <w:rPr>
          <w:rStyle w:val="EndnoteReference"/>
        </w:rPr>
        <w:endnoteReference w:id="21"/>
      </w:r>
    </w:p>
    <w:p w14:paraId="41B51D02" w14:textId="77777777" w:rsidR="00816D93" w:rsidRDefault="00816D93" w:rsidP="00816D93">
      <w:r>
        <w:t>In July 2008, the PBAC recommended the listing of two additional strengths of atomoxetine (Strattera®), 80 mg and 100 mg, but rejected a submission to extend the use of atomoxetine to patients diagnosed with ADHD as adults due to insufficient evidence of clinical and cost-effectiveness. The submission claimed that the new strengths were unlikely to increase atomoxetine use or cost to the PBS.</w:t>
      </w:r>
      <w:r>
        <w:rPr>
          <w:rStyle w:val="EndnoteReference"/>
        </w:rPr>
        <w:endnoteReference w:id="22"/>
      </w:r>
      <w:r>
        <w:t xml:space="preserve"> </w:t>
      </w:r>
    </w:p>
    <w:p w14:paraId="5C26A1B4" w14:textId="77777777" w:rsidR="00816D93" w:rsidRPr="006F2E14" w:rsidRDefault="00816D93" w:rsidP="00816D93">
      <w:pPr>
        <w:pStyle w:val="ListParagraph"/>
        <w:ind w:left="0"/>
        <w:jc w:val="both"/>
        <w:rPr>
          <w:rFonts w:ascii="Arial" w:hAnsi="Arial"/>
          <w:sz w:val="20"/>
          <w:szCs w:val="20"/>
        </w:rPr>
      </w:pPr>
      <w:r>
        <w:t xml:space="preserve">In March 2014, the PBAC recommended that the current Authority Required restriction for atomoxetine be changed to Authority Required (STREAMLINED). </w:t>
      </w:r>
    </w:p>
    <w:p w14:paraId="51165746" w14:textId="77777777" w:rsidR="00816D93" w:rsidRPr="00F65F0D" w:rsidRDefault="00816D93" w:rsidP="00816D93">
      <w:r>
        <w:t>Copies</w:t>
      </w:r>
      <w:r w:rsidRPr="00F65F0D">
        <w:t xml:space="preserve"> of the </w:t>
      </w:r>
      <w:r>
        <w:t xml:space="preserve">PBAC Meeting Outcomes and </w:t>
      </w:r>
      <w:r w:rsidRPr="00F65F0D">
        <w:t>Public Summary Doc</w:t>
      </w:r>
      <w:r>
        <w:t xml:space="preserve">uments are available on the </w:t>
      </w:r>
      <w:hyperlink r:id="rId17" w:history="1">
        <w:r w:rsidRPr="00D96D3F">
          <w:rPr>
            <w:rStyle w:val="Hyperlink"/>
          </w:rPr>
          <w:t>PBAC Meetings</w:t>
        </w:r>
      </w:hyperlink>
      <w:r>
        <w:t xml:space="preserve"> website.</w:t>
      </w:r>
    </w:p>
    <w:p w14:paraId="0DEBD50F" w14:textId="15FAF547" w:rsidR="00094DCF" w:rsidRPr="005C25A2" w:rsidRDefault="00ED633B" w:rsidP="00AA4BC3">
      <w:pPr>
        <w:pStyle w:val="Heading3"/>
      </w:pPr>
      <w:r w:rsidRPr="005C25A2">
        <w:t xml:space="preserve">Previous reviews by </w:t>
      </w:r>
      <w:r w:rsidR="005C597F" w:rsidRPr="005C25A2">
        <w:t xml:space="preserve">the </w:t>
      </w:r>
      <w:r w:rsidRPr="005C25A2">
        <w:t>DUSC</w:t>
      </w:r>
    </w:p>
    <w:p w14:paraId="109A2EEE" w14:textId="1A657D8C" w:rsidR="00816D93" w:rsidRDefault="004E4845" w:rsidP="00816D93">
      <w:r>
        <w:t xml:space="preserve">The </w:t>
      </w:r>
      <w:r w:rsidR="00816D93">
        <w:t xml:space="preserve">DUSC </w:t>
      </w:r>
      <w:r w:rsidR="00816D93" w:rsidRPr="003428AB">
        <w:t>reviewed this therapeutic area in October 2010,</w:t>
      </w:r>
      <w:r w:rsidR="00816D93">
        <w:t xml:space="preserve"> as part of </w:t>
      </w:r>
      <w:r w:rsidR="00816D93" w:rsidRPr="003428AB">
        <w:t>the 24 month Predicted versus Actual (PvA) review of atomoxetine</w:t>
      </w:r>
      <w:r w:rsidR="00816D93">
        <w:t>.</w:t>
      </w:r>
      <w:r w:rsidR="00816D93" w:rsidRPr="003428AB">
        <w:t xml:space="preserve"> </w:t>
      </w:r>
      <w:r w:rsidR="009B447F">
        <w:t xml:space="preserve"> The </w:t>
      </w:r>
      <w:r w:rsidR="00816D93">
        <w:t>DUSC noted that there was lower than expected utilisation of atomoxetine, which may have been influenced by the listing of Concerta® three months before the listing of atomoxetine and possible over-estimation of the number of patients with the required contraindications to stimulants to meet the restriction.</w:t>
      </w:r>
      <w:r w:rsidR="002B64EF">
        <w:rPr>
          <w:rStyle w:val="EndnoteReference"/>
        </w:rPr>
        <w:endnoteReference w:id="23"/>
      </w:r>
      <w:r w:rsidR="00816D93">
        <w:t xml:space="preserve"> </w:t>
      </w:r>
    </w:p>
    <w:p w14:paraId="060725A0" w14:textId="428E1AB5" w:rsidR="00816D93" w:rsidRDefault="009B447F" w:rsidP="00816D93">
      <w:r>
        <w:t xml:space="preserve">The </w:t>
      </w:r>
      <w:r w:rsidR="00816D93">
        <w:t>DUSC reviewed ADHD medicines again in June 2012, with further analyses requested by the DUSC considered in October 2012.</w:t>
      </w:r>
      <w:r w:rsidR="002B64EF">
        <w:rPr>
          <w:rStyle w:val="EndnoteReference"/>
        </w:rPr>
        <w:endnoteReference w:id="24"/>
      </w:r>
      <w:r w:rsidR="00816D93">
        <w:t xml:space="preserve"> Key findings were:</w:t>
      </w:r>
    </w:p>
    <w:p w14:paraId="5B3B1156" w14:textId="77777777" w:rsidR="00816D93" w:rsidRDefault="00816D93" w:rsidP="0033642D">
      <w:pPr>
        <w:pStyle w:val="ListParagraph"/>
        <w:numPr>
          <w:ilvl w:val="0"/>
          <w:numId w:val="7"/>
        </w:numPr>
      </w:pPr>
      <w:r>
        <w:t xml:space="preserve">Overall, the analyses suggested steady growth in the utilisation of ADHD medicines between January 2005 and October 2011. </w:t>
      </w:r>
    </w:p>
    <w:p w14:paraId="04150283" w14:textId="77777777" w:rsidR="00816D93" w:rsidRPr="00003C7E" w:rsidRDefault="00816D93" w:rsidP="0033642D">
      <w:pPr>
        <w:pStyle w:val="ListParagraph"/>
        <w:numPr>
          <w:ilvl w:val="0"/>
          <w:numId w:val="7"/>
        </w:numPr>
      </w:pPr>
      <w:r>
        <w:t>PBS benefits paid for ADHD medicines in November 2010–October 2011 totalled around $24.6 million, up 4.2% from the previous year. The highest cost medicine to the PBS was Concerta® at $11.2 million, followed by atomoxetine at $6.2 million, despite its low utilisation.</w:t>
      </w:r>
    </w:p>
    <w:p w14:paraId="350E0F24" w14:textId="77777777" w:rsidR="00816D93" w:rsidRDefault="00816D93" w:rsidP="0033642D">
      <w:pPr>
        <w:pStyle w:val="ListParagraph"/>
        <w:numPr>
          <w:ilvl w:val="0"/>
          <w:numId w:val="7"/>
        </w:numPr>
      </w:pPr>
      <w:r>
        <w:t xml:space="preserve">Initiation to ADHD medicines is highest in patients aged 5–10 years, peaking at 7 years of age. Methylphenidate IR is the most commonly initiated medicine in children, while adults and late teens most commonly initiate dexamphetamine. Of concessional patients initiating ADHD medicines in 2011, 63% were male. Inclusion of </w:t>
      </w:r>
      <w:r>
        <w:lastRenderedPageBreak/>
        <w:t xml:space="preserve">general patients by analysis of authority approvals data did not significantly affect the distribution of initiating ADHD drug by patient age. </w:t>
      </w:r>
    </w:p>
    <w:p w14:paraId="7767B0B7" w14:textId="77777777" w:rsidR="00816D93" w:rsidRDefault="00816D93" w:rsidP="0033642D">
      <w:pPr>
        <w:pStyle w:val="ListParagraph"/>
        <w:numPr>
          <w:ilvl w:val="0"/>
          <w:numId w:val="7"/>
        </w:numPr>
        <w:spacing w:after="0"/>
      </w:pPr>
      <w:r>
        <w:t xml:space="preserve">When considering all people treated with ADHD medicines, highest use was in children aged 10 years. </w:t>
      </w:r>
    </w:p>
    <w:p w14:paraId="5FF3581C" w14:textId="099796E4" w:rsidR="00816D93" w:rsidRPr="00580708" w:rsidRDefault="00816D93" w:rsidP="0033642D">
      <w:pPr>
        <w:pStyle w:val="ListParagraph"/>
        <w:numPr>
          <w:ilvl w:val="0"/>
          <w:numId w:val="7"/>
        </w:numPr>
        <w:spacing w:after="0"/>
      </w:pPr>
      <w:r>
        <w:t>ADHD drug utilisation rates and trends vary significantly by state/territory.</w:t>
      </w:r>
      <w:r w:rsidR="00256720">
        <w:t xml:space="preserve"> In the years 2006 to 2011, t</w:t>
      </w:r>
      <w:r>
        <w:t>he approvals per 1000 population for dexamphetamine in WA were at least 4 times that of other states or territories</w:t>
      </w:r>
      <w:r w:rsidR="00256720">
        <w:t xml:space="preserve">, </w:t>
      </w:r>
      <w:r>
        <w:t>with the exception of the ACT. The difference was primarily due a high rate of use of dexamphetamine in adults in WA. PBS authority approvals for ADHD drugs in the ACT were also comparatively high, but this was driven by approvals for dexamphetamine, atomoxetine and Concerta®.</w:t>
      </w:r>
      <w:r w:rsidRPr="00630463">
        <w:t xml:space="preserve"> </w:t>
      </w:r>
      <w:r>
        <w:t>Differences in state/territory regulations did not appear to be driving differences in utilisation.</w:t>
      </w:r>
    </w:p>
    <w:p w14:paraId="15881F23" w14:textId="089C94F0" w:rsidR="00816D93" w:rsidRDefault="00816D93" w:rsidP="0033642D">
      <w:pPr>
        <w:pStyle w:val="ListParagraph"/>
        <w:numPr>
          <w:ilvl w:val="0"/>
          <w:numId w:val="7"/>
        </w:numPr>
      </w:pPr>
      <w:r>
        <w:t xml:space="preserve">Around 9.6% of all </w:t>
      </w:r>
      <w:r w:rsidR="00485DAE">
        <w:t>pre</w:t>
      </w:r>
      <w:r>
        <w:t>script</w:t>
      </w:r>
      <w:r w:rsidR="00485DAE">
        <w:t>ion</w:t>
      </w:r>
      <w:r>
        <w:t xml:space="preserve">s for ADHD medicines were private </w:t>
      </w:r>
      <w:r w:rsidR="00080AE3">
        <w:t>pre</w:t>
      </w:r>
      <w:r>
        <w:t>script</w:t>
      </w:r>
      <w:r w:rsidR="00080AE3">
        <w:t>ion</w:t>
      </w:r>
      <w:r>
        <w:t xml:space="preserve">s. The proportion of private </w:t>
      </w:r>
      <w:r w:rsidR="00D74B18">
        <w:t>pre</w:t>
      </w:r>
      <w:r>
        <w:t>script</w:t>
      </w:r>
      <w:r w:rsidR="00D74B18">
        <w:t>ion</w:t>
      </w:r>
      <w:r>
        <w:t>s was not higher for drugs with age restrictions on the PBS.</w:t>
      </w:r>
    </w:p>
    <w:p w14:paraId="0312FFEC" w14:textId="50921E1D" w:rsidR="00E677DD" w:rsidRPr="005E22C2" w:rsidRDefault="00E677DD" w:rsidP="00AA4BC3">
      <w:pPr>
        <w:pStyle w:val="Heading2"/>
      </w:pPr>
      <w:r w:rsidRPr="005E22C2">
        <w:t>Method</w:t>
      </w:r>
      <w:r w:rsidR="001B5D37" w:rsidRPr="005E22C2">
        <w:t>s</w:t>
      </w:r>
    </w:p>
    <w:p w14:paraId="14419C81" w14:textId="77777777" w:rsidR="00816D93" w:rsidRDefault="00816D93" w:rsidP="00816D93">
      <w:r>
        <w:t>This analysis used three data sources: DUSC database, Medicare pharmacy claim database and Medicare authority approvals database. All data are de-identified.</w:t>
      </w:r>
    </w:p>
    <w:p w14:paraId="677DF245" w14:textId="77777777" w:rsidR="0052799A" w:rsidRDefault="00816D93" w:rsidP="0052799A">
      <w:pPr>
        <w:spacing w:after="0"/>
      </w:pPr>
      <w:r>
        <w:t xml:space="preserve">Prior to April 2012, the Medicare pharmacy claim database only included data for PBS prescriptions where a subsidy was paid. From April 2012, all PBS prescriptions are captured, including those </w:t>
      </w:r>
      <w:r w:rsidRPr="007E5D7E">
        <w:t xml:space="preserve">priced below the general patient co-payment </w:t>
      </w:r>
      <w:r>
        <w:t>where a subsidy was not paid. The ADHD medicines priced below the general patient co-payment are dexamphetamine, short acting methylphenidate (Ritalin 10) and the 10mg strength of modified release methylphenidate (Ritalin L</w:t>
      </w:r>
      <w:r w:rsidRPr="00172A3C">
        <w:t>A).</w:t>
      </w:r>
    </w:p>
    <w:p w14:paraId="749BE841" w14:textId="31E9A9B1" w:rsidR="00816D93" w:rsidRDefault="00816D93" w:rsidP="0052799A">
      <w:pPr>
        <w:spacing w:after="0"/>
      </w:pPr>
    </w:p>
    <w:p w14:paraId="1C2A00B9" w14:textId="77777777" w:rsidR="00816D93" w:rsidRDefault="00816D93" w:rsidP="00816D93">
      <w:r>
        <w:t>The DUSC database includes an estimate of under co-payment prescriptions until April 2012 and an estimate of private prescriptions until August 2012.</w:t>
      </w:r>
      <w:r>
        <w:rPr>
          <w:rStyle w:val="EndnoteReference"/>
        </w:rPr>
        <w:endnoteReference w:id="25"/>
      </w:r>
      <w:r>
        <w:t xml:space="preserve">  </w:t>
      </w:r>
    </w:p>
    <w:p w14:paraId="126A7D78" w14:textId="77777777" w:rsidR="00816D93" w:rsidRDefault="00816D93" w:rsidP="00816D93">
      <w:r>
        <w:t>The Medicare authority approvals database includes information on medicines that require approval to prescribe through the PBS. All medicines for ADHD are authority required, including those priced below the general patient co-payment, allowing longitudinal analysis to be conducted that covers the complete PBS population.</w:t>
      </w:r>
      <w:r>
        <w:rPr>
          <w:rStyle w:val="FootnoteReference"/>
        </w:rPr>
        <w:footnoteReference w:id="1"/>
      </w:r>
      <w:r>
        <w:t xml:space="preserve"> A limitation of these data is that there may be some </w:t>
      </w:r>
      <w:r w:rsidRPr="00FD51E9">
        <w:t>authorities granted where the prescription is never dispensed; however an analysis of the number of patients receiving an authority approval and supplied a medicine in 2014 showed that this is of minor consequence (</w:t>
      </w:r>
      <w:r>
        <w:t xml:space="preserve">see </w:t>
      </w:r>
      <w:r w:rsidRPr="00CC200B">
        <w:rPr>
          <w:u w:val="single"/>
        </w:rPr>
        <w:t>Appendix C</w:t>
      </w:r>
      <w:r>
        <w:t xml:space="preserve">).  </w:t>
      </w:r>
    </w:p>
    <w:p w14:paraId="1A5C2A48" w14:textId="77777777" w:rsidR="00816D93" w:rsidRDefault="00816D93" w:rsidP="00816D93">
      <w:r>
        <w:t xml:space="preserve">The analyses undertaken included prescription volume, PBS expenditure, number of patients treated and commencing treatment, age, sex, length of treatment, same day supply of multiple ADHD medicines or other psychotropic medicines, state/territory of residence, and prescriber type. Further details are provided in </w:t>
      </w:r>
      <w:r w:rsidRPr="00DF11CA">
        <w:rPr>
          <w:u w:val="single"/>
        </w:rPr>
        <w:t xml:space="preserve">Appendix </w:t>
      </w:r>
      <w:r>
        <w:rPr>
          <w:u w:val="single"/>
        </w:rPr>
        <w:t>C.</w:t>
      </w:r>
      <w:r>
        <w:t xml:space="preserve"> Sources are also provided at the bottom of each table/graph in the Results section.  </w:t>
      </w:r>
    </w:p>
    <w:p w14:paraId="5CCEBCC9" w14:textId="77777777" w:rsidR="00816D93" w:rsidRDefault="00816D93" w:rsidP="00816D93">
      <w:r>
        <w:lastRenderedPageBreak/>
        <w:t xml:space="preserve">The PBS data presented in this report includes use for repatriation patients. This constitutes a very small proportion of overall </w:t>
      </w:r>
      <w:r w:rsidRPr="005E08C9">
        <w:t>use (&lt;0.2%).</w:t>
      </w:r>
      <w:r>
        <w:t xml:space="preserve">  </w:t>
      </w:r>
    </w:p>
    <w:p w14:paraId="4F91A98A" w14:textId="00180E30" w:rsidR="00C714D0" w:rsidRPr="005E22C2" w:rsidRDefault="00C714D0" w:rsidP="00A526DF">
      <w:pPr>
        <w:pStyle w:val="Heading2"/>
      </w:pPr>
      <w:r w:rsidRPr="005E22C2">
        <w:t>Results</w:t>
      </w:r>
    </w:p>
    <w:p w14:paraId="2221FF19" w14:textId="336CE8B2" w:rsidR="00736041" w:rsidRDefault="001B5D37" w:rsidP="00A526DF">
      <w:pPr>
        <w:pStyle w:val="Heading3"/>
      </w:pPr>
      <w:r w:rsidRPr="005E22C2">
        <w:t xml:space="preserve">Analysis </w:t>
      </w:r>
      <w:r w:rsidR="00736041" w:rsidRPr="005E22C2">
        <w:t xml:space="preserve">of </w:t>
      </w:r>
      <w:r w:rsidR="0063631C">
        <w:t>d</w:t>
      </w:r>
      <w:r w:rsidR="00E677DD" w:rsidRPr="005E22C2">
        <w:t xml:space="preserve">rug </w:t>
      </w:r>
      <w:r w:rsidR="0063631C">
        <w:t>u</w:t>
      </w:r>
      <w:r w:rsidR="00E677DD" w:rsidRPr="005E22C2">
        <w:t>tilisation</w:t>
      </w:r>
    </w:p>
    <w:p w14:paraId="3C7A66D7" w14:textId="77777777" w:rsidR="00DE583D" w:rsidRPr="00A526DF" w:rsidRDefault="00DE583D" w:rsidP="00A526DF">
      <w:pPr>
        <w:pStyle w:val="Heading4"/>
      </w:pPr>
      <w:r w:rsidRPr="00A526DF">
        <w:t xml:space="preserve">Number of patients by age and gender </w:t>
      </w:r>
    </w:p>
    <w:p w14:paraId="3EC823D7" w14:textId="3C76600E" w:rsidR="00DE583D" w:rsidRDefault="00F35251" w:rsidP="00DE583D">
      <w:r>
        <w:t xml:space="preserve">The numbers of patients who have been treated with PBS medicines for ADHD in 2010 to 2014 inclusive are shown in </w:t>
      </w:r>
      <w:r w:rsidR="00DE583D">
        <w:t>Table 3</w:t>
      </w:r>
      <w:r w:rsidR="007F051D">
        <w:t xml:space="preserve"> and 4</w:t>
      </w:r>
      <w:r>
        <w:t>.</w:t>
      </w:r>
      <w:r w:rsidR="00DE583D">
        <w:t xml:space="preserve"> The data are presented as the number of new patients starting treatment for the first time</w:t>
      </w:r>
      <w:r w:rsidR="007F051D">
        <w:t xml:space="preserve"> (Table 3)</w:t>
      </w:r>
      <w:r w:rsidR="00DE583D">
        <w:t xml:space="preserve"> and all patients treated (new and continuing) by age and gender</w:t>
      </w:r>
      <w:r w:rsidR="007F051D">
        <w:t xml:space="preserve"> (Table 4)</w:t>
      </w:r>
      <w:r w:rsidR="00DE583D">
        <w:t>.</w:t>
      </w:r>
    </w:p>
    <w:p w14:paraId="1F13D1DD" w14:textId="5ED9C71B" w:rsidR="00DE583D" w:rsidRPr="0068248A" w:rsidRDefault="00DE583D" w:rsidP="00372888">
      <w:pPr>
        <w:pStyle w:val="Tabletitle"/>
      </w:pPr>
      <w:r>
        <w:t>Table 3</w:t>
      </w:r>
      <w:r w:rsidRPr="0068248A">
        <w:t xml:space="preserve">: Number of </w:t>
      </w:r>
      <w:r w:rsidR="00372888">
        <w:t xml:space="preserve">new patients </w:t>
      </w:r>
      <w:r w:rsidRPr="0068248A">
        <w:t>treated with ADHD medicines by age and gender.</w:t>
      </w:r>
    </w:p>
    <w:tbl>
      <w:tblPr>
        <w:tblStyle w:val="TableGrid1"/>
        <w:tblW w:w="8818" w:type="dxa"/>
        <w:tblLayout w:type="fixed"/>
        <w:tblLook w:val="04A0" w:firstRow="1" w:lastRow="0" w:firstColumn="1" w:lastColumn="0" w:noHBand="0" w:noVBand="1"/>
        <w:tblCaption w:val="Different age brackets are listed in the first column, read across the row for the number of patients treated in the years 2010 to 2014 inclusive"/>
      </w:tblPr>
      <w:tblGrid>
        <w:gridCol w:w="1985"/>
        <w:gridCol w:w="1276"/>
        <w:gridCol w:w="1389"/>
        <w:gridCol w:w="1389"/>
        <w:gridCol w:w="1389"/>
        <w:gridCol w:w="1390"/>
      </w:tblGrid>
      <w:tr w:rsidR="00DE583D" w:rsidRPr="00EE0D19" w14:paraId="20DBB91C" w14:textId="77777777" w:rsidTr="00011276">
        <w:trPr>
          <w:trHeight w:val="297"/>
          <w:tblHeader/>
        </w:trPr>
        <w:tc>
          <w:tcPr>
            <w:tcW w:w="1985" w:type="dxa"/>
            <w:shd w:val="clear" w:color="auto" w:fill="D9D9D9" w:themeFill="background1" w:themeFillShade="D9"/>
            <w:noWrap/>
            <w:hideMark/>
          </w:tcPr>
          <w:p w14:paraId="5666CE32" w14:textId="77777777" w:rsidR="00DE583D" w:rsidRPr="00EE0D19" w:rsidRDefault="00DE583D" w:rsidP="0052799A">
            <w:pPr>
              <w:rPr>
                <w:rFonts w:ascii="Calibri" w:eastAsia="Times New Roman" w:hAnsi="Calibri" w:cs="Times New Roman"/>
                <w:b/>
              </w:rPr>
            </w:pPr>
          </w:p>
        </w:tc>
        <w:tc>
          <w:tcPr>
            <w:tcW w:w="1276" w:type="dxa"/>
            <w:shd w:val="clear" w:color="auto" w:fill="D9D9D9" w:themeFill="background1" w:themeFillShade="D9"/>
            <w:noWrap/>
          </w:tcPr>
          <w:p w14:paraId="410135DF" w14:textId="77777777" w:rsidR="00DE583D" w:rsidRPr="00EE0D19" w:rsidRDefault="00DE583D" w:rsidP="0052799A">
            <w:pPr>
              <w:jc w:val="center"/>
              <w:rPr>
                <w:rFonts w:ascii="Calibri" w:eastAsia="Times New Roman" w:hAnsi="Calibri" w:cs="Times New Roman"/>
                <w:b/>
              </w:rPr>
            </w:pPr>
            <w:r w:rsidRPr="00EE0D19">
              <w:rPr>
                <w:rFonts w:ascii="Calibri" w:eastAsia="Times New Roman" w:hAnsi="Calibri" w:cs="Times New Roman"/>
                <w:b/>
              </w:rPr>
              <w:t>2010</w:t>
            </w:r>
          </w:p>
        </w:tc>
        <w:tc>
          <w:tcPr>
            <w:tcW w:w="1389" w:type="dxa"/>
            <w:shd w:val="clear" w:color="auto" w:fill="D9D9D9" w:themeFill="background1" w:themeFillShade="D9"/>
            <w:noWrap/>
          </w:tcPr>
          <w:p w14:paraId="667C8074" w14:textId="77777777" w:rsidR="00DE583D" w:rsidRPr="00EE0D19" w:rsidRDefault="00DE583D" w:rsidP="0052799A">
            <w:pPr>
              <w:jc w:val="center"/>
              <w:rPr>
                <w:rFonts w:ascii="Calibri" w:eastAsia="Times New Roman" w:hAnsi="Calibri" w:cs="Times New Roman"/>
                <w:b/>
              </w:rPr>
            </w:pPr>
            <w:r w:rsidRPr="00EE0D19">
              <w:rPr>
                <w:rFonts w:ascii="Calibri" w:eastAsia="Times New Roman" w:hAnsi="Calibri" w:cs="Times New Roman"/>
                <w:b/>
              </w:rPr>
              <w:t>2011</w:t>
            </w:r>
          </w:p>
        </w:tc>
        <w:tc>
          <w:tcPr>
            <w:tcW w:w="1389" w:type="dxa"/>
            <w:shd w:val="clear" w:color="auto" w:fill="D9D9D9" w:themeFill="background1" w:themeFillShade="D9"/>
            <w:noWrap/>
          </w:tcPr>
          <w:p w14:paraId="5158D72E" w14:textId="77777777" w:rsidR="00DE583D" w:rsidRPr="00EE0D19" w:rsidRDefault="00DE583D" w:rsidP="0052799A">
            <w:pPr>
              <w:jc w:val="center"/>
              <w:rPr>
                <w:rFonts w:ascii="Calibri" w:eastAsia="Times New Roman" w:hAnsi="Calibri" w:cs="Times New Roman"/>
                <w:b/>
              </w:rPr>
            </w:pPr>
            <w:r w:rsidRPr="00EE0D19">
              <w:rPr>
                <w:rFonts w:ascii="Calibri" w:eastAsia="Times New Roman" w:hAnsi="Calibri" w:cs="Times New Roman"/>
                <w:b/>
              </w:rPr>
              <w:t>2012</w:t>
            </w:r>
          </w:p>
        </w:tc>
        <w:tc>
          <w:tcPr>
            <w:tcW w:w="1389" w:type="dxa"/>
            <w:shd w:val="clear" w:color="auto" w:fill="D9D9D9" w:themeFill="background1" w:themeFillShade="D9"/>
            <w:noWrap/>
          </w:tcPr>
          <w:p w14:paraId="5843CEE9" w14:textId="77777777" w:rsidR="00DE583D" w:rsidRPr="00EE0D19" w:rsidRDefault="00DE583D" w:rsidP="0052799A">
            <w:pPr>
              <w:jc w:val="center"/>
              <w:rPr>
                <w:rFonts w:ascii="Calibri" w:eastAsia="Times New Roman" w:hAnsi="Calibri" w:cs="Times New Roman"/>
                <w:b/>
              </w:rPr>
            </w:pPr>
            <w:r w:rsidRPr="00EE0D19">
              <w:rPr>
                <w:rFonts w:ascii="Calibri" w:eastAsia="Times New Roman" w:hAnsi="Calibri" w:cs="Times New Roman"/>
                <w:b/>
              </w:rPr>
              <w:t>2013</w:t>
            </w:r>
          </w:p>
        </w:tc>
        <w:tc>
          <w:tcPr>
            <w:tcW w:w="1390" w:type="dxa"/>
            <w:shd w:val="clear" w:color="auto" w:fill="D9D9D9" w:themeFill="background1" w:themeFillShade="D9"/>
            <w:noWrap/>
          </w:tcPr>
          <w:p w14:paraId="3C659A42" w14:textId="77777777" w:rsidR="00DE583D" w:rsidRPr="00EE0D19" w:rsidRDefault="00DE583D" w:rsidP="0052799A">
            <w:pPr>
              <w:jc w:val="center"/>
              <w:rPr>
                <w:rFonts w:ascii="Calibri" w:eastAsia="Times New Roman" w:hAnsi="Calibri" w:cs="Times New Roman"/>
                <w:b/>
              </w:rPr>
            </w:pPr>
            <w:r w:rsidRPr="00EE0D19">
              <w:rPr>
                <w:rFonts w:ascii="Calibri" w:eastAsia="Times New Roman" w:hAnsi="Calibri" w:cs="Times New Roman"/>
                <w:b/>
              </w:rPr>
              <w:t>2014</w:t>
            </w:r>
          </w:p>
        </w:tc>
      </w:tr>
      <w:tr w:rsidR="00DE583D" w:rsidRPr="005A1475" w14:paraId="7BF950AD" w14:textId="77777777" w:rsidTr="0018712A">
        <w:trPr>
          <w:trHeight w:val="297"/>
        </w:trPr>
        <w:tc>
          <w:tcPr>
            <w:tcW w:w="1985" w:type="dxa"/>
            <w:noWrap/>
            <w:hideMark/>
          </w:tcPr>
          <w:p w14:paraId="6A0CCBD3" w14:textId="77777777" w:rsidR="00DE583D" w:rsidRDefault="00DE583D" w:rsidP="0052799A">
            <w:pPr>
              <w:rPr>
                <w:rFonts w:ascii="Calibri" w:eastAsia="Times New Roman" w:hAnsi="Calibri" w:cs="Times New Roman"/>
              </w:rPr>
            </w:pPr>
            <w:r>
              <w:rPr>
                <w:rFonts w:ascii="Calibri" w:eastAsia="Times New Roman" w:hAnsi="Calibri" w:cs="Times New Roman"/>
              </w:rPr>
              <w:t>&lt;6 years male</w:t>
            </w:r>
          </w:p>
        </w:tc>
        <w:tc>
          <w:tcPr>
            <w:tcW w:w="1276" w:type="dxa"/>
            <w:noWrap/>
          </w:tcPr>
          <w:p w14:paraId="07F44116" w14:textId="77777777" w:rsidR="00DE583D" w:rsidRPr="005A1475" w:rsidRDefault="00DE583D" w:rsidP="0052799A">
            <w:pPr>
              <w:jc w:val="right"/>
              <w:rPr>
                <w:rFonts w:ascii="Calibri" w:eastAsia="Times New Roman" w:hAnsi="Calibri" w:cs="Times New Roman"/>
              </w:rPr>
            </w:pPr>
            <w:r w:rsidRPr="000F72A1">
              <w:t xml:space="preserve"> 1,208 </w:t>
            </w:r>
          </w:p>
        </w:tc>
        <w:tc>
          <w:tcPr>
            <w:tcW w:w="1389" w:type="dxa"/>
            <w:noWrap/>
          </w:tcPr>
          <w:p w14:paraId="40719DE4" w14:textId="77777777" w:rsidR="00DE583D" w:rsidRPr="005A1475" w:rsidRDefault="00DE583D" w:rsidP="0052799A">
            <w:pPr>
              <w:jc w:val="right"/>
              <w:rPr>
                <w:rFonts w:ascii="Calibri" w:eastAsia="Times New Roman" w:hAnsi="Calibri" w:cs="Times New Roman"/>
              </w:rPr>
            </w:pPr>
            <w:r w:rsidRPr="000F72A1">
              <w:t xml:space="preserve"> 1,355 </w:t>
            </w:r>
          </w:p>
        </w:tc>
        <w:tc>
          <w:tcPr>
            <w:tcW w:w="1389" w:type="dxa"/>
            <w:noWrap/>
          </w:tcPr>
          <w:p w14:paraId="61C316CF" w14:textId="77777777" w:rsidR="00DE583D" w:rsidRPr="005A1475" w:rsidRDefault="00DE583D" w:rsidP="0052799A">
            <w:pPr>
              <w:jc w:val="right"/>
              <w:rPr>
                <w:rFonts w:ascii="Calibri" w:eastAsia="Times New Roman" w:hAnsi="Calibri" w:cs="Times New Roman"/>
              </w:rPr>
            </w:pPr>
            <w:r w:rsidRPr="000F72A1">
              <w:t xml:space="preserve"> 1,538 </w:t>
            </w:r>
          </w:p>
        </w:tc>
        <w:tc>
          <w:tcPr>
            <w:tcW w:w="1389" w:type="dxa"/>
            <w:noWrap/>
          </w:tcPr>
          <w:p w14:paraId="144EDB05" w14:textId="77777777" w:rsidR="00DE583D" w:rsidRPr="005A1475" w:rsidRDefault="00DE583D" w:rsidP="0052799A">
            <w:pPr>
              <w:jc w:val="right"/>
              <w:rPr>
                <w:rFonts w:ascii="Calibri" w:eastAsia="Times New Roman" w:hAnsi="Calibri" w:cs="Times New Roman"/>
              </w:rPr>
            </w:pPr>
            <w:r w:rsidRPr="000F72A1">
              <w:t xml:space="preserve"> 1,599 </w:t>
            </w:r>
          </w:p>
        </w:tc>
        <w:tc>
          <w:tcPr>
            <w:tcW w:w="1390" w:type="dxa"/>
            <w:noWrap/>
          </w:tcPr>
          <w:p w14:paraId="3034FDCC" w14:textId="77777777" w:rsidR="00DE583D" w:rsidRPr="005A1475" w:rsidRDefault="00DE583D" w:rsidP="0052799A">
            <w:pPr>
              <w:jc w:val="right"/>
              <w:rPr>
                <w:rFonts w:ascii="Calibri" w:eastAsia="Times New Roman" w:hAnsi="Calibri" w:cs="Times New Roman"/>
              </w:rPr>
            </w:pPr>
            <w:r w:rsidRPr="000F72A1">
              <w:t xml:space="preserve"> 1,697 </w:t>
            </w:r>
          </w:p>
        </w:tc>
      </w:tr>
      <w:tr w:rsidR="00DE583D" w:rsidRPr="005A1475" w14:paraId="6D03E4A0" w14:textId="77777777" w:rsidTr="0018712A">
        <w:trPr>
          <w:trHeight w:val="297"/>
        </w:trPr>
        <w:tc>
          <w:tcPr>
            <w:tcW w:w="1985" w:type="dxa"/>
            <w:noWrap/>
            <w:hideMark/>
          </w:tcPr>
          <w:p w14:paraId="2698E753" w14:textId="77777777" w:rsidR="00DE583D" w:rsidRDefault="00DE583D" w:rsidP="0052799A">
            <w:pPr>
              <w:rPr>
                <w:rFonts w:ascii="Calibri" w:eastAsia="Times New Roman" w:hAnsi="Calibri" w:cs="Times New Roman"/>
              </w:rPr>
            </w:pPr>
            <w:r>
              <w:rPr>
                <w:rFonts w:ascii="Calibri" w:eastAsia="Times New Roman" w:hAnsi="Calibri" w:cs="Times New Roman"/>
              </w:rPr>
              <w:t>&lt;6 years female</w:t>
            </w:r>
          </w:p>
        </w:tc>
        <w:tc>
          <w:tcPr>
            <w:tcW w:w="1276" w:type="dxa"/>
            <w:noWrap/>
          </w:tcPr>
          <w:p w14:paraId="52EF12F9" w14:textId="77777777" w:rsidR="00DE583D" w:rsidRPr="005A1475" w:rsidRDefault="00DE583D" w:rsidP="0052799A">
            <w:pPr>
              <w:jc w:val="right"/>
              <w:rPr>
                <w:rFonts w:ascii="Calibri" w:eastAsia="Times New Roman" w:hAnsi="Calibri" w:cs="Times New Roman"/>
              </w:rPr>
            </w:pPr>
            <w:r w:rsidRPr="000F72A1">
              <w:t xml:space="preserve"> 260 </w:t>
            </w:r>
          </w:p>
        </w:tc>
        <w:tc>
          <w:tcPr>
            <w:tcW w:w="1389" w:type="dxa"/>
            <w:noWrap/>
          </w:tcPr>
          <w:p w14:paraId="38B7C0A9" w14:textId="77777777" w:rsidR="00DE583D" w:rsidRPr="005A1475" w:rsidRDefault="00DE583D" w:rsidP="0052799A">
            <w:pPr>
              <w:jc w:val="right"/>
              <w:rPr>
                <w:rFonts w:ascii="Calibri" w:eastAsia="Times New Roman" w:hAnsi="Calibri" w:cs="Times New Roman"/>
              </w:rPr>
            </w:pPr>
            <w:r w:rsidRPr="000F72A1">
              <w:t xml:space="preserve"> 285 </w:t>
            </w:r>
          </w:p>
        </w:tc>
        <w:tc>
          <w:tcPr>
            <w:tcW w:w="1389" w:type="dxa"/>
            <w:noWrap/>
          </w:tcPr>
          <w:p w14:paraId="7C66E3F0" w14:textId="77777777" w:rsidR="00DE583D" w:rsidRPr="005A1475" w:rsidRDefault="00DE583D" w:rsidP="0052799A">
            <w:pPr>
              <w:jc w:val="right"/>
              <w:rPr>
                <w:rFonts w:ascii="Calibri" w:eastAsia="Times New Roman" w:hAnsi="Calibri" w:cs="Times New Roman"/>
              </w:rPr>
            </w:pPr>
            <w:r w:rsidRPr="000F72A1">
              <w:t xml:space="preserve"> 359 </w:t>
            </w:r>
          </w:p>
        </w:tc>
        <w:tc>
          <w:tcPr>
            <w:tcW w:w="1389" w:type="dxa"/>
            <w:noWrap/>
          </w:tcPr>
          <w:p w14:paraId="12437882" w14:textId="77777777" w:rsidR="00DE583D" w:rsidRPr="005A1475" w:rsidRDefault="00DE583D" w:rsidP="0052799A">
            <w:pPr>
              <w:jc w:val="right"/>
              <w:rPr>
                <w:rFonts w:ascii="Calibri" w:eastAsia="Times New Roman" w:hAnsi="Calibri" w:cs="Times New Roman"/>
              </w:rPr>
            </w:pPr>
            <w:r w:rsidRPr="000F72A1">
              <w:t xml:space="preserve"> 388 </w:t>
            </w:r>
          </w:p>
        </w:tc>
        <w:tc>
          <w:tcPr>
            <w:tcW w:w="1390" w:type="dxa"/>
            <w:noWrap/>
          </w:tcPr>
          <w:p w14:paraId="4172D28B" w14:textId="77777777" w:rsidR="00DE583D" w:rsidRPr="005A1475" w:rsidRDefault="00DE583D" w:rsidP="0052799A">
            <w:pPr>
              <w:jc w:val="right"/>
              <w:rPr>
                <w:rFonts w:ascii="Calibri" w:eastAsia="Times New Roman" w:hAnsi="Calibri" w:cs="Times New Roman"/>
              </w:rPr>
            </w:pPr>
            <w:r w:rsidRPr="000F72A1">
              <w:t xml:space="preserve"> 383 </w:t>
            </w:r>
          </w:p>
        </w:tc>
      </w:tr>
      <w:tr w:rsidR="00DE583D" w:rsidRPr="005A1475" w14:paraId="2131B2AB" w14:textId="77777777" w:rsidTr="0018712A">
        <w:trPr>
          <w:trHeight w:val="297"/>
        </w:trPr>
        <w:tc>
          <w:tcPr>
            <w:tcW w:w="1985" w:type="dxa"/>
            <w:noWrap/>
            <w:hideMark/>
          </w:tcPr>
          <w:p w14:paraId="4966CEED" w14:textId="77777777" w:rsidR="00DE583D" w:rsidRDefault="00DE583D" w:rsidP="0052799A">
            <w:pPr>
              <w:rPr>
                <w:rFonts w:ascii="Calibri" w:eastAsia="Times New Roman" w:hAnsi="Calibri" w:cs="Times New Roman"/>
              </w:rPr>
            </w:pPr>
            <w:r>
              <w:rPr>
                <w:rFonts w:ascii="Calibri" w:eastAsia="Times New Roman" w:hAnsi="Calibri" w:cs="Times New Roman"/>
              </w:rPr>
              <w:t>6-12 years male</w:t>
            </w:r>
          </w:p>
        </w:tc>
        <w:tc>
          <w:tcPr>
            <w:tcW w:w="1276" w:type="dxa"/>
            <w:noWrap/>
          </w:tcPr>
          <w:p w14:paraId="081D3D3B" w14:textId="77777777" w:rsidR="00DE583D" w:rsidRPr="005A1475" w:rsidRDefault="00DE583D" w:rsidP="0052799A">
            <w:pPr>
              <w:jc w:val="right"/>
              <w:rPr>
                <w:rFonts w:ascii="Calibri" w:eastAsia="Times New Roman" w:hAnsi="Calibri" w:cs="Times New Roman"/>
              </w:rPr>
            </w:pPr>
            <w:r w:rsidRPr="000F72A1">
              <w:t xml:space="preserve"> 7,481 </w:t>
            </w:r>
          </w:p>
        </w:tc>
        <w:tc>
          <w:tcPr>
            <w:tcW w:w="1389" w:type="dxa"/>
            <w:noWrap/>
          </w:tcPr>
          <w:p w14:paraId="64C2BFD2" w14:textId="77777777" w:rsidR="00DE583D" w:rsidRPr="005A1475" w:rsidRDefault="00DE583D" w:rsidP="0052799A">
            <w:pPr>
              <w:jc w:val="right"/>
              <w:rPr>
                <w:rFonts w:ascii="Calibri" w:eastAsia="Times New Roman" w:hAnsi="Calibri" w:cs="Times New Roman"/>
              </w:rPr>
            </w:pPr>
            <w:r w:rsidRPr="000F72A1">
              <w:t xml:space="preserve"> 8,278 </w:t>
            </w:r>
          </w:p>
        </w:tc>
        <w:tc>
          <w:tcPr>
            <w:tcW w:w="1389" w:type="dxa"/>
            <w:noWrap/>
          </w:tcPr>
          <w:p w14:paraId="1E45CEC2" w14:textId="77777777" w:rsidR="00DE583D" w:rsidRPr="005A1475" w:rsidRDefault="00DE583D" w:rsidP="0052799A">
            <w:pPr>
              <w:jc w:val="right"/>
              <w:rPr>
                <w:rFonts w:ascii="Calibri" w:eastAsia="Times New Roman" w:hAnsi="Calibri" w:cs="Times New Roman"/>
              </w:rPr>
            </w:pPr>
            <w:r w:rsidRPr="000F72A1">
              <w:t xml:space="preserve"> 8,931 </w:t>
            </w:r>
          </w:p>
        </w:tc>
        <w:tc>
          <w:tcPr>
            <w:tcW w:w="1389" w:type="dxa"/>
            <w:noWrap/>
          </w:tcPr>
          <w:p w14:paraId="7719986D" w14:textId="77777777" w:rsidR="00DE583D" w:rsidRPr="005A1475" w:rsidRDefault="00DE583D" w:rsidP="0052799A">
            <w:pPr>
              <w:jc w:val="right"/>
              <w:rPr>
                <w:rFonts w:ascii="Calibri" w:eastAsia="Times New Roman" w:hAnsi="Calibri" w:cs="Times New Roman"/>
              </w:rPr>
            </w:pPr>
            <w:r w:rsidRPr="000F72A1">
              <w:t xml:space="preserve"> 9,476 </w:t>
            </w:r>
          </w:p>
        </w:tc>
        <w:tc>
          <w:tcPr>
            <w:tcW w:w="1390" w:type="dxa"/>
            <w:noWrap/>
          </w:tcPr>
          <w:p w14:paraId="2BF99764" w14:textId="77777777" w:rsidR="00DE583D" w:rsidRPr="005A1475" w:rsidRDefault="00DE583D" w:rsidP="0052799A">
            <w:pPr>
              <w:jc w:val="right"/>
              <w:rPr>
                <w:rFonts w:ascii="Calibri" w:eastAsia="Times New Roman" w:hAnsi="Calibri" w:cs="Times New Roman"/>
              </w:rPr>
            </w:pPr>
            <w:r w:rsidRPr="000F72A1">
              <w:t xml:space="preserve"> 9,732 </w:t>
            </w:r>
          </w:p>
        </w:tc>
      </w:tr>
      <w:tr w:rsidR="00DE583D" w:rsidRPr="005A1475" w14:paraId="3E697D65" w14:textId="77777777" w:rsidTr="0018712A">
        <w:trPr>
          <w:trHeight w:val="297"/>
        </w:trPr>
        <w:tc>
          <w:tcPr>
            <w:tcW w:w="1985" w:type="dxa"/>
            <w:noWrap/>
          </w:tcPr>
          <w:p w14:paraId="0AA00DB6" w14:textId="77777777" w:rsidR="00DE583D" w:rsidRDefault="00DE583D" w:rsidP="0052799A">
            <w:pPr>
              <w:rPr>
                <w:rFonts w:ascii="Calibri" w:eastAsia="Times New Roman" w:hAnsi="Calibri" w:cs="Times New Roman"/>
              </w:rPr>
            </w:pPr>
            <w:r w:rsidRPr="00C16CA3">
              <w:rPr>
                <w:rFonts w:ascii="Calibri" w:eastAsia="Times New Roman" w:hAnsi="Calibri" w:cs="Times New Roman"/>
              </w:rPr>
              <w:t xml:space="preserve">6-12 years </w:t>
            </w:r>
            <w:r>
              <w:rPr>
                <w:rFonts w:ascii="Calibri" w:eastAsia="Times New Roman" w:hAnsi="Calibri" w:cs="Times New Roman"/>
              </w:rPr>
              <w:t>fe</w:t>
            </w:r>
            <w:r w:rsidRPr="00C16CA3">
              <w:rPr>
                <w:rFonts w:ascii="Calibri" w:eastAsia="Times New Roman" w:hAnsi="Calibri" w:cs="Times New Roman"/>
              </w:rPr>
              <w:t>male</w:t>
            </w:r>
          </w:p>
        </w:tc>
        <w:tc>
          <w:tcPr>
            <w:tcW w:w="1276" w:type="dxa"/>
            <w:noWrap/>
          </w:tcPr>
          <w:p w14:paraId="393AAC73" w14:textId="77777777" w:rsidR="00DE583D" w:rsidRPr="005A1475" w:rsidRDefault="00DE583D" w:rsidP="0052799A">
            <w:pPr>
              <w:jc w:val="right"/>
              <w:rPr>
                <w:rFonts w:ascii="Calibri" w:eastAsia="Times New Roman" w:hAnsi="Calibri" w:cs="Times New Roman"/>
              </w:rPr>
            </w:pPr>
            <w:r w:rsidRPr="000F72A1">
              <w:t xml:space="preserve"> 2,042 </w:t>
            </w:r>
          </w:p>
        </w:tc>
        <w:tc>
          <w:tcPr>
            <w:tcW w:w="1389" w:type="dxa"/>
            <w:noWrap/>
          </w:tcPr>
          <w:p w14:paraId="1AF68D7F" w14:textId="77777777" w:rsidR="00DE583D" w:rsidRPr="005A1475" w:rsidRDefault="00DE583D" w:rsidP="0052799A">
            <w:pPr>
              <w:jc w:val="right"/>
              <w:rPr>
                <w:rFonts w:ascii="Calibri" w:eastAsia="Times New Roman" w:hAnsi="Calibri" w:cs="Times New Roman"/>
              </w:rPr>
            </w:pPr>
            <w:r w:rsidRPr="000F72A1">
              <w:t xml:space="preserve"> 2,382 </w:t>
            </w:r>
          </w:p>
        </w:tc>
        <w:tc>
          <w:tcPr>
            <w:tcW w:w="1389" w:type="dxa"/>
            <w:noWrap/>
          </w:tcPr>
          <w:p w14:paraId="7F9F132E" w14:textId="77777777" w:rsidR="00DE583D" w:rsidRPr="005A1475" w:rsidRDefault="00DE583D" w:rsidP="0052799A">
            <w:pPr>
              <w:jc w:val="right"/>
              <w:rPr>
                <w:rFonts w:ascii="Calibri" w:eastAsia="Times New Roman" w:hAnsi="Calibri" w:cs="Times New Roman"/>
              </w:rPr>
            </w:pPr>
            <w:r w:rsidRPr="000F72A1">
              <w:t xml:space="preserve"> 2,466 </w:t>
            </w:r>
          </w:p>
        </w:tc>
        <w:tc>
          <w:tcPr>
            <w:tcW w:w="1389" w:type="dxa"/>
            <w:noWrap/>
          </w:tcPr>
          <w:p w14:paraId="14AFC7F2" w14:textId="77777777" w:rsidR="00DE583D" w:rsidRPr="005A1475" w:rsidRDefault="00DE583D" w:rsidP="0052799A">
            <w:pPr>
              <w:jc w:val="right"/>
              <w:rPr>
                <w:rFonts w:ascii="Calibri" w:eastAsia="Times New Roman" w:hAnsi="Calibri" w:cs="Times New Roman"/>
              </w:rPr>
            </w:pPr>
            <w:r w:rsidRPr="000F72A1">
              <w:t xml:space="preserve"> 2,806 </w:t>
            </w:r>
          </w:p>
        </w:tc>
        <w:tc>
          <w:tcPr>
            <w:tcW w:w="1390" w:type="dxa"/>
            <w:noWrap/>
          </w:tcPr>
          <w:p w14:paraId="36964889" w14:textId="77777777" w:rsidR="00DE583D" w:rsidRPr="005A1475" w:rsidRDefault="00DE583D" w:rsidP="0052799A">
            <w:pPr>
              <w:jc w:val="right"/>
              <w:rPr>
                <w:rFonts w:ascii="Calibri" w:eastAsia="Times New Roman" w:hAnsi="Calibri" w:cs="Times New Roman"/>
              </w:rPr>
            </w:pPr>
            <w:r w:rsidRPr="000F72A1">
              <w:t xml:space="preserve"> 2,863 </w:t>
            </w:r>
          </w:p>
        </w:tc>
      </w:tr>
      <w:tr w:rsidR="00DE583D" w:rsidRPr="005A1475" w14:paraId="0917609C" w14:textId="77777777" w:rsidTr="0018712A">
        <w:trPr>
          <w:trHeight w:val="297"/>
        </w:trPr>
        <w:tc>
          <w:tcPr>
            <w:tcW w:w="1985" w:type="dxa"/>
            <w:noWrap/>
          </w:tcPr>
          <w:p w14:paraId="6FFC6C6C" w14:textId="77777777" w:rsidR="00DE583D" w:rsidRDefault="00DE583D" w:rsidP="0052799A">
            <w:pPr>
              <w:rPr>
                <w:rFonts w:ascii="Calibri" w:eastAsia="Times New Roman" w:hAnsi="Calibri" w:cs="Times New Roman"/>
              </w:rPr>
            </w:pPr>
            <w:r>
              <w:rPr>
                <w:rFonts w:ascii="Calibri" w:eastAsia="Times New Roman" w:hAnsi="Calibri" w:cs="Times New Roman"/>
              </w:rPr>
              <w:t>13-17 years male</w:t>
            </w:r>
          </w:p>
        </w:tc>
        <w:tc>
          <w:tcPr>
            <w:tcW w:w="1276" w:type="dxa"/>
            <w:noWrap/>
          </w:tcPr>
          <w:p w14:paraId="41D8582E" w14:textId="77777777" w:rsidR="00DE583D" w:rsidRPr="005A1475" w:rsidRDefault="00DE583D" w:rsidP="0052799A">
            <w:pPr>
              <w:jc w:val="right"/>
              <w:rPr>
                <w:rFonts w:ascii="Calibri" w:eastAsia="Times New Roman" w:hAnsi="Calibri" w:cs="Times New Roman"/>
              </w:rPr>
            </w:pPr>
            <w:r w:rsidRPr="000F72A1">
              <w:t xml:space="preserve"> 1,977 </w:t>
            </w:r>
          </w:p>
        </w:tc>
        <w:tc>
          <w:tcPr>
            <w:tcW w:w="1389" w:type="dxa"/>
            <w:noWrap/>
          </w:tcPr>
          <w:p w14:paraId="23BBBA99" w14:textId="77777777" w:rsidR="00DE583D" w:rsidRPr="005A1475" w:rsidRDefault="00DE583D" w:rsidP="0052799A">
            <w:pPr>
              <w:jc w:val="right"/>
              <w:rPr>
                <w:rFonts w:ascii="Calibri" w:eastAsia="Times New Roman" w:hAnsi="Calibri" w:cs="Times New Roman"/>
              </w:rPr>
            </w:pPr>
            <w:r w:rsidRPr="000F72A1">
              <w:t xml:space="preserve"> 1,953 </w:t>
            </w:r>
          </w:p>
        </w:tc>
        <w:tc>
          <w:tcPr>
            <w:tcW w:w="1389" w:type="dxa"/>
            <w:noWrap/>
          </w:tcPr>
          <w:p w14:paraId="73F249E8" w14:textId="77777777" w:rsidR="00DE583D" w:rsidRPr="005A1475" w:rsidRDefault="00DE583D" w:rsidP="0052799A">
            <w:pPr>
              <w:jc w:val="right"/>
              <w:rPr>
                <w:rFonts w:ascii="Calibri" w:eastAsia="Times New Roman" w:hAnsi="Calibri" w:cs="Times New Roman"/>
              </w:rPr>
            </w:pPr>
            <w:r w:rsidRPr="000F72A1">
              <w:t xml:space="preserve"> 1,893 </w:t>
            </w:r>
          </w:p>
        </w:tc>
        <w:tc>
          <w:tcPr>
            <w:tcW w:w="1389" w:type="dxa"/>
            <w:noWrap/>
          </w:tcPr>
          <w:p w14:paraId="310A50AE" w14:textId="77777777" w:rsidR="00DE583D" w:rsidRPr="005A1475" w:rsidRDefault="00DE583D" w:rsidP="0052799A">
            <w:pPr>
              <w:jc w:val="right"/>
              <w:rPr>
                <w:rFonts w:ascii="Calibri" w:eastAsia="Times New Roman" w:hAnsi="Calibri" w:cs="Times New Roman"/>
              </w:rPr>
            </w:pPr>
            <w:r w:rsidRPr="000F72A1">
              <w:t xml:space="preserve"> 1,922 </w:t>
            </w:r>
          </w:p>
        </w:tc>
        <w:tc>
          <w:tcPr>
            <w:tcW w:w="1390" w:type="dxa"/>
            <w:noWrap/>
          </w:tcPr>
          <w:p w14:paraId="73C5DF60" w14:textId="77777777" w:rsidR="00DE583D" w:rsidRPr="005A1475" w:rsidRDefault="00DE583D" w:rsidP="0052799A">
            <w:pPr>
              <w:jc w:val="right"/>
              <w:rPr>
                <w:rFonts w:ascii="Calibri" w:eastAsia="Times New Roman" w:hAnsi="Calibri" w:cs="Times New Roman"/>
              </w:rPr>
            </w:pPr>
            <w:r w:rsidRPr="000F72A1">
              <w:t xml:space="preserve"> 1,810 </w:t>
            </w:r>
          </w:p>
        </w:tc>
      </w:tr>
      <w:tr w:rsidR="00DE583D" w:rsidRPr="005A1475" w14:paraId="27E369A9" w14:textId="77777777" w:rsidTr="0018712A">
        <w:trPr>
          <w:trHeight w:val="297"/>
        </w:trPr>
        <w:tc>
          <w:tcPr>
            <w:tcW w:w="1985" w:type="dxa"/>
            <w:noWrap/>
            <w:hideMark/>
          </w:tcPr>
          <w:p w14:paraId="60E20860" w14:textId="77777777" w:rsidR="00DE583D" w:rsidRDefault="00DE583D" w:rsidP="0052799A">
            <w:pPr>
              <w:rPr>
                <w:rFonts w:ascii="Calibri" w:eastAsia="Times New Roman" w:hAnsi="Calibri" w:cs="Times New Roman"/>
              </w:rPr>
            </w:pPr>
            <w:r>
              <w:rPr>
                <w:rFonts w:ascii="Calibri" w:eastAsia="Times New Roman" w:hAnsi="Calibri" w:cs="Times New Roman"/>
              </w:rPr>
              <w:t>13-17 years female</w:t>
            </w:r>
          </w:p>
        </w:tc>
        <w:tc>
          <w:tcPr>
            <w:tcW w:w="1276" w:type="dxa"/>
            <w:noWrap/>
          </w:tcPr>
          <w:p w14:paraId="5A68448F" w14:textId="77777777" w:rsidR="00DE583D" w:rsidRPr="005A1475" w:rsidRDefault="00DE583D" w:rsidP="0052799A">
            <w:pPr>
              <w:jc w:val="right"/>
              <w:rPr>
                <w:rFonts w:ascii="Calibri" w:eastAsia="Times New Roman" w:hAnsi="Calibri" w:cs="Times New Roman"/>
              </w:rPr>
            </w:pPr>
            <w:r w:rsidRPr="000F72A1">
              <w:t xml:space="preserve"> 844 </w:t>
            </w:r>
          </w:p>
        </w:tc>
        <w:tc>
          <w:tcPr>
            <w:tcW w:w="1389" w:type="dxa"/>
            <w:noWrap/>
          </w:tcPr>
          <w:p w14:paraId="6D1AFB30" w14:textId="77777777" w:rsidR="00DE583D" w:rsidRPr="005A1475" w:rsidRDefault="00DE583D" w:rsidP="0052799A">
            <w:pPr>
              <w:jc w:val="right"/>
              <w:rPr>
                <w:rFonts w:ascii="Calibri" w:eastAsia="Times New Roman" w:hAnsi="Calibri" w:cs="Times New Roman"/>
              </w:rPr>
            </w:pPr>
            <w:r w:rsidRPr="000F72A1">
              <w:t xml:space="preserve"> 840 </w:t>
            </w:r>
          </w:p>
        </w:tc>
        <w:tc>
          <w:tcPr>
            <w:tcW w:w="1389" w:type="dxa"/>
            <w:noWrap/>
          </w:tcPr>
          <w:p w14:paraId="3F234717" w14:textId="77777777" w:rsidR="00DE583D" w:rsidRPr="005A1475" w:rsidRDefault="00DE583D" w:rsidP="0052799A">
            <w:pPr>
              <w:jc w:val="right"/>
              <w:rPr>
                <w:rFonts w:ascii="Calibri" w:eastAsia="Times New Roman" w:hAnsi="Calibri" w:cs="Times New Roman"/>
              </w:rPr>
            </w:pPr>
            <w:r w:rsidRPr="000F72A1">
              <w:t xml:space="preserve"> 889 </w:t>
            </w:r>
          </w:p>
        </w:tc>
        <w:tc>
          <w:tcPr>
            <w:tcW w:w="1389" w:type="dxa"/>
            <w:noWrap/>
          </w:tcPr>
          <w:p w14:paraId="476B115A" w14:textId="77777777" w:rsidR="00DE583D" w:rsidRPr="005A1475" w:rsidRDefault="00DE583D" w:rsidP="0052799A">
            <w:pPr>
              <w:jc w:val="right"/>
              <w:rPr>
                <w:rFonts w:ascii="Calibri" w:eastAsia="Times New Roman" w:hAnsi="Calibri" w:cs="Times New Roman"/>
              </w:rPr>
            </w:pPr>
            <w:r w:rsidRPr="000F72A1">
              <w:t xml:space="preserve"> 884 </w:t>
            </w:r>
          </w:p>
        </w:tc>
        <w:tc>
          <w:tcPr>
            <w:tcW w:w="1390" w:type="dxa"/>
            <w:noWrap/>
          </w:tcPr>
          <w:p w14:paraId="718574EC" w14:textId="77777777" w:rsidR="00DE583D" w:rsidRPr="005A1475" w:rsidRDefault="00DE583D" w:rsidP="0052799A">
            <w:pPr>
              <w:jc w:val="right"/>
              <w:rPr>
                <w:rFonts w:ascii="Calibri" w:eastAsia="Times New Roman" w:hAnsi="Calibri" w:cs="Times New Roman"/>
              </w:rPr>
            </w:pPr>
            <w:r w:rsidRPr="000F72A1">
              <w:t xml:space="preserve"> 952 </w:t>
            </w:r>
          </w:p>
        </w:tc>
      </w:tr>
      <w:tr w:rsidR="00DE583D" w:rsidRPr="005A1475" w14:paraId="37F0CB2A" w14:textId="77777777" w:rsidTr="0018712A">
        <w:trPr>
          <w:trHeight w:val="297"/>
        </w:trPr>
        <w:tc>
          <w:tcPr>
            <w:tcW w:w="1985" w:type="dxa"/>
            <w:noWrap/>
            <w:hideMark/>
          </w:tcPr>
          <w:p w14:paraId="5A594FD6" w14:textId="77777777" w:rsidR="00DE583D" w:rsidRDefault="00DE583D" w:rsidP="0052799A">
            <w:pPr>
              <w:rPr>
                <w:rFonts w:ascii="Calibri" w:eastAsia="Times New Roman" w:hAnsi="Calibri" w:cs="Times New Roman"/>
              </w:rPr>
            </w:pPr>
            <w:r>
              <w:rPr>
                <w:rFonts w:ascii="Calibri" w:eastAsia="Times New Roman" w:hAnsi="Calibri" w:cs="Times New Roman"/>
              </w:rPr>
              <w:t>18+ years male</w:t>
            </w:r>
          </w:p>
        </w:tc>
        <w:tc>
          <w:tcPr>
            <w:tcW w:w="1276" w:type="dxa"/>
            <w:noWrap/>
          </w:tcPr>
          <w:p w14:paraId="2F589D9C" w14:textId="77777777" w:rsidR="00DE583D" w:rsidRPr="005A1475" w:rsidRDefault="00DE583D" w:rsidP="0052799A">
            <w:pPr>
              <w:jc w:val="right"/>
              <w:rPr>
                <w:rFonts w:ascii="Calibri" w:eastAsia="Times New Roman" w:hAnsi="Calibri" w:cs="Times New Roman"/>
              </w:rPr>
            </w:pPr>
            <w:r w:rsidRPr="000F72A1">
              <w:t xml:space="preserve"> 3,340 </w:t>
            </w:r>
          </w:p>
        </w:tc>
        <w:tc>
          <w:tcPr>
            <w:tcW w:w="1389" w:type="dxa"/>
            <w:noWrap/>
          </w:tcPr>
          <w:p w14:paraId="75A32D7B" w14:textId="77777777" w:rsidR="00DE583D" w:rsidRPr="005A1475" w:rsidRDefault="00DE583D" w:rsidP="0052799A">
            <w:pPr>
              <w:jc w:val="right"/>
              <w:rPr>
                <w:rFonts w:ascii="Calibri" w:eastAsia="Times New Roman" w:hAnsi="Calibri" w:cs="Times New Roman"/>
              </w:rPr>
            </w:pPr>
            <w:r w:rsidRPr="000F72A1">
              <w:t xml:space="preserve"> 3,550 </w:t>
            </w:r>
          </w:p>
        </w:tc>
        <w:tc>
          <w:tcPr>
            <w:tcW w:w="1389" w:type="dxa"/>
            <w:noWrap/>
          </w:tcPr>
          <w:p w14:paraId="1014B049" w14:textId="77777777" w:rsidR="00DE583D" w:rsidRPr="005A1475" w:rsidRDefault="00DE583D" w:rsidP="0052799A">
            <w:pPr>
              <w:jc w:val="right"/>
              <w:rPr>
                <w:rFonts w:ascii="Calibri" w:eastAsia="Times New Roman" w:hAnsi="Calibri" w:cs="Times New Roman"/>
              </w:rPr>
            </w:pPr>
            <w:r w:rsidRPr="000F72A1">
              <w:t xml:space="preserve"> 3,882 </w:t>
            </w:r>
          </w:p>
        </w:tc>
        <w:tc>
          <w:tcPr>
            <w:tcW w:w="1389" w:type="dxa"/>
            <w:noWrap/>
          </w:tcPr>
          <w:p w14:paraId="04BBA9E1" w14:textId="77777777" w:rsidR="00DE583D" w:rsidRPr="005A1475" w:rsidRDefault="00DE583D" w:rsidP="0052799A">
            <w:pPr>
              <w:jc w:val="right"/>
              <w:rPr>
                <w:rFonts w:ascii="Calibri" w:eastAsia="Times New Roman" w:hAnsi="Calibri" w:cs="Times New Roman"/>
              </w:rPr>
            </w:pPr>
            <w:r w:rsidRPr="000F72A1">
              <w:t xml:space="preserve"> 4,060 </w:t>
            </w:r>
          </w:p>
        </w:tc>
        <w:tc>
          <w:tcPr>
            <w:tcW w:w="1390" w:type="dxa"/>
            <w:noWrap/>
          </w:tcPr>
          <w:p w14:paraId="2E70C98C" w14:textId="77777777" w:rsidR="00DE583D" w:rsidRPr="005A1475" w:rsidRDefault="00DE583D" w:rsidP="0052799A">
            <w:pPr>
              <w:jc w:val="right"/>
              <w:rPr>
                <w:rFonts w:ascii="Calibri" w:eastAsia="Times New Roman" w:hAnsi="Calibri" w:cs="Times New Roman"/>
              </w:rPr>
            </w:pPr>
            <w:r w:rsidRPr="000F72A1">
              <w:t xml:space="preserve"> 4,013 </w:t>
            </w:r>
          </w:p>
        </w:tc>
      </w:tr>
      <w:tr w:rsidR="00DE583D" w:rsidRPr="005A1475" w14:paraId="667F3B01" w14:textId="77777777" w:rsidTr="0018712A">
        <w:trPr>
          <w:trHeight w:val="297"/>
        </w:trPr>
        <w:tc>
          <w:tcPr>
            <w:tcW w:w="1985" w:type="dxa"/>
            <w:noWrap/>
            <w:hideMark/>
          </w:tcPr>
          <w:p w14:paraId="2BAED2CA" w14:textId="77777777" w:rsidR="00DE583D" w:rsidRDefault="00DE583D" w:rsidP="0052799A">
            <w:pPr>
              <w:rPr>
                <w:rFonts w:ascii="Calibri" w:eastAsia="Times New Roman" w:hAnsi="Calibri" w:cs="Times New Roman"/>
              </w:rPr>
            </w:pPr>
            <w:r>
              <w:rPr>
                <w:rFonts w:ascii="Calibri" w:eastAsia="Times New Roman" w:hAnsi="Calibri" w:cs="Times New Roman"/>
              </w:rPr>
              <w:t>18+ years female</w:t>
            </w:r>
          </w:p>
        </w:tc>
        <w:tc>
          <w:tcPr>
            <w:tcW w:w="1276" w:type="dxa"/>
            <w:noWrap/>
          </w:tcPr>
          <w:p w14:paraId="6CD962A0" w14:textId="77777777" w:rsidR="00DE583D" w:rsidRPr="005A1475" w:rsidRDefault="00DE583D" w:rsidP="0052799A">
            <w:pPr>
              <w:jc w:val="right"/>
              <w:rPr>
                <w:rFonts w:ascii="Calibri" w:eastAsia="Times New Roman" w:hAnsi="Calibri" w:cs="Times New Roman"/>
              </w:rPr>
            </w:pPr>
            <w:r w:rsidRPr="000F72A1">
              <w:t xml:space="preserve"> 1,901 </w:t>
            </w:r>
          </w:p>
        </w:tc>
        <w:tc>
          <w:tcPr>
            <w:tcW w:w="1389" w:type="dxa"/>
            <w:noWrap/>
          </w:tcPr>
          <w:p w14:paraId="6AA98CC2" w14:textId="77777777" w:rsidR="00DE583D" w:rsidRPr="005A1475" w:rsidRDefault="00DE583D" w:rsidP="0052799A">
            <w:pPr>
              <w:jc w:val="right"/>
              <w:rPr>
                <w:rFonts w:ascii="Calibri" w:eastAsia="Times New Roman" w:hAnsi="Calibri" w:cs="Times New Roman"/>
              </w:rPr>
            </w:pPr>
            <w:r w:rsidRPr="000F72A1">
              <w:t xml:space="preserve"> 2,224 </w:t>
            </w:r>
          </w:p>
        </w:tc>
        <w:tc>
          <w:tcPr>
            <w:tcW w:w="1389" w:type="dxa"/>
            <w:noWrap/>
          </w:tcPr>
          <w:p w14:paraId="0589D941" w14:textId="77777777" w:rsidR="00DE583D" w:rsidRPr="005A1475" w:rsidRDefault="00DE583D" w:rsidP="0052799A">
            <w:pPr>
              <w:jc w:val="right"/>
              <w:rPr>
                <w:rFonts w:ascii="Calibri" w:eastAsia="Times New Roman" w:hAnsi="Calibri" w:cs="Times New Roman"/>
              </w:rPr>
            </w:pPr>
            <w:r w:rsidRPr="000F72A1">
              <w:t xml:space="preserve"> 2,207 </w:t>
            </w:r>
          </w:p>
        </w:tc>
        <w:tc>
          <w:tcPr>
            <w:tcW w:w="1389" w:type="dxa"/>
            <w:noWrap/>
          </w:tcPr>
          <w:p w14:paraId="14603FDF" w14:textId="77777777" w:rsidR="00DE583D" w:rsidRPr="005A1475" w:rsidRDefault="00DE583D" w:rsidP="0052799A">
            <w:pPr>
              <w:jc w:val="right"/>
              <w:rPr>
                <w:rFonts w:ascii="Calibri" w:eastAsia="Times New Roman" w:hAnsi="Calibri" w:cs="Times New Roman"/>
              </w:rPr>
            </w:pPr>
            <w:r w:rsidRPr="000F72A1">
              <w:t xml:space="preserve"> 2,474 </w:t>
            </w:r>
          </w:p>
        </w:tc>
        <w:tc>
          <w:tcPr>
            <w:tcW w:w="1390" w:type="dxa"/>
            <w:noWrap/>
          </w:tcPr>
          <w:p w14:paraId="4B7F1CC3" w14:textId="77777777" w:rsidR="00DE583D" w:rsidRPr="005A1475" w:rsidRDefault="00DE583D" w:rsidP="0052799A">
            <w:pPr>
              <w:jc w:val="right"/>
              <w:rPr>
                <w:rFonts w:ascii="Calibri" w:eastAsia="Times New Roman" w:hAnsi="Calibri" w:cs="Times New Roman"/>
              </w:rPr>
            </w:pPr>
            <w:r w:rsidRPr="000F72A1">
              <w:t xml:space="preserve"> 2,476 </w:t>
            </w:r>
          </w:p>
        </w:tc>
      </w:tr>
      <w:tr w:rsidR="00DE583D" w:rsidRPr="005A1475" w14:paraId="5DB7EA72" w14:textId="77777777" w:rsidTr="0018712A">
        <w:trPr>
          <w:trHeight w:val="297"/>
        </w:trPr>
        <w:tc>
          <w:tcPr>
            <w:tcW w:w="1985" w:type="dxa"/>
            <w:noWrap/>
          </w:tcPr>
          <w:p w14:paraId="3A079138" w14:textId="77777777" w:rsidR="00DE583D" w:rsidRDefault="00DE583D" w:rsidP="0052799A">
            <w:pPr>
              <w:rPr>
                <w:rFonts w:ascii="Calibri" w:eastAsia="Times New Roman" w:hAnsi="Calibri" w:cs="Times New Roman"/>
              </w:rPr>
            </w:pPr>
            <w:r>
              <w:rPr>
                <w:rFonts w:ascii="Calibri" w:eastAsia="Times New Roman" w:hAnsi="Calibri" w:cs="Times New Roman"/>
              </w:rPr>
              <w:t xml:space="preserve">Unknown </w:t>
            </w:r>
          </w:p>
        </w:tc>
        <w:tc>
          <w:tcPr>
            <w:tcW w:w="1276" w:type="dxa"/>
            <w:noWrap/>
          </w:tcPr>
          <w:p w14:paraId="4F5AF4D9" w14:textId="77777777" w:rsidR="00DE583D" w:rsidRPr="005A1475" w:rsidRDefault="00DE583D" w:rsidP="0052799A">
            <w:pPr>
              <w:jc w:val="right"/>
              <w:rPr>
                <w:rFonts w:ascii="Calibri" w:eastAsia="Times New Roman" w:hAnsi="Calibri" w:cs="Times New Roman"/>
              </w:rPr>
            </w:pPr>
            <w:r w:rsidRPr="000F72A1">
              <w:t xml:space="preserve"> 324 </w:t>
            </w:r>
          </w:p>
        </w:tc>
        <w:tc>
          <w:tcPr>
            <w:tcW w:w="1389" w:type="dxa"/>
            <w:noWrap/>
          </w:tcPr>
          <w:p w14:paraId="6F700B0F" w14:textId="77777777" w:rsidR="00DE583D" w:rsidRPr="005A1475" w:rsidRDefault="00DE583D" w:rsidP="0052799A">
            <w:pPr>
              <w:jc w:val="right"/>
              <w:rPr>
                <w:rFonts w:ascii="Calibri" w:eastAsia="Times New Roman" w:hAnsi="Calibri" w:cs="Times New Roman"/>
              </w:rPr>
            </w:pPr>
            <w:r w:rsidRPr="000F72A1">
              <w:t xml:space="preserve"> 335 </w:t>
            </w:r>
          </w:p>
        </w:tc>
        <w:tc>
          <w:tcPr>
            <w:tcW w:w="1389" w:type="dxa"/>
            <w:noWrap/>
          </w:tcPr>
          <w:p w14:paraId="386543AC" w14:textId="77777777" w:rsidR="00DE583D" w:rsidRPr="005A1475" w:rsidRDefault="00DE583D" w:rsidP="0052799A">
            <w:pPr>
              <w:jc w:val="right"/>
              <w:rPr>
                <w:rFonts w:ascii="Calibri" w:eastAsia="Times New Roman" w:hAnsi="Calibri" w:cs="Times New Roman"/>
              </w:rPr>
            </w:pPr>
            <w:r w:rsidRPr="000F72A1">
              <w:t xml:space="preserve"> 189 </w:t>
            </w:r>
          </w:p>
        </w:tc>
        <w:tc>
          <w:tcPr>
            <w:tcW w:w="1389" w:type="dxa"/>
            <w:noWrap/>
          </w:tcPr>
          <w:p w14:paraId="1FE1F5AD" w14:textId="77777777" w:rsidR="00DE583D" w:rsidRPr="005A1475" w:rsidRDefault="00DE583D" w:rsidP="0052799A">
            <w:pPr>
              <w:jc w:val="right"/>
              <w:rPr>
                <w:rFonts w:ascii="Calibri" w:eastAsia="Times New Roman" w:hAnsi="Calibri" w:cs="Times New Roman"/>
              </w:rPr>
            </w:pPr>
            <w:r w:rsidRPr="000F72A1">
              <w:t xml:space="preserve"> 173 </w:t>
            </w:r>
          </w:p>
        </w:tc>
        <w:tc>
          <w:tcPr>
            <w:tcW w:w="1390" w:type="dxa"/>
            <w:noWrap/>
          </w:tcPr>
          <w:p w14:paraId="3A9ABFAC" w14:textId="77777777" w:rsidR="00DE583D" w:rsidRPr="005A1475" w:rsidRDefault="00DE583D" w:rsidP="0052799A">
            <w:pPr>
              <w:jc w:val="right"/>
              <w:rPr>
                <w:rFonts w:ascii="Calibri" w:eastAsia="Times New Roman" w:hAnsi="Calibri" w:cs="Times New Roman"/>
              </w:rPr>
            </w:pPr>
            <w:r w:rsidRPr="000F72A1">
              <w:t xml:space="preserve"> 306 </w:t>
            </w:r>
          </w:p>
        </w:tc>
      </w:tr>
      <w:tr w:rsidR="00DE583D" w:rsidRPr="00BC727E" w14:paraId="75DE84FB" w14:textId="77777777" w:rsidTr="0018712A">
        <w:trPr>
          <w:trHeight w:val="297"/>
        </w:trPr>
        <w:tc>
          <w:tcPr>
            <w:tcW w:w="1985" w:type="dxa"/>
            <w:noWrap/>
            <w:hideMark/>
          </w:tcPr>
          <w:p w14:paraId="73AA03C2" w14:textId="77777777" w:rsidR="00DE583D" w:rsidRPr="005A1475" w:rsidRDefault="00DE583D" w:rsidP="0052799A">
            <w:pPr>
              <w:rPr>
                <w:rFonts w:ascii="Calibri" w:eastAsia="Times New Roman" w:hAnsi="Calibri" w:cs="Times New Roman"/>
                <w:b/>
              </w:rPr>
            </w:pPr>
            <w:r w:rsidRPr="00BC727E">
              <w:rPr>
                <w:rFonts w:ascii="Calibri" w:eastAsia="Times New Roman" w:hAnsi="Calibri" w:cs="Times New Roman"/>
                <w:b/>
              </w:rPr>
              <w:t>Total New patients</w:t>
            </w:r>
          </w:p>
        </w:tc>
        <w:tc>
          <w:tcPr>
            <w:tcW w:w="1276" w:type="dxa"/>
            <w:noWrap/>
          </w:tcPr>
          <w:p w14:paraId="5C5F1C57" w14:textId="77777777" w:rsidR="00DE583D" w:rsidRPr="005A1475" w:rsidRDefault="00DE583D" w:rsidP="0052799A">
            <w:pPr>
              <w:jc w:val="right"/>
              <w:rPr>
                <w:rFonts w:ascii="Calibri" w:eastAsia="Times New Roman" w:hAnsi="Calibri" w:cs="Times New Roman"/>
                <w:b/>
              </w:rPr>
            </w:pPr>
            <w:r w:rsidRPr="000F72A1">
              <w:t xml:space="preserve"> 19,377 </w:t>
            </w:r>
          </w:p>
        </w:tc>
        <w:tc>
          <w:tcPr>
            <w:tcW w:w="1389" w:type="dxa"/>
            <w:noWrap/>
          </w:tcPr>
          <w:p w14:paraId="47CF20FA" w14:textId="77777777" w:rsidR="00DE583D" w:rsidRPr="005A1475" w:rsidRDefault="00DE583D" w:rsidP="0052799A">
            <w:pPr>
              <w:jc w:val="right"/>
              <w:rPr>
                <w:rFonts w:ascii="Calibri" w:eastAsia="Times New Roman" w:hAnsi="Calibri" w:cs="Times New Roman"/>
                <w:b/>
              </w:rPr>
            </w:pPr>
            <w:r w:rsidRPr="000F72A1">
              <w:t xml:space="preserve"> 21,202 </w:t>
            </w:r>
          </w:p>
        </w:tc>
        <w:tc>
          <w:tcPr>
            <w:tcW w:w="1389" w:type="dxa"/>
            <w:noWrap/>
          </w:tcPr>
          <w:p w14:paraId="7030FBD2" w14:textId="77777777" w:rsidR="00DE583D" w:rsidRPr="005A1475" w:rsidRDefault="00DE583D" w:rsidP="0052799A">
            <w:pPr>
              <w:jc w:val="right"/>
              <w:rPr>
                <w:rFonts w:ascii="Calibri" w:eastAsia="Times New Roman" w:hAnsi="Calibri" w:cs="Times New Roman"/>
                <w:b/>
              </w:rPr>
            </w:pPr>
            <w:r w:rsidRPr="000F72A1">
              <w:t xml:space="preserve"> 22,354 </w:t>
            </w:r>
          </w:p>
        </w:tc>
        <w:tc>
          <w:tcPr>
            <w:tcW w:w="1389" w:type="dxa"/>
            <w:noWrap/>
          </w:tcPr>
          <w:p w14:paraId="2239A1CD" w14:textId="77777777" w:rsidR="00DE583D" w:rsidRPr="005A1475" w:rsidRDefault="00DE583D" w:rsidP="0052799A">
            <w:pPr>
              <w:jc w:val="right"/>
              <w:rPr>
                <w:rFonts w:ascii="Calibri" w:eastAsia="Times New Roman" w:hAnsi="Calibri" w:cs="Times New Roman"/>
                <w:b/>
              </w:rPr>
            </w:pPr>
            <w:r w:rsidRPr="000F72A1">
              <w:t xml:space="preserve"> 23,782 </w:t>
            </w:r>
          </w:p>
        </w:tc>
        <w:tc>
          <w:tcPr>
            <w:tcW w:w="1390" w:type="dxa"/>
            <w:noWrap/>
          </w:tcPr>
          <w:p w14:paraId="1800E85A" w14:textId="77777777" w:rsidR="00DE583D" w:rsidRPr="005A1475" w:rsidRDefault="00DE583D" w:rsidP="0052799A">
            <w:pPr>
              <w:jc w:val="right"/>
              <w:rPr>
                <w:rFonts w:ascii="Calibri" w:eastAsia="Times New Roman" w:hAnsi="Calibri" w:cs="Times New Roman"/>
                <w:b/>
              </w:rPr>
            </w:pPr>
            <w:r w:rsidRPr="000F72A1">
              <w:t xml:space="preserve"> 24,232 </w:t>
            </w:r>
          </w:p>
        </w:tc>
      </w:tr>
    </w:tbl>
    <w:p w14:paraId="088C51DD" w14:textId="77777777" w:rsidR="00DE583D" w:rsidRDefault="00DE583D" w:rsidP="00DE583D">
      <w:pPr>
        <w:rPr>
          <w:rFonts w:cs="Baskerville"/>
          <w:sz w:val="20"/>
          <w:szCs w:val="20"/>
        </w:rPr>
      </w:pPr>
      <w:r w:rsidRPr="00C6303F">
        <w:rPr>
          <w:rFonts w:cs="Baskerville"/>
          <w:sz w:val="20"/>
          <w:szCs w:val="20"/>
        </w:rPr>
        <w:t xml:space="preserve">Source: DHS Authority approval data, extracted </w:t>
      </w:r>
      <w:r>
        <w:rPr>
          <w:rFonts w:cs="Baskerville"/>
          <w:sz w:val="20"/>
          <w:szCs w:val="20"/>
        </w:rPr>
        <w:t>May</w:t>
      </w:r>
      <w:r w:rsidRPr="00C6303F">
        <w:rPr>
          <w:rFonts w:cs="Baskerville"/>
          <w:sz w:val="20"/>
          <w:szCs w:val="20"/>
        </w:rPr>
        <w:t xml:space="preserve"> 2015. </w:t>
      </w:r>
      <w:r w:rsidRPr="00E51B21">
        <w:rPr>
          <w:rFonts w:cs="Baskerville"/>
          <w:sz w:val="20"/>
          <w:szCs w:val="20"/>
        </w:rPr>
        <w:t>Unknown denotes age or sex not available in data.</w:t>
      </w:r>
    </w:p>
    <w:p w14:paraId="4B5F9107" w14:textId="177B6A68" w:rsidR="00372888" w:rsidRPr="0068248A" w:rsidRDefault="00372888" w:rsidP="00372888">
      <w:pPr>
        <w:pStyle w:val="Tabletitle"/>
      </w:pPr>
      <w:r>
        <w:t>Table 4</w:t>
      </w:r>
      <w:r w:rsidRPr="0068248A">
        <w:t>: Number of people treated with ADHD medicines by age and gender.</w:t>
      </w:r>
    </w:p>
    <w:tbl>
      <w:tblPr>
        <w:tblStyle w:val="TableGrid1"/>
        <w:tblW w:w="8818" w:type="dxa"/>
        <w:tblLayout w:type="fixed"/>
        <w:tblLook w:val="04A0" w:firstRow="1" w:lastRow="0" w:firstColumn="1" w:lastColumn="0" w:noHBand="0" w:noVBand="1"/>
        <w:tblCaption w:val="Different age brackets are listed in the first column, read across the row for the number of patients treated in the years 2010 to 2014 inclusive"/>
      </w:tblPr>
      <w:tblGrid>
        <w:gridCol w:w="1985"/>
        <w:gridCol w:w="1276"/>
        <w:gridCol w:w="1389"/>
        <w:gridCol w:w="1389"/>
        <w:gridCol w:w="1389"/>
        <w:gridCol w:w="1390"/>
      </w:tblGrid>
      <w:tr w:rsidR="00372888" w:rsidRPr="00EE0D19" w14:paraId="11F357D9" w14:textId="77777777" w:rsidTr="00011276">
        <w:trPr>
          <w:trHeight w:val="297"/>
          <w:tblHeader/>
        </w:trPr>
        <w:tc>
          <w:tcPr>
            <w:tcW w:w="1985" w:type="dxa"/>
            <w:shd w:val="clear" w:color="auto" w:fill="D9D9D9" w:themeFill="background1" w:themeFillShade="D9"/>
            <w:noWrap/>
            <w:hideMark/>
          </w:tcPr>
          <w:p w14:paraId="6A5D00A6" w14:textId="77777777" w:rsidR="00372888" w:rsidRPr="00EE0D19" w:rsidRDefault="00372888" w:rsidP="0018712A">
            <w:pPr>
              <w:rPr>
                <w:rFonts w:ascii="Calibri" w:eastAsia="Times New Roman" w:hAnsi="Calibri" w:cs="Times New Roman"/>
                <w:b/>
              </w:rPr>
            </w:pPr>
          </w:p>
        </w:tc>
        <w:tc>
          <w:tcPr>
            <w:tcW w:w="1276" w:type="dxa"/>
            <w:shd w:val="clear" w:color="auto" w:fill="D9D9D9" w:themeFill="background1" w:themeFillShade="D9"/>
            <w:noWrap/>
          </w:tcPr>
          <w:p w14:paraId="0CEEC34A" w14:textId="77777777" w:rsidR="00372888" w:rsidRPr="00EE0D19" w:rsidRDefault="00372888" w:rsidP="0018712A">
            <w:pPr>
              <w:jc w:val="center"/>
              <w:rPr>
                <w:rFonts w:ascii="Calibri" w:eastAsia="Times New Roman" w:hAnsi="Calibri" w:cs="Times New Roman"/>
                <w:b/>
              </w:rPr>
            </w:pPr>
            <w:r w:rsidRPr="00EE0D19">
              <w:rPr>
                <w:rFonts w:ascii="Calibri" w:eastAsia="Times New Roman" w:hAnsi="Calibri" w:cs="Times New Roman"/>
                <w:b/>
              </w:rPr>
              <w:t>2010</w:t>
            </w:r>
          </w:p>
        </w:tc>
        <w:tc>
          <w:tcPr>
            <w:tcW w:w="1389" w:type="dxa"/>
            <w:shd w:val="clear" w:color="auto" w:fill="D9D9D9" w:themeFill="background1" w:themeFillShade="D9"/>
            <w:noWrap/>
          </w:tcPr>
          <w:p w14:paraId="3EC69F56" w14:textId="77777777" w:rsidR="00372888" w:rsidRPr="00EE0D19" w:rsidRDefault="00372888" w:rsidP="0018712A">
            <w:pPr>
              <w:jc w:val="center"/>
              <w:rPr>
                <w:rFonts w:ascii="Calibri" w:eastAsia="Times New Roman" w:hAnsi="Calibri" w:cs="Times New Roman"/>
                <w:b/>
              </w:rPr>
            </w:pPr>
            <w:r w:rsidRPr="00EE0D19">
              <w:rPr>
                <w:rFonts w:ascii="Calibri" w:eastAsia="Times New Roman" w:hAnsi="Calibri" w:cs="Times New Roman"/>
                <w:b/>
              </w:rPr>
              <w:t>2011</w:t>
            </w:r>
          </w:p>
        </w:tc>
        <w:tc>
          <w:tcPr>
            <w:tcW w:w="1389" w:type="dxa"/>
            <w:shd w:val="clear" w:color="auto" w:fill="D9D9D9" w:themeFill="background1" w:themeFillShade="D9"/>
            <w:noWrap/>
          </w:tcPr>
          <w:p w14:paraId="64DB7B95" w14:textId="77777777" w:rsidR="00372888" w:rsidRPr="00EE0D19" w:rsidRDefault="00372888" w:rsidP="0018712A">
            <w:pPr>
              <w:jc w:val="center"/>
              <w:rPr>
                <w:rFonts w:ascii="Calibri" w:eastAsia="Times New Roman" w:hAnsi="Calibri" w:cs="Times New Roman"/>
                <w:b/>
              </w:rPr>
            </w:pPr>
            <w:r w:rsidRPr="00EE0D19">
              <w:rPr>
                <w:rFonts w:ascii="Calibri" w:eastAsia="Times New Roman" w:hAnsi="Calibri" w:cs="Times New Roman"/>
                <w:b/>
              </w:rPr>
              <w:t>2012</w:t>
            </w:r>
          </w:p>
        </w:tc>
        <w:tc>
          <w:tcPr>
            <w:tcW w:w="1389" w:type="dxa"/>
            <w:shd w:val="clear" w:color="auto" w:fill="D9D9D9" w:themeFill="background1" w:themeFillShade="D9"/>
            <w:noWrap/>
          </w:tcPr>
          <w:p w14:paraId="5320FF0F" w14:textId="77777777" w:rsidR="00372888" w:rsidRPr="00EE0D19" w:rsidRDefault="00372888" w:rsidP="0018712A">
            <w:pPr>
              <w:jc w:val="center"/>
              <w:rPr>
                <w:rFonts w:ascii="Calibri" w:eastAsia="Times New Roman" w:hAnsi="Calibri" w:cs="Times New Roman"/>
                <w:b/>
              </w:rPr>
            </w:pPr>
            <w:r w:rsidRPr="00EE0D19">
              <w:rPr>
                <w:rFonts w:ascii="Calibri" w:eastAsia="Times New Roman" w:hAnsi="Calibri" w:cs="Times New Roman"/>
                <w:b/>
              </w:rPr>
              <w:t>2013</w:t>
            </w:r>
          </w:p>
        </w:tc>
        <w:tc>
          <w:tcPr>
            <w:tcW w:w="1390" w:type="dxa"/>
            <w:shd w:val="clear" w:color="auto" w:fill="D9D9D9" w:themeFill="background1" w:themeFillShade="D9"/>
            <w:noWrap/>
          </w:tcPr>
          <w:p w14:paraId="33E5CCEC" w14:textId="77777777" w:rsidR="00372888" w:rsidRPr="00EE0D19" w:rsidRDefault="00372888" w:rsidP="0018712A">
            <w:pPr>
              <w:jc w:val="center"/>
              <w:rPr>
                <w:rFonts w:ascii="Calibri" w:eastAsia="Times New Roman" w:hAnsi="Calibri" w:cs="Times New Roman"/>
                <w:b/>
              </w:rPr>
            </w:pPr>
            <w:r w:rsidRPr="00EE0D19">
              <w:rPr>
                <w:rFonts w:ascii="Calibri" w:eastAsia="Times New Roman" w:hAnsi="Calibri" w:cs="Times New Roman"/>
                <w:b/>
              </w:rPr>
              <w:t>2014</w:t>
            </w:r>
          </w:p>
        </w:tc>
      </w:tr>
      <w:tr w:rsidR="00372888" w:rsidRPr="005A1475" w14:paraId="4700A3FB" w14:textId="77777777" w:rsidTr="0018712A">
        <w:trPr>
          <w:trHeight w:val="297"/>
        </w:trPr>
        <w:tc>
          <w:tcPr>
            <w:tcW w:w="1985" w:type="dxa"/>
            <w:noWrap/>
            <w:hideMark/>
          </w:tcPr>
          <w:p w14:paraId="6F6428B9" w14:textId="77777777" w:rsidR="00372888" w:rsidRDefault="00372888" w:rsidP="0018712A">
            <w:pPr>
              <w:rPr>
                <w:rFonts w:ascii="Calibri" w:eastAsia="Times New Roman" w:hAnsi="Calibri" w:cs="Times New Roman"/>
              </w:rPr>
            </w:pPr>
            <w:r>
              <w:rPr>
                <w:rFonts w:ascii="Calibri" w:eastAsia="Times New Roman" w:hAnsi="Calibri" w:cs="Times New Roman"/>
              </w:rPr>
              <w:t>&lt;6 years male</w:t>
            </w:r>
          </w:p>
        </w:tc>
        <w:tc>
          <w:tcPr>
            <w:tcW w:w="1276" w:type="dxa"/>
            <w:noWrap/>
          </w:tcPr>
          <w:p w14:paraId="707B4082" w14:textId="77777777" w:rsidR="00372888" w:rsidRPr="005A1475" w:rsidRDefault="00372888" w:rsidP="0018712A">
            <w:pPr>
              <w:jc w:val="right"/>
              <w:rPr>
                <w:rFonts w:ascii="Calibri" w:eastAsia="Times New Roman" w:hAnsi="Calibri" w:cs="Times New Roman"/>
              </w:rPr>
            </w:pPr>
            <w:r w:rsidRPr="00851A86">
              <w:t xml:space="preserve"> 1,675 </w:t>
            </w:r>
          </w:p>
        </w:tc>
        <w:tc>
          <w:tcPr>
            <w:tcW w:w="1389" w:type="dxa"/>
            <w:noWrap/>
          </w:tcPr>
          <w:p w14:paraId="4366AC71" w14:textId="77777777" w:rsidR="00372888" w:rsidRPr="005A1475" w:rsidRDefault="00372888" w:rsidP="0018712A">
            <w:pPr>
              <w:jc w:val="right"/>
              <w:rPr>
                <w:rFonts w:ascii="Calibri" w:eastAsia="Times New Roman" w:hAnsi="Calibri" w:cs="Times New Roman"/>
              </w:rPr>
            </w:pPr>
            <w:r w:rsidRPr="00851A86">
              <w:t xml:space="preserve"> 1,869 </w:t>
            </w:r>
          </w:p>
        </w:tc>
        <w:tc>
          <w:tcPr>
            <w:tcW w:w="1389" w:type="dxa"/>
            <w:noWrap/>
          </w:tcPr>
          <w:p w14:paraId="54F25692" w14:textId="77777777" w:rsidR="00372888" w:rsidRPr="005A1475" w:rsidRDefault="00372888" w:rsidP="0018712A">
            <w:pPr>
              <w:jc w:val="right"/>
              <w:rPr>
                <w:rFonts w:ascii="Calibri" w:eastAsia="Times New Roman" w:hAnsi="Calibri" w:cs="Times New Roman"/>
              </w:rPr>
            </w:pPr>
            <w:r w:rsidRPr="00851A86">
              <w:t xml:space="preserve"> 2,106 </w:t>
            </w:r>
          </w:p>
        </w:tc>
        <w:tc>
          <w:tcPr>
            <w:tcW w:w="1389" w:type="dxa"/>
            <w:noWrap/>
          </w:tcPr>
          <w:p w14:paraId="6FF011FA" w14:textId="77777777" w:rsidR="00372888" w:rsidRPr="005A1475" w:rsidRDefault="00372888" w:rsidP="0018712A">
            <w:pPr>
              <w:jc w:val="right"/>
              <w:rPr>
                <w:rFonts w:ascii="Calibri" w:eastAsia="Times New Roman" w:hAnsi="Calibri" w:cs="Times New Roman"/>
              </w:rPr>
            </w:pPr>
            <w:r w:rsidRPr="00851A86">
              <w:t xml:space="preserve"> 2,212 </w:t>
            </w:r>
          </w:p>
        </w:tc>
        <w:tc>
          <w:tcPr>
            <w:tcW w:w="1390" w:type="dxa"/>
            <w:noWrap/>
          </w:tcPr>
          <w:p w14:paraId="67EE9615" w14:textId="77777777" w:rsidR="00372888" w:rsidRPr="005A1475" w:rsidRDefault="00372888" w:rsidP="0018712A">
            <w:pPr>
              <w:jc w:val="right"/>
              <w:rPr>
                <w:rFonts w:ascii="Calibri" w:eastAsia="Times New Roman" w:hAnsi="Calibri" w:cs="Times New Roman"/>
              </w:rPr>
            </w:pPr>
            <w:r w:rsidRPr="00851A86">
              <w:t xml:space="preserve"> 2,266 </w:t>
            </w:r>
          </w:p>
        </w:tc>
      </w:tr>
      <w:tr w:rsidR="00372888" w:rsidRPr="005A1475" w14:paraId="03CC8A19" w14:textId="77777777" w:rsidTr="0018712A">
        <w:trPr>
          <w:trHeight w:val="297"/>
        </w:trPr>
        <w:tc>
          <w:tcPr>
            <w:tcW w:w="1985" w:type="dxa"/>
            <w:noWrap/>
            <w:hideMark/>
          </w:tcPr>
          <w:p w14:paraId="7E9FB3CA" w14:textId="77777777" w:rsidR="00372888" w:rsidRDefault="00372888" w:rsidP="0018712A">
            <w:pPr>
              <w:rPr>
                <w:rFonts w:ascii="Calibri" w:eastAsia="Times New Roman" w:hAnsi="Calibri" w:cs="Times New Roman"/>
              </w:rPr>
            </w:pPr>
            <w:r>
              <w:rPr>
                <w:rFonts w:ascii="Calibri" w:eastAsia="Times New Roman" w:hAnsi="Calibri" w:cs="Times New Roman"/>
              </w:rPr>
              <w:t>&lt;6 years female</w:t>
            </w:r>
          </w:p>
        </w:tc>
        <w:tc>
          <w:tcPr>
            <w:tcW w:w="1276" w:type="dxa"/>
            <w:noWrap/>
          </w:tcPr>
          <w:p w14:paraId="4FC143E5" w14:textId="77777777" w:rsidR="00372888" w:rsidRPr="005A1475" w:rsidRDefault="00372888" w:rsidP="0018712A">
            <w:pPr>
              <w:jc w:val="right"/>
              <w:rPr>
                <w:rFonts w:ascii="Calibri" w:eastAsia="Times New Roman" w:hAnsi="Calibri" w:cs="Times New Roman"/>
              </w:rPr>
            </w:pPr>
            <w:r w:rsidRPr="00851A86">
              <w:t xml:space="preserve"> 374 </w:t>
            </w:r>
          </w:p>
        </w:tc>
        <w:tc>
          <w:tcPr>
            <w:tcW w:w="1389" w:type="dxa"/>
            <w:noWrap/>
          </w:tcPr>
          <w:p w14:paraId="4456773E" w14:textId="77777777" w:rsidR="00372888" w:rsidRPr="005A1475" w:rsidRDefault="00372888" w:rsidP="0018712A">
            <w:pPr>
              <w:jc w:val="right"/>
              <w:rPr>
                <w:rFonts w:ascii="Calibri" w:eastAsia="Times New Roman" w:hAnsi="Calibri" w:cs="Times New Roman"/>
              </w:rPr>
            </w:pPr>
            <w:r w:rsidRPr="00851A86">
              <w:t xml:space="preserve"> 388 </w:t>
            </w:r>
          </w:p>
        </w:tc>
        <w:tc>
          <w:tcPr>
            <w:tcW w:w="1389" w:type="dxa"/>
            <w:noWrap/>
          </w:tcPr>
          <w:p w14:paraId="44295133" w14:textId="77777777" w:rsidR="00372888" w:rsidRPr="005A1475" w:rsidRDefault="00372888" w:rsidP="0018712A">
            <w:pPr>
              <w:jc w:val="right"/>
              <w:rPr>
                <w:rFonts w:ascii="Calibri" w:eastAsia="Times New Roman" w:hAnsi="Calibri" w:cs="Times New Roman"/>
              </w:rPr>
            </w:pPr>
            <w:r w:rsidRPr="00851A86">
              <w:t xml:space="preserve"> 452 </w:t>
            </w:r>
          </w:p>
        </w:tc>
        <w:tc>
          <w:tcPr>
            <w:tcW w:w="1389" w:type="dxa"/>
            <w:noWrap/>
          </w:tcPr>
          <w:p w14:paraId="001CFCE7" w14:textId="77777777" w:rsidR="00372888" w:rsidRPr="005A1475" w:rsidRDefault="00372888" w:rsidP="0018712A">
            <w:pPr>
              <w:jc w:val="right"/>
              <w:rPr>
                <w:rFonts w:ascii="Calibri" w:eastAsia="Times New Roman" w:hAnsi="Calibri" w:cs="Times New Roman"/>
              </w:rPr>
            </w:pPr>
            <w:r w:rsidRPr="00851A86">
              <w:t xml:space="preserve"> 507 </w:t>
            </w:r>
          </w:p>
        </w:tc>
        <w:tc>
          <w:tcPr>
            <w:tcW w:w="1390" w:type="dxa"/>
            <w:noWrap/>
          </w:tcPr>
          <w:p w14:paraId="731EE88E" w14:textId="77777777" w:rsidR="00372888" w:rsidRPr="005A1475" w:rsidRDefault="00372888" w:rsidP="0018712A">
            <w:pPr>
              <w:jc w:val="right"/>
              <w:rPr>
                <w:rFonts w:ascii="Calibri" w:eastAsia="Times New Roman" w:hAnsi="Calibri" w:cs="Times New Roman"/>
              </w:rPr>
            </w:pPr>
            <w:r w:rsidRPr="00851A86">
              <w:t xml:space="preserve"> 518 </w:t>
            </w:r>
          </w:p>
        </w:tc>
      </w:tr>
      <w:tr w:rsidR="00372888" w:rsidRPr="005A1475" w14:paraId="16A3228A" w14:textId="77777777" w:rsidTr="0018712A">
        <w:trPr>
          <w:trHeight w:val="297"/>
        </w:trPr>
        <w:tc>
          <w:tcPr>
            <w:tcW w:w="1985" w:type="dxa"/>
            <w:noWrap/>
            <w:hideMark/>
          </w:tcPr>
          <w:p w14:paraId="58DAA232" w14:textId="77777777" w:rsidR="00372888" w:rsidRDefault="00372888" w:rsidP="0018712A">
            <w:pPr>
              <w:rPr>
                <w:rFonts w:ascii="Calibri" w:eastAsia="Times New Roman" w:hAnsi="Calibri" w:cs="Times New Roman"/>
              </w:rPr>
            </w:pPr>
            <w:r>
              <w:rPr>
                <w:rFonts w:ascii="Calibri" w:eastAsia="Times New Roman" w:hAnsi="Calibri" w:cs="Times New Roman"/>
              </w:rPr>
              <w:t>6-12 years male</w:t>
            </w:r>
          </w:p>
        </w:tc>
        <w:tc>
          <w:tcPr>
            <w:tcW w:w="1276" w:type="dxa"/>
            <w:noWrap/>
          </w:tcPr>
          <w:p w14:paraId="568D2C15" w14:textId="77777777" w:rsidR="00372888" w:rsidRPr="005A1475" w:rsidRDefault="00372888" w:rsidP="0018712A">
            <w:pPr>
              <w:jc w:val="right"/>
              <w:rPr>
                <w:rFonts w:ascii="Calibri" w:eastAsia="Times New Roman" w:hAnsi="Calibri" w:cs="Times New Roman"/>
              </w:rPr>
            </w:pPr>
            <w:r w:rsidRPr="00851A86">
              <w:t xml:space="preserve"> 30,378 </w:t>
            </w:r>
          </w:p>
        </w:tc>
        <w:tc>
          <w:tcPr>
            <w:tcW w:w="1389" w:type="dxa"/>
            <w:noWrap/>
          </w:tcPr>
          <w:p w14:paraId="00E10C42" w14:textId="77777777" w:rsidR="00372888" w:rsidRPr="005A1475" w:rsidRDefault="00372888" w:rsidP="0018712A">
            <w:pPr>
              <w:jc w:val="right"/>
              <w:rPr>
                <w:rFonts w:ascii="Calibri" w:eastAsia="Times New Roman" w:hAnsi="Calibri" w:cs="Times New Roman"/>
              </w:rPr>
            </w:pPr>
            <w:r w:rsidRPr="00851A86">
              <w:t xml:space="preserve"> 32,532 </w:t>
            </w:r>
          </w:p>
        </w:tc>
        <w:tc>
          <w:tcPr>
            <w:tcW w:w="1389" w:type="dxa"/>
            <w:noWrap/>
          </w:tcPr>
          <w:p w14:paraId="549FDF4C" w14:textId="77777777" w:rsidR="00372888" w:rsidRPr="005A1475" w:rsidRDefault="00372888" w:rsidP="0018712A">
            <w:pPr>
              <w:jc w:val="right"/>
              <w:rPr>
                <w:rFonts w:ascii="Calibri" w:eastAsia="Times New Roman" w:hAnsi="Calibri" w:cs="Times New Roman"/>
              </w:rPr>
            </w:pPr>
            <w:r w:rsidRPr="00851A86">
              <w:t xml:space="preserve"> 35,075 </w:t>
            </w:r>
          </w:p>
        </w:tc>
        <w:tc>
          <w:tcPr>
            <w:tcW w:w="1389" w:type="dxa"/>
            <w:noWrap/>
          </w:tcPr>
          <w:p w14:paraId="14463D9B" w14:textId="77777777" w:rsidR="00372888" w:rsidRPr="005A1475" w:rsidRDefault="00372888" w:rsidP="0018712A">
            <w:pPr>
              <w:jc w:val="right"/>
              <w:rPr>
                <w:rFonts w:ascii="Calibri" w:eastAsia="Times New Roman" w:hAnsi="Calibri" w:cs="Times New Roman"/>
              </w:rPr>
            </w:pPr>
            <w:r w:rsidRPr="00851A86">
              <w:t xml:space="preserve"> 38,013 </w:t>
            </w:r>
          </w:p>
        </w:tc>
        <w:tc>
          <w:tcPr>
            <w:tcW w:w="1390" w:type="dxa"/>
            <w:noWrap/>
          </w:tcPr>
          <w:p w14:paraId="65B61DD3" w14:textId="77777777" w:rsidR="00372888" w:rsidRPr="005A1475" w:rsidRDefault="00372888" w:rsidP="0018712A">
            <w:pPr>
              <w:jc w:val="right"/>
              <w:rPr>
                <w:rFonts w:ascii="Calibri" w:eastAsia="Times New Roman" w:hAnsi="Calibri" w:cs="Times New Roman"/>
              </w:rPr>
            </w:pPr>
            <w:r w:rsidRPr="00851A86">
              <w:t xml:space="preserve"> 40,298 </w:t>
            </w:r>
          </w:p>
        </w:tc>
      </w:tr>
      <w:tr w:rsidR="00372888" w:rsidRPr="005A1475" w14:paraId="2F58CBED" w14:textId="77777777" w:rsidTr="0018712A">
        <w:trPr>
          <w:trHeight w:val="297"/>
        </w:trPr>
        <w:tc>
          <w:tcPr>
            <w:tcW w:w="1985" w:type="dxa"/>
            <w:noWrap/>
          </w:tcPr>
          <w:p w14:paraId="0B70B76B" w14:textId="77777777" w:rsidR="00372888" w:rsidRDefault="00372888" w:rsidP="0018712A">
            <w:pPr>
              <w:rPr>
                <w:rFonts w:ascii="Calibri" w:eastAsia="Times New Roman" w:hAnsi="Calibri" w:cs="Times New Roman"/>
              </w:rPr>
            </w:pPr>
            <w:r w:rsidRPr="00C16CA3">
              <w:rPr>
                <w:rFonts w:ascii="Calibri" w:eastAsia="Times New Roman" w:hAnsi="Calibri" w:cs="Times New Roman"/>
              </w:rPr>
              <w:t xml:space="preserve">6-12 years </w:t>
            </w:r>
            <w:r>
              <w:rPr>
                <w:rFonts w:ascii="Calibri" w:eastAsia="Times New Roman" w:hAnsi="Calibri" w:cs="Times New Roman"/>
              </w:rPr>
              <w:t>fe</w:t>
            </w:r>
            <w:r w:rsidRPr="00C16CA3">
              <w:rPr>
                <w:rFonts w:ascii="Calibri" w:eastAsia="Times New Roman" w:hAnsi="Calibri" w:cs="Times New Roman"/>
              </w:rPr>
              <w:t>male</w:t>
            </w:r>
          </w:p>
        </w:tc>
        <w:tc>
          <w:tcPr>
            <w:tcW w:w="1276" w:type="dxa"/>
            <w:noWrap/>
          </w:tcPr>
          <w:p w14:paraId="7E392895" w14:textId="77777777" w:rsidR="00372888" w:rsidRPr="005A1475" w:rsidRDefault="00372888" w:rsidP="0018712A">
            <w:pPr>
              <w:jc w:val="right"/>
              <w:rPr>
                <w:rFonts w:ascii="Calibri" w:eastAsia="Times New Roman" w:hAnsi="Calibri" w:cs="Times New Roman"/>
              </w:rPr>
            </w:pPr>
            <w:r w:rsidRPr="00851A86">
              <w:t xml:space="preserve"> 7,200 </w:t>
            </w:r>
          </w:p>
        </w:tc>
        <w:tc>
          <w:tcPr>
            <w:tcW w:w="1389" w:type="dxa"/>
            <w:noWrap/>
          </w:tcPr>
          <w:p w14:paraId="71D6DC7A" w14:textId="77777777" w:rsidR="00372888" w:rsidRPr="005A1475" w:rsidRDefault="00372888" w:rsidP="0018712A">
            <w:pPr>
              <w:jc w:val="right"/>
              <w:rPr>
                <w:rFonts w:ascii="Calibri" w:eastAsia="Times New Roman" w:hAnsi="Calibri" w:cs="Times New Roman"/>
              </w:rPr>
            </w:pPr>
            <w:r w:rsidRPr="00851A86">
              <w:t xml:space="preserve"> 8,011 </w:t>
            </w:r>
          </w:p>
        </w:tc>
        <w:tc>
          <w:tcPr>
            <w:tcW w:w="1389" w:type="dxa"/>
            <w:noWrap/>
          </w:tcPr>
          <w:p w14:paraId="5AD53A5E" w14:textId="77777777" w:rsidR="00372888" w:rsidRPr="005A1475" w:rsidRDefault="00372888" w:rsidP="0018712A">
            <w:pPr>
              <w:jc w:val="right"/>
              <w:rPr>
                <w:rFonts w:ascii="Calibri" w:eastAsia="Times New Roman" w:hAnsi="Calibri" w:cs="Times New Roman"/>
              </w:rPr>
            </w:pPr>
            <w:r w:rsidRPr="00851A86">
              <w:t xml:space="preserve"> 8,712 </w:t>
            </w:r>
          </w:p>
        </w:tc>
        <w:tc>
          <w:tcPr>
            <w:tcW w:w="1389" w:type="dxa"/>
            <w:noWrap/>
          </w:tcPr>
          <w:p w14:paraId="412D0057" w14:textId="77777777" w:rsidR="00372888" w:rsidRPr="005A1475" w:rsidRDefault="00372888" w:rsidP="0018712A">
            <w:pPr>
              <w:jc w:val="right"/>
              <w:rPr>
                <w:rFonts w:ascii="Calibri" w:eastAsia="Times New Roman" w:hAnsi="Calibri" w:cs="Times New Roman"/>
              </w:rPr>
            </w:pPr>
            <w:r w:rsidRPr="00851A86">
              <w:t xml:space="preserve"> 9,635 </w:t>
            </w:r>
          </w:p>
        </w:tc>
        <w:tc>
          <w:tcPr>
            <w:tcW w:w="1390" w:type="dxa"/>
            <w:noWrap/>
          </w:tcPr>
          <w:p w14:paraId="7672DB6D" w14:textId="77777777" w:rsidR="00372888" w:rsidRPr="005A1475" w:rsidRDefault="00372888" w:rsidP="0018712A">
            <w:pPr>
              <w:jc w:val="right"/>
              <w:rPr>
                <w:rFonts w:ascii="Calibri" w:eastAsia="Times New Roman" w:hAnsi="Calibri" w:cs="Times New Roman"/>
              </w:rPr>
            </w:pPr>
            <w:r w:rsidRPr="00851A86">
              <w:t xml:space="preserve"> 10,317 </w:t>
            </w:r>
          </w:p>
        </w:tc>
      </w:tr>
      <w:tr w:rsidR="00372888" w:rsidRPr="005A1475" w14:paraId="0916B2E9" w14:textId="77777777" w:rsidTr="0018712A">
        <w:trPr>
          <w:trHeight w:val="297"/>
        </w:trPr>
        <w:tc>
          <w:tcPr>
            <w:tcW w:w="1985" w:type="dxa"/>
            <w:noWrap/>
          </w:tcPr>
          <w:p w14:paraId="7C940927" w14:textId="77777777" w:rsidR="00372888" w:rsidRDefault="00372888" w:rsidP="0018712A">
            <w:pPr>
              <w:rPr>
                <w:rFonts w:ascii="Calibri" w:eastAsia="Times New Roman" w:hAnsi="Calibri" w:cs="Times New Roman"/>
              </w:rPr>
            </w:pPr>
            <w:r>
              <w:rPr>
                <w:rFonts w:ascii="Calibri" w:eastAsia="Times New Roman" w:hAnsi="Calibri" w:cs="Times New Roman"/>
              </w:rPr>
              <w:t>13-17 years male</w:t>
            </w:r>
          </w:p>
        </w:tc>
        <w:tc>
          <w:tcPr>
            <w:tcW w:w="1276" w:type="dxa"/>
            <w:noWrap/>
          </w:tcPr>
          <w:p w14:paraId="56301700" w14:textId="77777777" w:rsidR="00372888" w:rsidRPr="005A1475" w:rsidRDefault="00372888" w:rsidP="0018712A">
            <w:pPr>
              <w:jc w:val="right"/>
              <w:rPr>
                <w:rFonts w:ascii="Calibri" w:eastAsia="Times New Roman" w:hAnsi="Calibri" w:cs="Times New Roman"/>
              </w:rPr>
            </w:pPr>
            <w:r w:rsidRPr="00851A86">
              <w:t xml:space="preserve"> 17,167 </w:t>
            </w:r>
          </w:p>
        </w:tc>
        <w:tc>
          <w:tcPr>
            <w:tcW w:w="1389" w:type="dxa"/>
            <w:noWrap/>
          </w:tcPr>
          <w:p w14:paraId="0DEF422E" w14:textId="77777777" w:rsidR="00372888" w:rsidRPr="005A1475" w:rsidRDefault="00372888" w:rsidP="0018712A">
            <w:pPr>
              <w:jc w:val="right"/>
              <w:rPr>
                <w:rFonts w:ascii="Calibri" w:eastAsia="Times New Roman" w:hAnsi="Calibri" w:cs="Times New Roman"/>
              </w:rPr>
            </w:pPr>
            <w:r w:rsidRPr="00851A86">
              <w:t xml:space="preserve"> 18,071 </w:t>
            </w:r>
          </w:p>
        </w:tc>
        <w:tc>
          <w:tcPr>
            <w:tcW w:w="1389" w:type="dxa"/>
            <w:noWrap/>
          </w:tcPr>
          <w:p w14:paraId="2ECA96C2" w14:textId="77777777" w:rsidR="00372888" w:rsidRPr="005A1475" w:rsidRDefault="00372888" w:rsidP="0018712A">
            <w:pPr>
              <w:jc w:val="right"/>
              <w:rPr>
                <w:rFonts w:ascii="Calibri" w:eastAsia="Times New Roman" w:hAnsi="Calibri" w:cs="Times New Roman"/>
              </w:rPr>
            </w:pPr>
            <w:r w:rsidRPr="00851A86">
              <w:t xml:space="preserve"> 18,778 </w:t>
            </w:r>
          </w:p>
        </w:tc>
        <w:tc>
          <w:tcPr>
            <w:tcW w:w="1389" w:type="dxa"/>
            <w:noWrap/>
          </w:tcPr>
          <w:p w14:paraId="2D066539" w14:textId="77777777" w:rsidR="00372888" w:rsidRPr="005A1475" w:rsidRDefault="00372888" w:rsidP="0018712A">
            <w:pPr>
              <w:jc w:val="right"/>
              <w:rPr>
                <w:rFonts w:ascii="Calibri" w:eastAsia="Times New Roman" w:hAnsi="Calibri" w:cs="Times New Roman"/>
              </w:rPr>
            </w:pPr>
            <w:r w:rsidRPr="00851A86">
              <w:t xml:space="preserve"> 19,321 </w:t>
            </w:r>
          </w:p>
        </w:tc>
        <w:tc>
          <w:tcPr>
            <w:tcW w:w="1390" w:type="dxa"/>
            <w:noWrap/>
          </w:tcPr>
          <w:p w14:paraId="6965FFE4" w14:textId="77777777" w:rsidR="00372888" w:rsidRPr="005A1475" w:rsidRDefault="00372888" w:rsidP="0018712A">
            <w:pPr>
              <w:jc w:val="right"/>
              <w:rPr>
                <w:rFonts w:ascii="Calibri" w:eastAsia="Times New Roman" w:hAnsi="Calibri" w:cs="Times New Roman"/>
              </w:rPr>
            </w:pPr>
            <w:r w:rsidRPr="00851A86">
              <w:t xml:space="preserve"> 19,660 </w:t>
            </w:r>
          </w:p>
        </w:tc>
      </w:tr>
      <w:tr w:rsidR="00372888" w:rsidRPr="005A1475" w14:paraId="4A3905E6" w14:textId="77777777" w:rsidTr="0018712A">
        <w:trPr>
          <w:trHeight w:val="297"/>
        </w:trPr>
        <w:tc>
          <w:tcPr>
            <w:tcW w:w="1985" w:type="dxa"/>
            <w:noWrap/>
            <w:hideMark/>
          </w:tcPr>
          <w:p w14:paraId="46DA4965" w14:textId="77777777" w:rsidR="00372888" w:rsidRDefault="00372888" w:rsidP="0018712A">
            <w:pPr>
              <w:rPr>
                <w:rFonts w:ascii="Calibri" w:eastAsia="Times New Roman" w:hAnsi="Calibri" w:cs="Times New Roman"/>
              </w:rPr>
            </w:pPr>
            <w:r>
              <w:rPr>
                <w:rFonts w:ascii="Calibri" w:eastAsia="Times New Roman" w:hAnsi="Calibri" w:cs="Times New Roman"/>
              </w:rPr>
              <w:t>13-17 years female</w:t>
            </w:r>
          </w:p>
        </w:tc>
        <w:tc>
          <w:tcPr>
            <w:tcW w:w="1276" w:type="dxa"/>
            <w:noWrap/>
          </w:tcPr>
          <w:p w14:paraId="3F3E7CBC" w14:textId="77777777" w:rsidR="00372888" w:rsidRPr="005A1475" w:rsidRDefault="00372888" w:rsidP="0018712A">
            <w:pPr>
              <w:jc w:val="right"/>
              <w:rPr>
                <w:rFonts w:ascii="Calibri" w:eastAsia="Times New Roman" w:hAnsi="Calibri" w:cs="Times New Roman"/>
              </w:rPr>
            </w:pPr>
            <w:r w:rsidRPr="00851A86">
              <w:t xml:space="preserve"> 4,586 </w:t>
            </w:r>
          </w:p>
        </w:tc>
        <w:tc>
          <w:tcPr>
            <w:tcW w:w="1389" w:type="dxa"/>
            <w:noWrap/>
          </w:tcPr>
          <w:p w14:paraId="5B44185B" w14:textId="77777777" w:rsidR="00372888" w:rsidRPr="005A1475" w:rsidRDefault="00372888" w:rsidP="0018712A">
            <w:pPr>
              <w:jc w:val="right"/>
              <w:rPr>
                <w:rFonts w:ascii="Calibri" w:eastAsia="Times New Roman" w:hAnsi="Calibri" w:cs="Times New Roman"/>
              </w:rPr>
            </w:pPr>
            <w:r w:rsidRPr="00851A86">
              <w:t xml:space="preserve"> 4,826 </w:t>
            </w:r>
          </w:p>
        </w:tc>
        <w:tc>
          <w:tcPr>
            <w:tcW w:w="1389" w:type="dxa"/>
            <w:noWrap/>
          </w:tcPr>
          <w:p w14:paraId="5E672FA7" w14:textId="77777777" w:rsidR="00372888" w:rsidRPr="005A1475" w:rsidRDefault="00372888" w:rsidP="0018712A">
            <w:pPr>
              <w:jc w:val="right"/>
              <w:rPr>
                <w:rFonts w:ascii="Calibri" w:eastAsia="Times New Roman" w:hAnsi="Calibri" w:cs="Times New Roman"/>
              </w:rPr>
            </w:pPr>
            <w:r w:rsidRPr="00851A86">
              <w:t xml:space="preserve"> 5,154 </w:t>
            </w:r>
          </w:p>
        </w:tc>
        <w:tc>
          <w:tcPr>
            <w:tcW w:w="1389" w:type="dxa"/>
            <w:noWrap/>
          </w:tcPr>
          <w:p w14:paraId="379BF648" w14:textId="77777777" w:rsidR="00372888" w:rsidRPr="005A1475" w:rsidRDefault="00372888" w:rsidP="0018712A">
            <w:pPr>
              <w:jc w:val="right"/>
              <w:rPr>
                <w:rFonts w:ascii="Calibri" w:eastAsia="Times New Roman" w:hAnsi="Calibri" w:cs="Times New Roman"/>
              </w:rPr>
            </w:pPr>
            <w:r w:rsidRPr="00851A86">
              <w:t xml:space="preserve"> 5,416 </w:t>
            </w:r>
          </w:p>
        </w:tc>
        <w:tc>
          <w:tcPr>
            <w:tcW w:w="1390" w:type="dxa"/>
            <w:noWrap/>
          </w:tcPr>
          <w:p w14:paraId="7543EF1C" w14:textId="77777777" w:rsidR="00372888" w:rsidRPr="005A1475" w:rsidRDefault="00372888" w:rsidP="0018712A">
            <w:pPr>
              <w:jc w:val="right"/>
              <w:rPr>
                <w:rFonts w:ascii="Calibri" w:eastAsia="Times New Roman" w:hAnsi="Calibri" w:cs="Times New Roman"/>
              </w:rPr>
            </w:pPr>
            <w:r w:rsidRPr="00851A86">
              <w:t xml:space="preserve"> 5,663 </w:t>
            </w:r>
          </w:p>
        </w:tc>
      </w:tr>
      <w:tr w:rsidR="00372888" w:rsidRPr="005A1475" w14:paraId="26B3F8BF" w14:textId="77777777" w:rsidTr="0018712A">
        <w:trPr>
          <w:trHeight w:val="297"/>
        </w:trPr>
        <w:tc>
          <w:tcPr>
            <w:tcW w:w="1985" w:type="dxa"/>
            <w:noWrap/>
            <w:hideMark/>
          </w:tcPr>
          <w:p w14:paraId="08A424A5" w14:textId="77777777" w:rsidR="00372888" w:rsidRDefault="00372888" w:rsidP="0018712A">
            <w:pPr>
              <w:rPr>
                <w:rFonts w:ascii="Calibri" w:eastAsia="Times New Roman" w:hAnsi="Calibri" w:cs="Times New Roman"/>
              </w:rPr>
            </w:pPr>
            <w:r>
              <w:rPr>
                <w:rFonts w:ascii="Calibri" w:eastAsia="Times New Roman" w:hAnsi="Calibri" w:cs="Times New Roman"/>
              </w:rPr>
              <w:t>18+ years male</w:t>
            </w:r>
          </w:p>
        </w:tc>
        <w:tc>
          <w:tcPr>
            <w:tcW w:w="1276" w:type="dxa"/>
            <w:noWrap/>
          </w:tcPr>
          <w:p w14:paraId="1C1E8A7C" w14:textId="77777777" w:rsidR="00372888" w:rsidRPr="005A1475" w:rsidRDefault="00372888" w:rsidP="0018712A">
            <w:pPr>
              <w:jc w:val="right"/>
              <w:rPr>
                <w:rFonts w:ascii="Calibri" w:eastAsia="Times New Roman" w:hAnsi="Calibri" w:cs="Times New Roman"/>
              </w:rPr>
            </w:pPr>
            <w:r w:rsidRPr="00851A86">
              <w:t xml:space="preserve"> 16,035 </w:t>
            </w:r>
          </w:p>
        </w:tc>
        <w:tc>
          <w:tcPr>
            <w:tcW w:w="1389" w:type="dxa"/>
            <w:noWrap/>
          </w:tcPr>
          <w:p w14:paraId="5AB387E5" w14:textId="77777777" w:rsidR="00372888" w:rsidRPr="005A1475" w:rsidRDefault="00372888" w:rsidP="0018712A">
            <w:pPr>
              <w:jc w:val="right"/>
              <w:rPr>
                <w:rFonts w:ascii="Calibri" w:eastAsia="Times New Roman" w:hAnsi="Calibri" w:cs="Times New Roman"/>
              </w:rPr>
            </w:pPr>
            <w:r w:rsidRPr="00851A86">
              <w:t xml:space="preserve"> 18,121 </w:t>
            </w:r>
          </w:p>
        </w:tc>
        <w:tc>
          <w:tcPr>
            <w:tcW w:w="1389" w:type="dxa"/>
            <w:noWrap/>
          </w:tcPr>
          <w:p w14:paraId="347135A8" w14:textId="77777777" w:rsidR="00372888" w:rsidRPr="005A1475" w:rsidRDefault="00372888" w:rsidP="0018712A">
            <w:pPr>
              <w:jc w:val="right"/>
              <w:rPr>
                <w:rFonts w:ascii="Calibri" w:eastAsia="Times New Roman" w:hAnsi="Calibri" w:cs="Times New Roman"/>
              </w:rPr>
            </w:pPr>
            <w:r w:rsidRPr="00851A86">
              <w:t xml:space="preserve"> 20,560 </w:t>
            </w:r>
          </w:p>
        </w:tc>
        <w:tc>
          <w:tcPr>
            <w:tcW w:w="1389" w:type="dxa"/>
            <w:noWrap/>
          </w:tcPr>
          <w:p w14:paraId="76244339" w14:textId="77777777" w:rsidR="00372888" w:rsidRPr="005A1475" w:rsidRDefault="00372888" w:rsidP="0018712A">
            <w:pPr>
              <w:jc w:val="right"/>
              <w:rPr>
                <w:rFonts w:ascii="Calibri" w:eastAsia="Times New Roman" w:hAnsi="Calibri" w:cs="Times New Roman"/>
              </w:rPr>
            </w:pPr>
            <w:r w:rsidRPr="00851A86">
              <w:t xml:space="preserve"> 22,841 </w:t>
            </w:r>
          </w:p>
        </w:tc>
        <w:tc>
          <w:tcPr>
            <w:tcW w:w="1390" w:type="dxa"/>
            <w:noWrap/>
          </w:tcPr>
          <w:p w14:paraId="6833CFB3" w14:textId="77777777" w:rsidR="00372888" w:rsidRPr="005A1475" w:rsidRDefault="00372888" w:rsidP="0018712A">
            <w:pPr>
              <w:jc w:val="right"/>
              <w:rPr>
                <w:rFonts w:ascii="Calibri" w:eastAsia="Times New Roman" w:hAnsi="Calibri" w:cs="Times New Roman"/>
              </w:rPr>
            </w:pPr>
            <w:r w:rsidRPr="00851A86">
              <w:t xml:space="preserve"> 23,965 </w:t>
            </w:r>
          </w:p>
        </w:tc>
      </w:tr>
      <w:tr w:rsidR="00372888" w:rsidRPr="005A1475" w14:paraId="5E1B4F16" w14:textId="77777777" w:rsidTr="0018712A">
        <w:trPr>
          <w:trHeight w:val="297"/>
        </w:trPr>
        <w:tc>
          <w:tcPr>
            <w:tcW w:w="1985" w:type="dxa"/>
            <w:noWrap/>
            <w:hideMark/>
          </w:tcPr>
          <w:p w14:paraId="615A6E62" w14:textId="77777777" w:rsidR="00372888" w:rsidRDefault="00372888" w:rsidP="0018712A">
            <w:pPr>
              <w:rPr>
                <w:rFonts w:ascii="Calibri" w:eastAsia="Times New Roman" w:hAnsi="Calibri" w:cs="Times New Roman"/>
              </w:rPr>
            </w:pPr>
            <w:r>
              <w:rPr>
                <w:rFonts w:ascii="Calibri" w:eastAsia="Times New Roman" w:hAnsi="Calibri" w:cs="Times New Roman"/>
              </w:rPr>
              <w:t>18+ years female</w:t>
            </w:r>
          </w:p>
        </w:tc>
        <w:tc>
          <w:tcPr>
            <w:tcW w:w="1276" w:type="dxa"/>
            <w:noWrap/>
          </w:tcPr>
          <w:p w14:paraId="65498BE0" w14:textId="77777777" w:rsidR="00372888" w:rsidRPr="005A1475" w:rsidRDefault="00372888" w:rsidP="0018712A">
            <w:pPr>
              <w:jc w:val="right"/>
              <w:rPr>
                <w:rFonts w:ascii="Calibri" w:eastAsia="Times New Roman" w:hAnsi="Calibri" w:cs="Times New Roman"/>
              </w:rPr>
            </w:pPr>
            <w:r w:rsidRPr="00851A86">
              <w:t xml:space="preserve"> 9,592 </w:t>
            </w:r>
          </w:p>
        </w:tc>
        <w:tc>
          <w:tcPr>
            <w:tcW w:w="1389" w:type="dxa"/>
            <w:noWrap/>
          </w:tcPr>
          <w:p w14:paraId="51880E41" w14:textId="77777777" w:rsidR="00372888" w:rsidRPr="005A1475" w:rsidRDefault="00372888" w:rsidP="0018712A">
            <w:pPr>
              <w:jc w:val="right"/>
              <w:rPr>
                <w:rFonts w:ascii="Calibri" w:eastAsia="Times New Roman" w:hAnsi="Calibri" w:cs="Times New Roman"/>
              </w:rPr>
            </w:pPr>
            <w:r w:rsidRPr="00851A86">
              <w:t xml:space="preserve"> 10,815 </w:t>
            </w:r>
          </w:p>
        </w:tc>
        <w:tc>
          <w:tcPr>
            <w:tcW w:w="1389" w:type="dxa"/>
            <w:noWrap/>
          </w:tcPr>
          <w:p w14:paraId="6B97B372" w14:textId="77777777" w:rsidR="00372888" w:rsidRPr="005A1475" w:rsidRDefault="00372888" w:rsidP="0018712A">
            <w:pPr>
              <w:jc w:val="right"/>
              <w:rPr>
                <w:rFonts w:ascii="Calibri" w:eastAsia="Times New Roman" w:hAnsi="Calibri" w:cs="Times New Roman"/>
              </w:rPr>
            </w:pPr>
            <w:r w:rsidRPr="00851A86">
              <w:t xml:space="preserve"> 11,966 </w:t>
            </w:r>
          </w:p>
        </w:tc>
        <w:tc>
          <w:tcPr>
            <w:tcW w:w="1389" w:type="dxa"/>
            <w:noWrap/>
          </w:tcPr>
          <w:p w14:paraId="35CC0278" w14:textId="77777777" w:rsidR="00372888" w:rsidRPr="005A1475" w:rsidRDefault="00372888" w:rsidP="0018712A">
            <w:pPr>
              <w:jc w:val="right"/>
              <w:rPr>
                <w:rFonts w:ascii="Calibri" w:eastAsia="Times New Roman" w:hAnsi="Calibri" w:cs="Times New Roman"/>
              </w:rPr>
            </w:pPr>
            <w:r w:rsidRPr="00851A86">
              <w:t xml:space="preserve"> 13,318 </w:t>
            </w:r>
          </w:p>
        </w:tc>
        <w:tc>
          <w:tcPr>
            <w:tcW w:w="1390" w:type="dxa"/>
            <w:noWrap/>
          </w:tcPr>
          <w:p w14:paraId="6E877834" w14:textId="77777777" w:rsidR="00372888" w:rsidRPr="005A1475" w:rsidRDefault="00372888" w:rsidP="0018712A">
            <w:pPr>
              <w:jc w:val="right"/>
              <w:rPr>
                <w:rFonts w:ascii="Calibri" w:eastAsia="Times New Roman" w:hAnsi="Calibri" w:cs="Times New Roman"/>
              </w:rPr>
            </w:pPr>
            <w:r w:rsidRPr="00851A86">
              <w:t xml:space="preserve"> 14,105 </w:t>
            </w:r>
          </w:p>
        </w:tc>
      </w:tr>
      <w:tr w:rsidR="00372888" w:rsidRPr="005A1475" w14:paraId="206A5BE9" w14:textId="77777777" w:rsidTr="0018712A">
        <w:trPr>
          <w:trHeight w:val="297"/>
        </w:trPr>
        <w:tc>
          <w:tcPr>
            <w:tcW w:w="1985" w:type="dxa"/>
            <w:noWrap/>
          </w:tcPr>
          <w:p w14:paraId="58B5E3EB" w14:textId="77777777" w:rsidR="00372888" w:rsidRDefault="00372888" w:rsidP="0018712A">
            <w:pPr>
              <w:rPr>
                <w:rFonts w:ascii="Calibri" w:eastAsia="Times New Roman" w:hAnsi="Calibri" w:cs="Times New Roman"/>
              </w:rPr>
            </w:pPr>
            <w:r>
              <w:rPr>
                <w:rFonts w:ascii="Calibri" w:eastAsia="Times New Roman" w:hAnsi="Calibri" w:cs="Times New Roman"/>
              </w:rPr>
              <w:t>Unknown</w:t>
            </w:r>
          </w:p>
        </w:tc>
        <w:tc>
          <w:tcPr>
            <w:tcW w:w="1276" w:type="dxa"/>
            <w:noWrap/>
          </w:tcPr>
          <w:p w14:paraId="54F5A1E9" w14:textId="77777777" w:rsidR="00372888" w:rsidRPr="005A1475" w:rsidRDefault="00372888" w:rsidP="0018712A">
            <w:pPr>
              <w:jc w:val="right"/>
              <w:rPr>
                <w:rFonts w:ascii="Calibri" w:eastAsia="Times New Roman" w:hAnsi="Calibri" w:cs="Times New Roman"/>
              </w:rPr>
            </w:pPr>
            <w:r w:rsidRPr="00851A86">
              <w:t xml:space="preserve"> 2,335 </w:t>
            </w:r>
          </w:p>
        </w:tc>
        <w:tc>
          <w:tcPr>
            <w:tcW w:w="1389" w:type="dxa"/>
            <w:noWrap/>
          </w:tcPr>
          <w:p w14:paraId="6E5144EE" w14:textId="77777777" w:rsidR="00372888" w:rsidRPr="005A1475" w:rsidRDefault="00372888" w:rsidP="0018712A">
            <w:pPr>
              <w:jc w:val="right"/>
              <w:rPr>
                <w:rFonts w:ascii="Calibri" w:eastAsia="Times New Roman" w:hAnsi="Calibri" w:cs="Times New Roman"/>
              </w:rPr>
            </w:pPr>
            <w:r w:rsidRPr="00851A86">
              <w:t xml:space="preserve"> 1,485 </w:t>
            </w:r>
          </w:p>
        </w:tc>
        <w:tc>
          <w:tcPr>
            <w:tcW w:w="1389" w:type="dxa"/>
            <w:noWrap/>
          </w:tcPr>
          <w:p w14:paraId="3ECE3DC5" w14:textId="77777777" w:rsidR="00372888" w:rsidRPr="005A1475" w:rsidRDefault="00372888" w:rsidP="0018712A">
            <w:pPr>
              <w:jc w:val="right"/>
              <w:rPr>
                <w:rFonts w:ascii="Calibri" w:eastAsia="Times New Roman" w:hAnsi="Calibri" w:cs="Times New Roman"/>
              </w:rPr>
            </w:pPr>
            <w:r w:rsidRPr="00851A86">
              <w:t xml:space="preserve"> 648 </w:t>
            </w:r>
          </w:p>
        </w:tc>
        <w:tc>
          <w:tcPr>
            <w:tcW w:w="1389" w:type="dxa"/>
            <w:noWrap/>
          </w:tcPr>
          <w:p w14:paraId="09248A35" w14:textId="77777777" w:rsidR="00372888" w:rsidRPr="005A1475" w:rsidRDefault="00372888" w:rsidP="0018712A">
            <w:pPr>
              <w:jc w:val="right"/>
              <w:rPr>
                <w:rFonts w:ascii="Calibri" w:eastAsia="Times New Roman" w:hAnsi="Calibri" w:cs="Times New Roman"/>
              </w:rPr>
            </w:pPr>
            <w:r w:rsidRPr="00851A86">
              <w:t xml:space="preserve"> 449 </w:t>
            </w:r>
          </w:p>
        </w:tc>
        <w:tc>
          <w:tcPr>
            <w:tcW w:w="1390" w:type="dxa"/>
            <w:noWrap/>
          </w:tcPr>
          <w:p w14:paraId="59D6CC59" w14:textId="77777777" w:rsidR="00372888" w:rsidRPr="005A1475" w:rsidRDefault="00372888" w:rsidP="0018712A">
            <w:pPr>
              <w:jc w:val="right"/>
              <w:rPr>
                <w:rFonts w:ascii="Calibri" w:eastAsia="Times New Roman" w:hAnsi="Calibri" w:cs="Times New Roman"/>
              </w:rPr>
            </w:pPr>
            <w:r w:rsidRPr="00851A86">
              <w:t xml:space="preserve"> 611 </w:t>
            </w:r>
          </w:p>
        </w:tc>
      </w:tr>
      <w:tr w:rsidR="00372888" w:rsidRPr="00BC727E" w14:paraId="0505DADF" w14:textId="77777777" w:rsidTr="0018712A">
        <w:trPr>
          <w:trHeight w:val="297"/>
        </w:trPr>
        <w:tc>
          <w:tcPr>
            <w:tcW w:w="1985" w:type="dxa"/>
            <w:noWrap/>
            <w:hideMark/>
          </w:tcPr>
          <w:p w14:paraId="2B54AA80" w14:textId="77777777" w:rsidR="00372888" w:rsidRPr="005A1475" w:rsidRDefault="00372888" w:rsidP="0018712A">
            <w:pPr>
              <w:rPr>
                <w:rFonts w:ascii="Calibri" w:eastAsia="Times New Roman" w:hAnsi="Calibri" w:cs="Times New Roman"/>
                <w:b/>
              </w:rPr>
            </w:pPr>
            <w:r w:rsidRPr="00BC727E">
              <w:rPr>
                <w:rFonts w:ascii="Calibri" w:eastAsia="Times New Roman" w:hAnsi="Calibri" w:cs="Times New Roman"/>
                <w:b/>
              </w:rPr>
              <w:t>Total All patients</w:t>
            </w:r>
          </w:p>
        </w:tc>
        <w:tc>
          <w:tcPr>
            <w:tcW w:w="1276" w:type="dxa"/>
            <w:noWrap/>
          </w:tcPr>
          <w:p w14:paraId="6A1DB475" w14:textId="77777777" w:rsidR="00372888" w:rsidRPr="005A1475" w:rsidRDefault="00372888" w:rsidP="0018712A">
            <w:pPr>
              <w:jc w:val="right"/>
              <w:rPr>
                <w:rFonts w:ascii="Calibri" w:eastAsia="Times New Roman" w:hAnsi="Calibri" w:cs="Times New Roman"/>
                <w:b/>
              </w:rPr>
            </w:pPr>
            <w:r w:rsidRPr="00851A86">
              <w:t xml:space="preserve"> 89,342 </w:t>
            </w:r>
          </w:p>
        </w:tc>
        <w:tc>
          <w:tcPr>
            <w:tcW w:w="1389" w:type="dxa"/>
            <w:noWrap/>
          </w:tcPr>
          <w:p w14:paraId="10A0E30B" w14:textId="77777777" w:rsidR="00372888" w:rsidRPr="005A1475" w:rsidRDefault="00372888" w:rsidP="0018712A">
            <w:pPr>
              <w:jc w:val="right"/>
              <w:rPr>
                <w:rFonts w:ascii="Calibri" w:eastAsia="Times New Roman" w:hAnsi="Calibri" w:cs="Times New Roman"/>
                <w:b/>
              </w:rPr>
            </w:pPr>
            <w:r w:rsidRPr="00851A86">
              <w:t xml:space="preserve"> 96,118 </w:t>
            </w:r>
          </w:p>
        </w:tc>
        <w:tc>
          <w:tcPr>
            <w:tcW w:w="1389" w:type="dxa"/>
            <w:noWrap/>
          </w:tcPr>
          <w:p w14:paraId="0732DE1D" w14:textId="77777777" w:rsidR="00372888" w:rsidRPr="005A1475" w:rsidRDefault="00372888" w:rsidP="0018712A">
            <w:pPr>
              <w:jc w:val="right"/>
              <w:rPr>
                <w:rFonts w:ascii="Calibri" w:eastAsia="Times New Roman" w:hAnsi="Calibri" w:cs="Times New Roman"/>
                <w:b/>
              </w:rPr>
            </w:pPr>
            <w:r w:rsidRPr="00851A86">
              <w:t xml:space="preserve"> 103,451 </w:t>
            </w:r>
          </w:p>
        </w:tc>
        <w:tc>
          <w:tcPr>
            <w:tcW w:w="1389" w:type="dxa"/>
            <w:noWrap/>
          </w:tcPr>
          <w:p w14:paraId="457FAC17" w14:textId="77777777" w:rsidR="00372888" w:rsidRPr="005A1475" w:rsidRDefault="00372888" w:rsidP="0018712A">
            <w:pPr>
              <w:jc w:val="right"/>
              <w:rPr>
                <w:rFonts w:ascii="Calibri" w:eastAsia="Times New Roman" w:hAnsi="Calibri" w:cs="Times New Roman"/>
                <w:b/>
              </w:rPr>
            </w:pPr>
            <w:r w:rsidRPr="00851A86">
              <w:t xml:space="preserve"> 111,712 </w:t>
            </w:r>
          </w:p>
        </w:tc>
        <w:tc>
          <w:tcPr>
            <w:tcW w:w="1390" w:type="dxa"/>
            <w:noWrap/>
          </w:tcPr>
          <w:p w14:paraId="4DF9D8FA" w14:textId="77777777" w:rsidR="00372888" w:rsidRPr="005A1475" w:rsidRDefault="00372888" w:rsidP="0018712A">
            <w:pPr>
              <w:jc w:val="right"/>
              <w:rPr>
                <w:rFonts w:ascii="Calibri" w:eastAsia="Times New Roman" w:hAnsi="Calibri" w:cs="Times New Roman"/>
                <w:b/>
              </w:rPr>
            </w:pPr>
            <w:r w:rsidRPr="00851A86">
              <w:t xml:space="preserve"> 117,403 </w:t>
            </w:r>
          </w:p>
        </w:tc>
      </w:tr>
    </w:tbl>
    <w:p w14:paraId="51EBAF95" w14:textId="77777777" w:rsidR="00372888" w:rsidRPr="00C6303F" w:rsidRDefault="00372888" w:rsidP="00372888">
      <w:pPr>
        <w:rPr>
          <w:rFonts w:cs="Baskerville"/>
          <w:sz w:val="20"/>
          <w:szCs w:val="20"/>
        </w:rPr>
      </w:pPr>
      <w:r w:rsidRPr="00C6303F">
        <w:rPr>
          <w:rFonts w:cs="Baskerville"/>
          <w:sz w:val="20"/>
          <w:szCs w:val="20"/>
        </w:rPr>
        <w:t xml:space="preserve">Source: DHS Authority approval data, extracted </w:t>
      </w:r>
      <w:r>
        <w:rPr>
          <w:rFonts w:cs="Baskerville"/>
          <w:sz w:val="20"/>
          <w:szCs w:val="20"/>
        </w:rPr>
        <w:t>May</w:t>
      </w:r>
      <w:r w:rsidRPr="00C6303F">
        <w:rPr>
          <w:rFonts w:cs="Baskerville"/>
          <w:sz w:val="20"/>
          <w:szCs w:val="20"/>
        </w:rPr>
        <w:t xml:space="preserve"> 2015. </w:t>
      </w:r>
      <w:r w:rsidRPr="00E51B21">
        <w:rPr>
          <w:rFonts w:cs="Baskerville"/>
          <w:sz w:val="20"/>
          <w:szCs w:val="20"/>
        </w:rPr>
        <w:t>Unknown denotes age or sex not available in data.</w:t>
      </w:r>
    </w:p>
    <w:p w14:paraId="0A2D48CE" w14:textId="77777777" w:rsidR="00DE583D" w:rsidRDefault="00DE583D" w:rsidP="00DE583D">
      <w:r w:rsidRPr="00BA09B9">
        <w:t>The number of people prescribed ADHD medicine is increasing over time in every age bracket.</w:t>
      </w:r>
      <w:r>
        <w:t xml:space="preserve"> While the number of people new to treatment increases over time, the pattern varies across the age groups, with increases in each year for children, but not in every year for adolescents and adults. </w:t>
      </w:r>
    </w:p>
    <w:p w14:paraId="1D95BC58" w14:textId="782A28D2" w:rsidR="00DE583D" w:rsidRDefault="00DE583D" w:rsidP="0052799A">
      <w:pPr>
        <w:rPr>
          <w:b/>
        </w:rPr>
      </w:pPr>
      <w:r w:rsidRPr="00C6303F">
        <w:lastRenderedPageBreak/>
        <w:t>Table</w:t>
      </w:r>
      <w:r w:rsidR="007F051D">
        <w:t>s</w:t>
      </w:r>
      <w:r w:rsidRPr="00C6303F">
        <w:t xml:space="preserve"> </w:t>
      </w:r>
      <w:r w:rsidR="007F051D">
        <w:t>5 and 6</w:t>
      </w:r>
      <w:r w:rsidR="00C73E9D">
        <w:t xml:space="preserve"> present the same data as percentage of use.</w:t>
      </w:r>
    </w:p>
    <w:p w14:paraId="14674913" w14:textId="6CAFAAF1" w:rsidR="00DE583D" w:rsidRPr="00C775D7" w:rsidRDefault="00372888" w:rsidP="00DE583D">
      <w:pPr>
        <w:pStyle w:val="Tabletitle"/>
      </w:pPr>
      <w:r>
        <w:t>Table 5</w:t>
      </w:r>
      <w:r w:rsidR="00DE583D" w:rsidRPr="003F1916">
        <w:t>:</w:t>
      </w:r>
      <w:r w:rsidR="00DE583D" w:rsidRPr="003F1916">
        <w:rPr>
          <w:b w:val="0"/>
        </w:rPr>
        <w:t xml:space="preserve"> </w:t>
      </w:r>
      <w:r w:rsidR="00DE583D" w:rsidRPr="003F1916">
        <w:t>Percentage</w:t>
      </w:r>
      <w:r w:rsidR="00DE583D">
        <w:t xml:space="preserve"> of</w:t>
      </w:r>
      <w:r>
        <w:t xml:space="preserve"> new patients</w:t>
      </w:r>
      <w:r w:rsidR="00DE583D">
        <w:t xml:space="preserve"> prescribed ADHD medicine by age and gender.</w:t>
      </w:r>
    </w:p>
    <w:tbl>
      <w:tblPr>
        <w:tblStyle w:val="TableGrid1"/>
        <w:tblW w:w="8818" w:type="dxa"/>
        <w:tblLayout w:type="fixed"/>
        <w:tblLook w:val="04A0" w:firstRow="1" w:lastRow="0" w:firstColumn="1" w:lastColumn="0" w:noHBand="0" w:noVBand="1"/>
        <w:tblCaption w:val="Different age brackets are listed in the first column, read across the row for the percentage of patients treated in the years 2010 to 2014 inclusive"/>
      </w:tblPr>
      <w:tblGrid>
        <w:gridCol w:w="2127"/>
        <w:gridCol w:w="1338"/>
        <w:gridCol w:w="1338"/>
        <w:gridCol w:w="1338"/>
        <w:gridCol w:w="1338"/>
        <w:gridCol w:w="1339"/>
      </w:tblGrid>
      <w:tr w:rsidR="00DE583D" w:rsidRPr="00EE0D19" w14:paraId="1FFC4389" w14:textId="77777777" w:rsidTr="00011276">
        <w:trPr>
          <w:trHeight w:val="297"/>
          <w:tblHeader/>
        </w:trPr>
        <w:tc>
          <w:tcPr>
            <w:tcW w:w="2127" w:type="dxa"/>
            <w:shd w:val="clear" w:color="auto" w:fill="D9D9D9" w:themeFill="background1" w:themeFillShade="D9"/>
            <w:noWrap/>
            <w:hideMark/>
          </w:tcPr>
          <w:p w14:paraId="596B0DDB" w14:textId="77777777" w:rsidR="00DE583D" w:rsidRPr="00EE0D19" w:rsidRDefault="00DE583D" w:rsidP="0052799A">
            <w:pPr>
              <w:rPr>
                <w:rFonts w:ascii="Calibri" w:eastAsia="Times New Roman" w:hAnsi="Calibri" w:cs="Times New Roman"/>
                <w:b/>
              </w:rPr>
            </w:pPr>
          </w:p>
        </w:tc>
        <w:tc>
          <w:tcPr>
            <w:tcW w:w="1338" w:type="dxa"/>
            <w:shd w:val="clear" w:color="auto" w:fill="D9D9D9" w:themeFill="background1" w:themeFillShade="D9"/>
            <w:noWrap/>
          </w:tcPr>
          <w:p w14:paraId="7AFF6DFC" w14:textId="77777777" w:rsidR="00DE583D" w:rsidRPr="00EE0D19" w:rsidRDefault="00DE583D" w:rsidP="0052799A">
            <w:pPr>
              <w:rPr>
                <w:rFonts w:ascii="Calibri" w:eastAsia="Times New Roman" w:hAnsi="Calibri" w:cs="Times New Roman"/>
                <w:b/>
              </w:rPr>
            </w:pPr>
            <w:r w:rsidRPr="00EE0D19">
              <w:rPr>
                <w:rFonts w:ascii="Calibri" w:eastAsia="Times New Roman" w:hAnsi="Calibri" w:cs="Times New Roman"/>
                <w:b/>
              </w:rPr>
              <w:t>2010</w:t>
            </w:r>
          </w:p>
        </w:tc>
        <w:tc>
          <w:tcPr>
            <w:tcW w:w="1338" w:type="dxa"/>
            <w:shd w:val="clear" w:color="auto" w:fill="D9D9D9" w:themeFill="background1" w:themeFillShade="D9"/>
            <w:noWrap/>
          </w:tcPr>
          <w:p w14:paraId="342B5E2D" w14:textId="77777777" w:rsidR="00DE583D" w:rsidRPr="00EE0D19" w:rsidRDefault="00DE583D" w:rsidP="0052799A">
            <w:pPr>
              <w:rPr>
                <w:rFonts w:ascii="Calibri" w:eastAsia="Times New Roman" w:hAnsi="Calibri" w:cs="Times New Roman"/>
                <w:b/>
              </w:rPr>
            </w:pPr>
            <w:r w:rsidRPr="00EE0D19">
              <w:rPr>
                <w:rFonts w:ascii="Calibri" w:eastAsia="Times New Roman" w:hAnsi="Calibri" w:cs="Times New Roman"/>
                <w:b/>
              </w:rPr>
              <w:t>2011</w:t>
            </w:r>
          </w:p>
        </w:tc>
        <w:tc>
          <w:tcPr>
            <w:tcW w:w="1338" w:type="dxa"/>
            <w:shd w:val="clear" w:color="auto" w:fill="D9D9D9" w:themeFill="background1" w:themeFillShade="D9"/>
            <w:noWrap/>
          </w:tcPr>
          <w:p w14:paraId="7EC8A0F6" w14:textId="77777777" w:rsidR="00DE583D" w:rsidRPr="00EE0D19" w:rsidRDefault="00DE583D" w:rsidP="0052799A">
            <w:pPr>
              <w:rPr>
                <w:rFonts w:ascii="Calibri" w:eastAsia="Times New Roman" w:hAnsi="Calibri" w:cs="Times New Roman"/>
                <w:b/>
              </w:rPr>
            </w:pPr>
            <w:r w:rsidRPr="00EE0D19">
              <w:rPr>
                <w:rFonts w:ascii="Calibri" w:eastAsia="Times New Roman" w:hAnsi="Calibri" w:cs="Times New Roman"/>
                <w:b/>
              </w:rPr>
              <w:t>2012</w:t>
            </w:r>
          </w:p>
        </w:tc>
        <w:tc>
          <w:tcPr>
            <w:tcW w:w="1338" w:type="dxa"/>
            <w:shd w:val="clear" w:color="auto" w:fill="D9D9D9" w:themeFill="background1" w:themeFillShade="D9"/>
            <w:noWrap/>
          </w:tcPr>
          <w:p w14:paraId="71D3FB8B" w14:textId="77777777" w:rsidR="00DE583D" w:rsidRPr="00EE0D19" w:rsidRDefault="00DE583D" w:rsidP="0052799A">
            <w:pPr>
              <w:rPr>
                <w:rFonts w:ascii="Calibri" w:eastAsia="Times New Roman" w:hAnsi="Calibri" w:cs="Times New Roman"/>
                <w:b/>
              </w:rPr>
            </w:pPr>
            <w:r w:rsidRPr="00EE0D19">
              <w:rPr>
                <w:rFonts w:ascii="Calibri" w:eastAsia="Times New Roman" w:hAnsi="Calibri" w:cs="Times New Roman"/>
                <w:b/>
              </w:rPr>
              <w:t>2013</w:t>
            </w:r>
          </w:p>
        </w:tc>
        <w:tc>
          <w:tcPr>
            <w:tcW w:w="1339" w:type="dxa"/>
            <w:shd w:val="clear" w:color="auto" w:fill="D9D9D9" w:themeFill="background1" w:themeFillShade="D9"/>
            <w:noWrap/>
          </w:tcPr>
          <w:p w14:paraId="6C65FF33" w14:textId="77777777" w:rsidR="00DE583D" w:rsidRPr="00EE0D19" w:rsidRDefault="00DE583D" w:rsidP="0052799A">
            <w:pPr>
              <w:rPr>
                <w:rFonts w:ascii="Calibri" w:eastAsia="Times New Roman" w:hAnsi="Calibri" w:cs="Times New Roman"/>
                <w:b/>
              </w:rPr>
            </w:pPr>
            <w:r w:rsidRPr="00EE0D19">
              <w:rPr>
                <w:rFonts w:ascii="Calibri" w:eastAsia="Times New Roman" w:hAnsi="Calibri" w:cs="Times New Roman"/>
                <w:b/>
              </w:rPr>
              <w:t>2014</w:t>
            </w:r>
          </w:p>
        </w:tc>
      </w:tr>
      <w:tr w:rsidR="00DE583D" w:rsidRPr="005A1475" w14:paraId="5B758E28" w14:textId="77777777" w:rsidTr="0018712A">
        <w:trPr>
          <w:trHeight w:val="297"/>
        </w:trPr>
        <w:tc>
          <w:tcPr>
            <w:tcW w:w="2127" w:type="dxa"/>
            <w:noWrap/>
            <w:hideMark/>
          </w:tcPr>
          <w:p w14:paraId="26DA98CA" w14:textId="77777777" w:rsidR="00DE583D" w:rsidRDefault="00DE583D" w:rsidP="0052799A">
            <w:pPr>
              <w:rPr>
                <w:rFonts w:ascii="Calibri" w:eastAsia="Times New Roman" w:hAnsi="Calibri" w:cs="Times New Roman"/>
              </w:rPr>
            </w:pPr>
            <w:r>
              <w:rPr>
                <w:rFonts w:ascii="Calibri" w:eastAsia="Times New Roman" w:hAnsi="Calibri" w:cs="Times New Roman"/>
              </w:rPr>
              <w:t>&lt;6 years male</w:t>
            </w:r>
          </w:p>
        </w:tc>
        <w:tc>
          <w:tcPr>
            <w:tcW w:w="1338" w:type="dxa"/>
            <w:noWrap/>
          </w:tcPr>
          <w:p w14:paraId="2B244EE8" w14:textId="77777777" w:rsidR="00DE583D" w:rsidRPr="005A1475" w:rsidRDefault="00DE583D" w:rsidP="0052799A">
            <w:pPr>
              <w:jc w:val="right"/>
              <w:rPr>
                <w:rFonts w:ascii="Calibri" w:eastAsia="Times New Roman" w:hAnsi="Calibri" w:cs="Times New Roman"/>
              </w:rPr>
            </w:pPr>
            <w:r w:rsidRPr="00966009">
              <w:t>6%</w:t>
            </w:r>
          </w:p>
        </w:tc>
        <w:tc>
          <w:tcPr>
            <w:tcW w:w="1338" w:type="dxa"/>
            <w:noWrap/>
          </w:tcPr>
          <w:p w14:paraId="2AF3E5BC" w14:textId="77777777" w:rsidR="00DE583D" w:rsidRPr="005A1475" w:rsidRDefault="00DE583D" w:rsidP="0052799A">
            <w:pPr>
              <w:jc w:val="right"/>
              <w:rPr>
                <w:rFonts w:ascii="Calibri" w:eastAsia="Times New Roman" w:hAnsi="Calibri" w:cs="Times New Roman"/>
              </w:rPr>
            </w:pPr>
            <w:r w:rsidRPr="00966009">
              <w:t>6%</w:t>
            </w:r>
          </w:p>
        </w:tc>
        <w:tc>
          <w:tcPr>
            <w:tcW w:w="1338" w:type="dxa"/>
            <w:noWrap/>
          </w:tcPr>
          <w:p w14:paraId="69C133C3" w14:textId="77777777" w:rsidR="00DE583D" w:rsidRPr="005A1475" w:rsidRDefault="00DE583D" w:rsidP="0052799A">
            <w:pPr>
              <w:jc w:val="right"/>
              <w:rPr>
                <w:rFonts w:ascii="Calibri" w:eastAsia="Times New Roman" w:hAnsi="Calibri" w:cs="Times New Roman"/>
              </w:rPr>
            </w:pPr>
            <w:r w:rsidRPr="00966009">
              <w:t>7%</w:t>
            </w:r>
          </w:p>
        </w:tc>
        <w:tc>
          <w:tcPr>
            <w:tcW w:w="1338" w:type="dxa"/>
            <w:noWrap/>
          </w:tcPr>
          <w:p w14:paraId="33EBB135" w14:textId="77777777" w:rsidR="00DE583D" w:rsidRPr="005A1475" w:rsidRDefault="00DE583D" w:rsidP="0052799A">
            <w:pPr>
              <w:jc w:val="right"/>
              <w:rPr>
                <w:rFonts w:ascii="Calibri" w:eastAsia="Times New Roman" w:hAnsi="Calibri" w:cs="Times New Roman"/>
              </w:rPr>
            </w:pPr>
            <w:r w:rsidRPr="00966009">
              <w:t>7%</w:t>
            </w:r>
          </w:p>
        </w:tc>
        <w:tc>
          <w:tcPr>
            <w:tcW w:w="1339" w:type="dxa"/>
            <w:noWrap/>
          </w:tcPr>
          <w:p w14:paraId="73FA1146" w14:textId="77777777" w:rsidR="00DE583D" w:rsidRPr="005A1475" w:rsidRDefault="00DE583D" w:rsidP="0052799A">
            <w:pPr>
              <w:jc w:val="right"/>
              <w:rPr>
                <w:rFonts w:ascii="Calibri" w:eastAsia="Times New Roman" w:hAnsi="Calibri" w:cs="Times New Roman"/>
              </w:rPr>
            </w:pPr>
            <w:r w:rsidRPr="00966009">
              <w:t>7%</w:t>
            </w:r>
          </w:p>
        </w:tc>
      </w:tr>
      <w:tr w:rsidR="00DE583D" w:rsidRPr="005A1475" w14:paraId="7D0F3C11" w14:textId="77777777" w:rsidTr="0018712A">
        <w:trPr>
          <w:trHeight w:val="297"/>
        </w:trPr>
        <w:tc>
          <w:tcPr>
            <w:tcW w:w="2127" w:type="dxa"/>
            <w:noWrap/>
            <w:hideMark/>
          </w:tcPr>
          <w:p w14:paraId="47DB8BBE" w14:textId="77777777" w:rsidR="00DE583D" w:rsidRDefault="00DE583D" w:rsidP="0052799A">
            <w:pPr>
              <w:rPr>
                <w:rFonts w:ascii="Calibri" w:eastAsia="Times New Roman" w:hAnsi="Calibri" w:cs="Times New Roman"/>
              </w:rPr>
            </w:pPr>
            <w:r>
              <w:rPr>
                <w:rFonts w:ascii="Calibri" w:eastAsia="Times New Roman" w:hAnsi="Calibri" w:cs="Times New Roman"/>
              </w:rPr>
              <w:t>&lt;6 years female</w:t>
            </w:r>
          </w:p>
        </w:tc>
        <w:tc>
          <w:tcPr>
            <w:tcW w:w="1338" w:type="dxa"/>
            <w:noWrap/>
          </w:tcPr>
          <w:p w14:paraId="4C8CD17D" w14:textId="77777777" w:rsidR="00DE583D" w:rsidRPr="005A1475" w:rsidRDefault="00DE583D" w:rsidP="0052799A">
            <w:pPr>
              <w:jc w:val="right"/>
              <w:rPr>
                <w:rFonts w:ascii="Calibri" w:eastAsia="Times New Roman" w:hAnsi="Calibri" w:cs="Times New Roman"/>
              </w:rPr>
            </w:pPr>
            <w:r w:rsidRPr="00966009">
              <w:t>1%</w:t>
            </w:r>
          </w:p>
        </w:tc>
        <w:tc>
          <w:tcPr>
            <w:tcW w:w="1338" w:type="dxa"/>
            <w:noWrap/>
          </w:tcPr>
          <w:p w14:paraId="514D7D9A" w14:textId="77777777" w:rsidR="00DE583D" w:rsidRPr="005A1475" w:rsidRDefault="00DE583D" w:rsidP="0052799A">
            <w:pPr>
              <w:jc w:val="right"/>
              <w:rPr>
                <w:rFonts w:ascii="Calibri" w:eastAsia="Times New Roman" w:hAnsi="Calibri" w:cs="Times New Roman"/>
              </w:rPr>
            </w:pPr>
            <w:r w:rsidRPr="00966009">
              <w:t>1%</w:t>
            </w:r>
          </w:p>
        </w:tc>
        <w:tc>
          <w:tcPr>
            <w:tcW w:w="1338" w:type="dxa"/>
            <w:noWrap/>
          </w:tcPr>
          <w:p w14:paraId="24D86AF1" w14:textId="77777777" w:rsidR="00DE583D" w:rsidRPr="005A1475" w:rsidRDefault="00DE583D" w:rsidP="0052799A">
            <w:pPr>
              <w:jc w:val="right"/>
              <w:rPr>
                <w:rFonts w:ascii="Calibri" w:eastAsia="Times New Roman" w:hAnsi="Calibri" w:cs="Times New Roman"/>
              </w:rPr>
            </w:pPr>
            <w:r w:rsidRPr="00966009">
              <w:t>2%</w:t>
            </w:r>
          </w:p>
        </w:tc>
        <w:tc>
          <w:tcPr>
            <w:tcW w:w="1338" w:type="dxa"/>
            <w:noWrap/>
          </w:tcPr>
          <w:p w14:paraId="1D8B6BE8" w14:textId="77777777" w:rsidR="00DE583D" w:rsidRPr="005A1475" w:rsidRDefault="00DE583D" w:rsidP="0052799A">
            <w:pPr>
              <w:jc w:val="right"/>
              <w:rPr>
                <w:rFonts w:ascii="Calibri" w:eastAsia="Times New Roman" w:hAnsi="Calibri" w:cs="Times New Roman"/>
              </w:rPr>
            </w:pPr>
            <w:r w:rsidRPr="00966009">
              <w:t>2%</w:t>
            </w:r>
          </w:p>
        </w:tc>
        <w:tc>
          <w:tcPr>
            <w:tcW w:w="1339" w:type="dxa"/>
            <w:noWrap/>
          </w:tcPr>
          <w:p w14:paraId="08B75A48" w14:textId="77777777" w:rsidR="00DE583D" w:rsidRPr="005A1475" w:rsidRDefault="00DE583D" w:rsidP="0052799A">
            <w:pPr>
              <w:jc w:val="right"/>
              <w:rPr>
                <w:rFonts w:ascii="Calibri" w:eastAsia="Times New Roman" w:hAnsi="Calibri" w:cs="Times New Roman"/>
              </w:rPr>
            </w:pPr>
            <w:r w:rsidRPr="00966009">
              <w:t>2%</w:t>
            </w:r>
          </w:p>
        </w:tc>
      </w:tr>
      <w:tr w:rsidR="00DE583D" w:rsidRPr="005A1475" w14:paraId="3B0C34EE" w14:textId="77777777" w:rsidTr="0018712A">
        <w:trPr>
          <w:trHeight w:val="297"/>
        </w:trPr>
        <w:tc>
          <w:tcPr>
            <w:tcW w:w="2127" w:type="dxa"/>
            <w:noWrap/>
            <w:hideMark/>
          </w:tcPr>
          <w:p w14:paraId="4C80560E" w14:textId="77777777" w:rsidR="00DE583D" w:rsidRDefault="00DE583D" w:rsidP="0052799A">
            <w:pPr>
              <w:rPr>
                <w:rFonts w:ascii="Calibri" w:eastAsia="Times New Roman" w:hAnsi="Calibri" w:cs="Times New Roman"/>
              </w:rPr>
            </w:pPr>
            <w:r>
              <w:rPr>
                <w:rFonts w:ascii="Calibri" w:eastAsia="Times New Roman" w:hAnsi="Calibri" w:cs="Times New Roman"/>
              </w:rPr>
              <w:t>6-12 years male</w:t>
            </w:r>
          </w:p>
        </w:tc>
        <w:tc>
          <w:tcPr>
            <w:tcW w:w="1338" w:type="dxa"/>
            <w:noWrap/>
          </w:tcPr>
          <w:p w14:paraId="727236EB" w14:textId="77777777" w:rsidR="00DE583D" w:rsidRPr="005A1475" w:rsidRDefault="00DE583D" w:rsidP="0052799A">
            <w:pPr>
              <w:jc w:val="right"/>
              <w:rPr>
                <w:rFonts w:ascii="Calibri" w:eastAsia="Times New Roman" w:hAnsi="Calibri" w:cs="Times New Roman"/>
              </w:rPr>
            </w:pPr>
            <w:r w:rsidRPr="00966009">
              <w:t>39%</w:t>
            </w:r>
          </w:p>
        </w:tc>
        <w:tc>
          <w:tcPr>
            <w:tcW w:w="1338" w:type="dxa"/>
            <w:noWrap/>
          </w:tcPr>
          <w:p w14:paraId="22B1BB6D" w14:textId="77777777" w:rsidR="00DE583D" w:rsidRPr="005A1475" w:rsidRDefault="00DE583D" w:rsidP="0052799A">
            <w:pPr>
              <w:jc w:val="right"/>
              <w:rPr>
                <w:rFonts w:ascii="Calibri" w:eastAsia="Times New Roman" w:hAnsi="Calibri" w:cs="Times New Roman"/>
              </w:rPr>
            </w:pPr>
            <w:r w:rsidRPr="00966009">
              <w:t>39%</w:t>
            </w:r>
          </w:p>
        </w:tc>
        <w:tc>
          <w:tcPr>
            <w:tcW w:w="1338" w:type="dxa"/>
            <w:noWrap/>
          </w:tcPr>
          <w:p w14:paraId="17700736" w14:textId="77777777" w:rsidR="00DE583D" w:rsidRPr="005A1475" w:rsidRDefault="00DE583D" w:rsidP="0052799A">
            <w:pPr>
              <w:jc w:val="right"/>
              <w:rPr>
                <w:rFonts w:ascii="Calibri" w:eastAsia="Times New Roman" w:hAnsi="Calibri" w:cs="Times New Roman"/>
              </w:rPr>
            </w:pPr>
            <w:r w:rsidRPr="00966009">
              <w:t>40%</w:t>
            </w:r>
          </w:p>
        </w:tc>
        <w:tc>
          <w:tcPr>
            <w:tcW w:w="1338" w:type="dxa"/>
            <w:noWrap/>
          </w:tcPr>
          <w:p w14:paraId="3FD16873" w14:textId="77777777" w:rsidR="00DE583D" w:rsidRPr="005A1475" w:rsidRDefault="00DE583D" w:rsidP="0052799A">
            <w:pPr>
              <w:jc w:val="right"/>
              <w:rPr>
                <w:rFonts w:ascii="Calibri" w:eastAsia="Times New Roman" w:hAnsi="Calibri" w:cs="Times New Roman"/>
              </w:rPr>
            </w:pPr>
            <w:r w:rsidRPr="00966009">
              <w:t>40%</w:t>
            </w:r>
          </w:p>
        </w:tc>
        <w:tc>
          <w:tcPr>
            <w:tcW w:w="1339" w:type="dxa"/>
            <w:noWrap/>
          </w:tcPr>
          <w:p w14:paraId="5FA0E8B4" w14:textId="77777777" w:rsidR="00DE583D" w:rsidRPr="005A1475" w:rsidRDefault="00DE583D" w:rsidP="0052799A">
            <w:pPr>
              <w:jc w:val="right"/>
              <w:rPr>
                <w:rFonts w:ascii="Calibri" w:eastAsia="Times New Roman" w:hAnsi="Calibri" w:cs="Times New Roman"/>
              </w:rPr>
            </w:pPr>
            <w:r w:rsidRPr="00966009">
              <w:t>40%</w:t>
            </w:r>
          </w:p>
        </w:tc>
      </w:tr>
      <w:tr w:rsidR="00DE583D" w:rsidRPr="005A1475" w14:paraId="10D64EE0" w14:textId="77777777" w:rsidTr="0018712A">
        <w:trPr>
          <w:trHeight w:val="297"/>
        </w:trPr>
        <w:tc>
          <w:tcPr>
            <w:tcW w:w="2127" w:type="dxa"/>
            <w:noWrap/>
          </w:tcPr>
          <w:p w14:paraId="5E576BBF" w14:textId="77777777" w:rsidR="00DE583D" w:rsidRDefault="00DE583D" w:rsidP="0052799A">
            <w:pPr>
              <w:rPr>
                <w:rFonts w:ascii="Calibri" w:eastAsia="Times New Roman" w:hAnsi="Calibri" w:cs="Times New Roman"/>
              </w:rPr>
            </w:pPr>
            <w:r w:rsidRPr="00C16CA3">
              <w:rPr>
                <w:rFonts w:ascii="Calibri" w:eastAsia="Times New Roman" w:hAnsi="Calibri" w:cs="Times New Roman"/>
              </w:rPr>
              <w:t xml:space="preserve">6-12 years </w:t>
            </w:r>
            <w:r>
              <w:rPr>
                <w:rFonts w:ascii="Calibri" w:eastAsia="Times New Roman" w:hAnsi="Calibri" w:cs="Times New Roman"/>
              </w:rPr>
              <w:t>fe</w:t>
            </w:r>
            <w:r w:rsidRPr="00C16CA3">
              <w:rPr>
                <w:rFonts w:ascii="Calibri" w:eastAsia="Times New Roman" w:hAnsi="Calibri" w:cs="Times New Roman"/>
              </w:rPr>
              <w:t>male</w:t>
            </w:r>
          </w:p>
        </w:tc>
        <w:tc>
          <w:tcPr>
            <w:tcW w:w="1338" w:type="dxa"/>
            <w:noWrap/>
          </w:tcPr>
          <w:p w14:paraId="5ACD5DB2" w14:textId="77777777" w:rsidR="00DE583D" w:rsidRPr="005A1475" w:rsidRDefault="00DE583D" w:rsidP="0052799A">
            <w:pPr>
              <w:jc w:val="right"/>
              <w:rPr>
                <w:rFonts w:ascii="Calibri" w:eastAsia="Times New Roman" w:hAnsi="Calibri" w:cs="Times New Roman"/>
              </w:rPr>
            </w:pPr>
            <w:r w:rsidRPr="00966009">
              <w:t>11%</w:t>
            </w:r>
          </w:p>
        </w:tc>
        <w:tc>
          <w:tcPr>
            <w:tcW w:w="1338" w:type="dxa"/>
            <w:noWrap/>
          </w:tcPr>
          <w:p w14:paraId="1390514E" w14:textId="77777777" w:rsidR="00DE583D" w:rsidRPr="005A1475" w:rsidRDefault="00DE583D" w:rsidP="0052799A">
            <w:pPr>
              <w:jc w:val="right"/>
              <w:rPr>
                <w:rFonts w:ascii="Calibri" w:eastAsia="Times New Roman" w:hAnsi="Calibri" w:cs="Times New Roman"/>
              </w:rPr>
            </w:pPr>
            <w:r w:rsidRPr="00966009">
              <w:t>11%</w:t>
            </w:r>
          </w:p>
        </w:tc>
        <w:tc>
          <w:tcPr>
            <w:tcW w:w="1338" w:type="dxa"/>
            <w:noWrap/>
          </w:tcPr>
          <w:p w14:paraId="228BD66F" w14:textId="77777777" w:rsidR="00DE583D" w:rsidRPr="005A1475" w:rsidRDefault="00DE583D" w:rsidP="0052799A">
            <w:pPr>
              <w:jc w:val="right"/>
              <w:rPr>
                <w:rFonts w:ascii="Calibri" w:eastAsia="Times New Roman" w:hAnsi="Calibri" w:cs="Times New Roman"/>
              </w:rPr>
            </w:pPr>
            <w:r w:rsidRPr="00966009">
              <w:t>11%</w:t>
            </w:r>
          </w:p>
        </w:tc>
        <w:tc>
          <w:tcPr>
            <w:tcW w:w="1338" w:type="dxa"/>
            <w:noWrap/>
          </w:tcPr>
          <w:p w14:paraId="69AE2388" w14:textId="77777777" w:rsidR="00DE583D" w:rsidRPr="005A1475" w:rsidRDefault="00DE583D" w:rsidP="0052799A">
            <w:pPr>
              <w:jc w:val="right"/>
              <w:rPr>
                <w:rFonts w:ascii="Calibri" w:eastAsia="Times New Roman" w:hAnsi="Calibri" w:cs="Times New Roman"/>
              </w:rPr>
            </w:pPr>
            <w:r w:rsidRPr="00966009">
              <w:t>12%</w:t>
            </w:r>
          </w:p>
        </w:tc>
        <w:tc>
          <w:tcPr>
            <w:tcW w:w="1339" w:type="dxa"/>
            <w:noWrap/>
          </w:tcPr>
          <w:p w14:paraId="589615FC" w14:textId="77777777" w:rsidR="00DE583D" w:rsidRPr="005A1475" w:rsidRDefault="00DE583D" w:rsidP="0052799A">
            <w:pPr>
              <w:jc w:val="right"/>
              <w:rPr>
                <w:rFonts w:ascii="Calibri" w:eastAsia="Times New Roman" w:hAnsi="Calibri" w:cs="Times New Roman"/>
              </w:rPr>
            </w:pPr>
            <w:r w:rsidRPr="00966009">
              <w:t>12%</w:t>
            </w:r>
          </w:p>
        </w:tc>
      </w:tr>
      <w:tr w:rsidR="00DE583D" w:rsidRPr="005A1475" w14:paraId="5502DD80" w14:textId="77777777" w:rsidTr="0018712A">
        <w:trPr>
          <w:trHeight w:val="297"/>
        </w:trPr>
        <w:tc>
          <w:tcPr>
            <w:tcW w:w="2127" w:type="dxa"/>
            <w:noWrap/>
          </w:tcPr>
          <w:p w14:paraId="089C9130" w14:textId="77777777" w:rsidR="00DE583D" w:rsidRDefault="00DE583D" w:rsidP="0052799A">
            <w:pPr>
              <w:rPr>
                <w:rFonts w:ascii="Calibri" w:eastAsia="Times New Roman" w:hAnsi="Calibri" w:cs="Times New Roman"/>
              </w:rPr>
            </w:pPr>
            <w:r>
              <w:rPr>
                <w:rFonts w:ascii="Calibri" w:eastAsia="Times New Roman" w:hAnsi="Calibri" w:cs="Times New Roman"/>
              </w:rPr>
              <w:t>13-17 years male</w:t>
            </w:r>
          </w:p>
        </w:tc>
        <w:tc>
          <w:tcPr>
            <w:tcW w:w="1338" w:type="dxa"/>
            <w:noWrap/>
          </w:tcPr>
          <w:p w14:paraId="797A9F8C" w14:textId="77777777" w:rsidR="00DE583D" w:rsidRPr="005A1475" w:rsidRDefault="00DE583D" w:rsidP="0052799A">
            <w:pPr>
              <w:jc w:val="right"/>
              <w:rPr>
                <w:rFonts w:ascii="Calibri" w:eastAsia="Times New Roman" w:hAnsi="Calibri" w:cs="Times New Roman"/>
              </w:rPr>
            </w:pPr>
            <w:r w:rsidRPr="00966009">
              <w:t>10%</w:t>
            </w:r>
          </w:p>
        </w:tc>
        <w:tc>
          <w:tcPr>
            <w:tcW w:w="1338" w:type="dxa"/>
            <w:noWrap/>
          </w:tcPr>
          <w:p w14:paraId="7047B824" w14:textId="77777777" w:rsidR="00DE583D" w:rsidRPr="005A1475" w:rsidRDefault="00DE583D" w:rsidP="0052799A">
            <w:pPr>
              <w:jc w:val="right"/>
              <w:rPr>
                <w:rFonts w:ascii="Calibri" w:eastAsia="Times New Roman" w:hAnsi="Calibri" w:cs="Times New Roman"/>
              </w:rPr>
            </w:pPr>
            <w:r w:rsidRPr="00966009">
              <w:t>9%</w:t>
            </w:r>
          </w:p>
        </w:tc>
        <w:tc>
          <w:tcPr>
            <w:tcW w:w="1338" w:type="dxa"/>
            <w:noWrap/>
          </w:tcPr>
          <w:p w14:paraId="0A7027B4" w14:textId="77777777" w:rsidR="00DE583D" w:rsidRPr="005A1475" w:rsidRDefault="00DE583D" w:rsidP="0052799A">
            <w:pPr>
              <w:jc w:val="right"/>
              <w:rPr>
                <w:rFonts w:ascii="Calibri" w:eastAsia="Times New Roman" w:hAnsi="Calibri" w:cs="Times New Roman"/>
              </w:rPr>
            </w:pPr>
            <w:r w:rsidRPr="00966009">
              <w:t>8%</w:t>
            </w:r>
          </w:p>
        </w:tc>
        <w:tc>
          <w:tcPr>
            <w:tcW w:w="1338" w:type="dxa"/>
            <w:noWrap/>
          </w:tcPr>
          <w:p w14:paraId="0BAFEA27" w14:textId="77777777" w:rsidR="00DE583D" w:rsidRPr="005A1475" w:rsidRDefault="00DE583D" w:rsidP="0052799A">
            <w:pPr>
              <w:jc w:val="right"/>
              <w:rPr>
                <w:rFonts w:ascii="Calibri" w:eastAsia="Times New Roman" w:hAnsi="Calibri" w:cs="Times New Roman"/>
              </w:rPr>
            </w:pPr>
            <w:r w:rsidRPr="00966009">
              <w:t>8%</w:t>
            </w:r>
          </w:p>
        </w:tc>
        <w:tc>
          <w:tcPr>
            <w:tcW w:w="1339" w:type="dxa"/>
            <w:noWrap/>
          </w:tcPr>
          <w:p w14:paraId="76B691C3" w14:textId="77777777" w:rsidR="00DE583D" w:rsidRPr="005A1475" w:rsidRDefault="00DE583D" w:rsidP="0052799A">
            <w:pPr>
              <w:jc w:val="right"/>
              <w:rPr>
                <w:rFonts w:ascii="Calibri" w:eastAsia="Times New Roman" w:hAnsi="Calibri" w:cs="Times New Roman"/>
              </w:rPr>
            </w:pPr>
            <w:r w:rsidRPr="00966009">
              <w:t>7%</w:t>
            </w:r>
          </w:p>
        </w:tc>
      </w:tr>
      <w:tr w:rsidR="00DE583D" w:rsidRPr="005A1475" w14:paraId="1210806F" w14:textId="77777777" w:rsidTr="0018712A">
        <w:trPr>
          <w:trHeight w:val="297"/>
        </w:trPr>
        <w:tc>
          <w:tcPr>
            <w:tcW w:w="2127" w:type="dxa"/>
            <w:noWrap/>
            <w:hideMark/>
          </w:tcPr>
          <w:p w14:paraId="69F8547C" w14:textId="77777777" w:rsidR="00DE583D" w:rsidRDefault="00DE583D" w:rsidP="0052799A">
            <w:pPr>
              <w:rPr>
                <w:rFonts w:ascii="Calibri" w:eastAsia="Times New Roman" w:hAnsi="Calibri" w:cs="Times New Roman"/>
              </w:rPr>
            </w:pPr>
            <w:r>
              <w:rPr>
                <w:rFonts w:ascii="Calibri" w:eastAsia="Times New Roman" w:hAnsi="Calibri" w:cs="Times New Roman"/>
              </w:rPr>
              <w:t>13-17 years female</w:t>
            </w:r>
          </w:p>
        </w:tc>
        <w:tc>
          <w:tcPr>
            <w:tcW w:w="1338" w:type="dxa"/>
            <w:noWrap/>
          </w:tcPr>
          <w:p w14:paraId="76CE02D8" w14:textId="77777777" w:rsidR="00DE583D" w:rsidRPr="005A1475" w:rsidRDefault="00DE583D" w:rsidP="0052799A">
            <w:pPr>
              <w:jc w:val="right"/>
              <w:rPr>
                <w:rFonts w:ascii="Calibri" w:eastAsia="Times New Roman" w:hAnsi="Calibri" w:cs="Times New Roman"/>
              </w:rPr>
            </w:pPr>
            <w:r w:rsidRPr="00966009">
              <w:t>4%</w:t>
            </w:r>
          </w:p>
        </w:tc>
        <w:tc>
          <w:tcPr>
            <w:tcW w:w="1338" w:type="dxa"/>
            <w:noWrap/>
          </w:tcPr>
          <w:p w14:paraId="58500497" w14:textId="77777777" w:rsidR="00DE583D" w:rsidRPr="005A1475" w:rsidRDefault="00DE583D" w:rsidP="0052799A">
            <w:pPr>
              <w:jc w:val="right"/>
              <w:rPr>
                <w:rFonts w:ascii="Calibri" w:eastAsia="Times New Roman" w:hAnsi="Calibri" w:cs="Times New Roman"/>
              </w:rPr>
            </w:pPr>
            <w:r w:rsidRPr="00966009">
              <w:t>4%</w:t>
            </w:r>
          </w:p>
        </w:tc>
        <w:tc>
          <w:tcPr>
            <w:tcW w:w="1338" w:type="dxa"/>
            <w:noWrap/>
          </w:tcPr>
          <w:p w14:paraId="10CCF2E5" w14:textId="77777777" w:rsidR="00DE583D" w:rsidRPr="005A1475" w:rsidRDefault="00DE583D" w:rsidP="0052799A">
            <w:pPr>
              <w:jc w:val="right"/>
              <w:rPr>
                <w:rFonts w:ascii="Calibri" w:eastAsia="Times New Roman" w:hAnsi="Calibri" w:cs="Times New Roman"/>
              </w:rPr>
            </w:pPr>
            <w:r w:rsidRPr="00966009">
              <w:t>4%</w:t>
            </w:r>
          </w:p>
        </w:tc>
        <w:tc>
          <w:tcPr>
            <w:tcW w:w="1338" w:type="dxa"/>
            <w:noWrap/>
          </w:tcPr>
          <w:p w14:paraId="218EED19" w14:textId="77777777" w:rsidR="00DE583D" w:rsidRPr="005A1475" w:rsidRDefault="00DE583D" w:rsidP="0052799A">
            <w:pPr>
              <w:jc w:val="right"/>
              <w:rPr>
                <w:rFonts w:ascii="Calibri" w:eastAsia="Times New Roman" w:hAnsi="Calibri" w:cs="Times New Roman"/>
              </w:rPr>
            </w:pPr>
            <w:r w:rsidRPr="00966009">
              <w:t>4%</w:t>
            </w:r>
          </w:p>
        </w:tc>
        <w:tc>
          <w:tcPr>
            <w:tcW w:w="1339" w:type="dxa"/>
            <w:noWrap/>
          </w:tcPr>
          <w:p w14:paraId="032A8A83" w14:textId="77777777" w:rsidR="00DE583D" w:rsidRPr="005A1475" w:rsidRDefault="00DE583D" w:rsidP="0052799A">
            <w:pPr>
              <w:jc w:val="right"/>
              <w:rPr>
                <w:rFonts w:ascii="Calibri" w:eastAsia="Times New Roman" w:hAnsi="Calibri" w:cs="Times New Roman"/>
              </w:rPr>
            </w:pPr>
            <w:r w:rsidRPr="00966009">
              <w:t>4%</w:t>
            </w:r>
          </w:p>
        </w:tc>
      </w:tr>
      <w:tr w:rsidR="00DE583D" w:rsidRPr="005A1475" w14:paraId="24D1DC78" w14:textId="77777777" w:rsidTr="0018712A">
        <w:trPr>
          <w:trHeight w:val="297"/>
        </w:trPr>
        <w:tc>
          <w:tcPr>
            <w:tcW w:w="2127" w:type="dxa"/>
            <w:noWrap/>
            <w:hideMark/>
          </w:tcPr>
          <w:p w14:paraId="1E1BE8B0" w14:textId="77777777" w:rsidR="00DE583D" w:rsidRDefault="00DE583D" w:rsidP="0052799A">
            <w:pPr>
              <w:rPr>
                <w:rFonts w:ascii="Calibri" w:eastAsia="Times New Roman" w:hAnsi="Calibri" w:cs="Times New Roman"/>
              </w:rPr>
            </w:pPr>
            <w:r>
              <w:rPr>
                <w:rFonts w:ascii="Calibri" w:eastAsia="Times New Roman" w:hAnsi="Calibri" w:cs="Times New Roman"/>
              </w:rPr>
              <w:t>18+ years male</w:t>
            </w:r>
          </w:p>
        </w:tc>
        <w:tc>
          <w:tcPr>
            <w:tcW w:w="1338" w:type="dxa"/>
            <w:noWrap/>
          </w:tcPr>
          <w:p w14:paraId="2FBA618F" w14:textId="77777777" w:rsidR="00DE583D" w:rsidRPr="005A1475" w:rsidRDefault="00DE583D" w:rsidP="0052799A">
            <w:pPr>
              <w:jc w:val="right"/>
              <w:rPr>
                <w:rFonts w:ascii="Calibri" w:eastAsia="Times New Roman" w:hAnsi="Calibri" w:cs="Times New Roman"/>
              </w:rPr>
            </w:pPr>
            <w:r w:rsidRPr="00966009">
              <w:t>17%</w:t>
            </w:r>
          </w:p>
        </w:tc>
        <w:tc>
          <w:tcPr>
            <w:tcW w:w="1338" w:type="dxa"/>
            <w:noWrap/>
          </w:tcPr>
          <w:p w14:paraId="1C3D7894" w14:textId="77777777" w:rsidR="00DE583D" w:rsidRPr="005A1475" w:rsidRDefault="00DE583D" w:rsidP="0052799A">
            <w:pPr>
              <w:jc w:val="right"/>
              <w:rPr>
                <w:rFonts w:ascii="Calibri" w:eastAsia="Times New Roman" w:hAnsi="Calibri" w:cs="Times New Roman"/>
              </w:rPr>
            </w:pPr>
            <w:r w:rsidRPr="00966009">
              <w:t>17%</w:t>
            </w:r>
          </w:p>
        </w:tc>
        <w:tc>
          <w:tcPr>
            <w:tcW w:w="1338" w:type="dxa"/>
            <w:noWrap/>
          </w:tcPr>
          <w:p w14:paraId="7D478022" w14:textId="77777777" w:rsidR="00DE583D" w:rsidRPr="005A1475" w:rsidRDefault="00DE583D" w:rsidP="0052799A">
            <w:pPr>
              <w:jc w:val="right"/>
              <w:rPr>
                <w:rFonts w:ascii="Calibri" w:eastAsia="Times New Roman" w:hAnsi="Calibri" w:cs="Times New Roman"/>
              </w:rPr>
            </w:pPr>
            <w:r w:rsidRPr="00966009">
              <w:t>17%</w:t>
            </w:r>
          </w:p>
        </w:tc>
        <w:tc>
          <w:tcPr>
            <w:tcW w:w="1338" w:type="dxa"/>
            <w:noWrap/>
          </w:tcPr>
          <w:p w14:paraId="3B0B854C" w14:textId="77777777" w:rsidR="00DE583D" w:rsidRPr="005A1475" w:rsidRDefault="00DE583D" w:rsidP="0052799A">
            <w:pPr>
              <w:jc w:val="right"/>
              <w:rPr>
                <w:rFonts w:ascii="Calibri" w:eastAsia="Times New Roman" w:hAnsi="Calibri" w:cs="Times New Roman"/>
              </w:rPr>
            </w:pPr>
            <w:r w:rsidRPr="00966009">
              <w:t>17%</w:t>
            </w:r>
          </w:p>
        </w:tc>
        <w:tc>
          <w:tcPr>
            <w:tcW w:w="1339" w:type="dxa"/>
            <w:noWrap/>
          </w:tcPr>
          <w:p w14:paraId="4405927F" w14:textId="77777777" w:rsidR="00DE583D" w:rsidRPr="005A1475" w:rsidRDefault="00DE583D" w:rsidP="0052799A">
            <w:pPr>
              <w:jc w:val="right"/>
              <w:rPr>
                <w:rFonts w:ascii="Calibri" w:eastAsia="Times New Roman" w:hAnsi="Calibri" w:cs="Times New Roman"/>
              </w:rPr>
            </w:pPr>
            <w:r w:rsidRPr="00966009">
              <w:t>17%</w:t>
            </w:r>
          </w:p>
        </w:tc>
      </w:tr>
      <w:tr w:rsidR="00DE583D" w:rsidRPr="005A1475" w14:paraId="1B87C9FC" w14:textId="77777777" w:rsidTr="0018712A">
        <w:trPr>
          <w:trHeight w:val="297"/>
        </w:trPr>
        <w:tc>
          <w:tcPr>
            <w:tcW w:w="2127" w:type="dxa"/>
            <w:noWrap/>
            <w:hideMark/>
          </w:tcPr>
          <w:p w14:paraId="2203A244" w14:textId="77777777" w:rsidR="00DE583D" w:rsidRDefault="00DE583D" w:rsidP="0052799A">
            <w:pPr>
              <w:rPr>
                <w:rFonts w:ascii="Calibri" w:eastAsia="Times New Roman" w:hAnsi="Calibri" w:cs="Times New Roman"/>
              </w:rPr>
            </w:pPr>
            <w:r>
              <w:rPr>
                <w:rFonts w:ascii="Calibri" w:eastAsia="Times New Roman" w:hAnsi="Calibri" w:cs="Times New Roman"/>
              </w:rPr>
              <w:t>18+ years female</w:t>
            </w:r>
          </w:p>
        </w:tc>
        <w:tc>
          <w:tcPr>
            <w:tcW w:w="1338" w:type="dxa"/>
            <w:noWrap/>
          </w:tcPr>
          <w:p w14:paraId="0074C6CD" w14:textId="77777777" w:rsidR="00DE583D" w:rsidRPr="005A1475" w:rsidRDefault="00DE583D" w:rsidP="0052799A">
            <w:pPr>
              <w:jc w:val="right"/>
              <w:rPr>
                <w:rFonts w:ascii="Calibri" w:eastAsia="Times New Roman" w:hAnsi="Calibri" w:cs="Times New Roman"/>
              </w:rPr>
            </w:pPr>
            <w:r w:rsidRPr="00966009">
              <w:t>10%</w:t>
            </w:r>
          </w:p>
        </w:tc>
        <w:tc>
          <w:tcPr>
            <w:tcW w:w="1338" w:type="dxa"/>
            <w:noWrap/>
          </w:tcPr>
          <w:p w14:paraId="1AFB4D83" w14:textId="77777777" w:rsidR="00DE583D" w:rsidRPr="005A1475" w:rsidRDefault="00DE583D" w:rsidP="0052799A">
            <w:pPr>
              <w:jc w:val="right"/>
              <w:rPr>
                <w:rFonts w:ascii="Calibri" w:eastAsia="Times New Roman" w:hAnsi="Calibri" w:cs="Times New Roman"/>
              </w:rPr>
            </w:pPr>
            <w:r w:rsidRPr="00966009">
              <w:t>10%</w:t>
            </w:r>
          </w:p>
        </w:tc>
        <w:tc>
          <w:tcPr>
            <w:tcW w:w="1338" w:type="dxa"/>
            <w:noWrap/>
          </w:tcPr>
          <w:p w14:paraId="35D9666B" w14:textId="77777777" w:rsidR="00DE583D" w:rsidRPr="005A1475" w:rsidRDefault="00DE583D" w:rsidP="0052799A">
            <w:pPr>
              <w:jc w:val="right"/>
              <w:rPr>
                <w:rFonts w:ascii="Calibri" w:eastAsia="Times New Roman" w:hAnsi="Calibri" w:cs="Times New Roman"/>
              </w:rPr>
            </w:pPr>
            <w:r w:rsidRPr="00966009">
              <w:t>10%</w:t>
            </w:r>
          </w:p>
        </w:tc>
        <w:tc>
          <w:tcPr>
            <w:tcW w:w="1338" w:type="dxa"/>
            <w:noWrap/>
          </w:tcPr>
          <w:p w14:paraId="703AF551" w14:textId="77777777" w:rsidR="00DE583D" w:rsidRPr="005A1475" w:rsidRDefault="00DE583D" w:rsidP="0052799A">
            <w:pPr>
              <w:jc w:val="right"/>
              <w:rPr>
                <w:rFonts w:ascii="Calibri" w:eastAsia="Times New Roman" w:hAnsi="Calibri" w:cs="Times New Roman"/>
              </w:rPr>
            </w:pPr>
            <w:r w:rsidRPr="00966009">
              <w:t>10%</w:t>
            </w:r>
          </w:p>
        </w:tc>
        <w:tc>
          <w:tcPr>
            <w:tcW w:w="1339" w:type="dxa"/>
            <w:noWrap/>
          </w:tcPr>
          <w:p w14:paraId="20E20FE0" w14:textId="77777777" w:rsidR="00DE583D" w:rsidRPr="005A1475" w:rsidRDefault="00DE583D" w:rsidP="0052799A">
            <w:pPr>
              <w:jc w:val="right"/>
              <w:rPr>
                <w:rFonts w:ascii="Calibri" w:eastAsia="Times New Roman" w:hAnsi="Calibri" w:cs="Times New Roman"/>
              </w:rPr>
            </w:pPr>
            <w:r w:rsidRPr="00966009">
              <w:t>10%</w:t>
            </w:r>
          </w:p>
        </w:tc>
      </w:tr>
      <w:tr w:rsidR="00DE583D" w:rsidRPr="005A1475" w14:paraId="499FFFAE" w14:textId="77777777" w:rsidTr="0018712A">
        <w:trPr>
          <w:trHeight w:val="297"/>
        </w:trPr>
        <w:tc>
          <w:tcPr>
            <w:tcW w:w="2127" w:type="dxa"/>
            <w:noWrap/>
          </w:tcPr>
          <w:p w14:paraId="435C9892" w14:textId="77777777" w:rsidR="00DE583D" w:rsidRDefault="00DE583D" w:rsidP="0052799A">
            <w:pPr>
              <w:rPr>
                <w:rFonts w:ascii="Calibri" w:eastAsia="Times New Roman" w:hAnsi="Calibri" w:cs="Times New Roman"/>
              </w:rPr>
            </w:pPr>
            <w:r>
              <w:rPr>
                <w:rFonts w:ascii="Calibri" w:eastAsia="Times New Roman" w:hAnsi="Calibri" w:cs="Times New Roman"/>
              </w:rPr>
              <w:t>Unknown</w:t>
            </w:r>
          </w:p>
        </w:tc>
        <w:tc>
          <w:tcPr>
            <w:tcW w:w="1338" w:type="dxa"/>
            <w:noWrap/>
          </w:tcPr>
          <w:p w14:paraId="5255F294" w14:textId="77777777" w:rsidR="00DE583D" w:rsidRPr="009D390C" w:rsidRDefault="00DE583D" w:rsidP="0052799A">
            <w:pPr>
              <w:jc w:val="right"/>
            </w:pPr>
            <w:r w:rsidRPr="00966009">
              <w:t>2%</w:t>
            </w:r>
          </w:p>
        </w:tc>
        <w:tc>
          <w:tcPr>
            <w:tcW w:w="1338" w:type="dxa"/>
            <w:noWrap/>
          </w:tcPr>
          <w:p w14:paraId="4647F3ED" w14:textId="77777777" w:rsidR="00DE583D" w:rsidRPr="009D390C" w:rsidRDefault="00DE583D" w:rsidP="0052799A">
            <w:pPr>
              <w:jc w:val="right"/>
            </w:pPr>
            <w:r w:rsidRPr="00966009">
              <w:t>2%</w:t>
            </w:r>
          </w:p>
        </w:tc>
        <w:tc>
          <w:tcPr>
            <w:tcW w:w="1338" w:type="dxa"/>
            <w:noWrap/>
          </w:tcPr>
          <w:p w14:paraId="5165B4F8" w14:textId="77777777" w:rsidR="00DE583D" w:rsidRPr="009D390C" w:rsidRDefault="00DE583D" w:rsidP="0052799A">
            <w:pPr>
              <w:jc w:val="right"/>
            </w:pPr>
            <w:r w:rsidRPr="00966009">
              <w:t>1%</w:t>
            </w:r>
          </w:p>
        </w:tc>
        <w:tc>
          <w:tcPr>
            <w:tcW w:w="1338" w:type="dxa"/>
            <w:noWrap/>
          </w:tcPr>
          <w:p w14:paraId="45DC812F" w14:textId="77777777" w:rsidR="00DE583D" w:rsidRPr="009D390C" w:rsidRDefault="00DE583D" w:rsidP="0052799A">
            <w:pPr>
              <w:jc w:val="right"/>
            </w:pPr>
            <w:r w:rsidRPr="00966009">
              <w:t>1%</w:t>
            </w:r>
          </w:p>
        </w:tc>
        <w:tc>
          <w:tcPr>
            <w:tcW w:w="1339" w:type="dxa"/>
            <w:noWrap/>
          </w:tcPr>
          <w:p w14:paraId="3754C1EA" w14:textId="77777777" w:rsidR="00DE583D" w:rsidRPr="009D390C" w:rsidRDefault="00DE583D" w:rsidP="0052799A">
            <w:pPr>
              <w:jc w:val="right"/>
            </w:pPr>
            <w:r w:rsidRPr="00966009">
              <w:t>1%</w:t>
            </w:r>
          </w:p>
        </w:tc>
      </w:tr>
      <w:tr w:rsidR="00DE583D" w:rsidRPr="00BC727E" w14:paraId="019C78CC" w14:textId="77777777" w:rsidTr="0018712A">
        <w:trPr>
          <w:trHeight w:val="297"/>
        </w:trPr>
        <w:tc>
          <w:tcPr>
            <w:tcW w:w="2127" w:type="dxa"/>
            <w:noWrap/>
            <w:hideMark/>
          </w:tcPr>
          <w:p w14:paraId="1A208F9A" w14:textId="77777777" w:rsidR="00DE583D" w:rsidRPr="005A1475" w:rsidRDefault="00DE583D" w:rsidP="0052799A">
            <w:pPr>
              <w:rPr>
                <w:rFonts w:ascii="Calibri" w:eastAsia="Times New Roman" w:hAnsi="Calibri" w:cs="Times New Roman"/>
                <w:b/>
              </w:rPr>
            </w:pPr>
            <w:r w:rsidRPr="00BC727E">
              <w:rPr>
                <w:rFonts w:ascii="Calibri" w:eastAsia="Times New Roman" w:hAnsi="Calibri" w:cs="Times New Roman"/>
                <w:b/>
              </w:rPr>
              <w:t>Total New patients</w:t>
            </w:r>
          </w:p>
        </w:tc>
        <w:tc>
          <w:tcPr>
            <w:tcW w:w="1338" w:type="dxa"/>
            <w:noWrap/>
          </w:tcPr>
          <w:p w14:paraId="6E31D52B" w14:textId="77777777" w:rsidR="00DE583D" w:rsidRPr="005A1475" w:rsidRDefault="00DE583D" w:rsidP="0052799A">
            <w:pPr>
              <w:jc w:val="right"/>
              <w:rPr>
                <w:rFonts w:ascii="Calibri" w:eastAsia="Times New Roman" w:hAnsi="Calibri" w:cs="Times New Roman"/>
                <w:b/>
              </w:rPr>
            </w:pPr>
            <w:r>
              <w:rPr>
                <w:rFonts w:ascii="Calibri" w:eastAsia="Times New Roman" w:hAnsi="Calibri" w:cs="Times New Roman"/>
                <w:b/>
              </w:rPr>
              <w:t>100%</w:t>
            </w:r>
          </w:p>
        </w:tc>
        <w:tc>
          <w:tcPr>
            <w:tcW w:w="1338" w:type="dxa"/>
            <w:noWrap/>
          </w:tcPr>
          <w:p w14:paraId="08CBC4BE" w14:textId="77777777" w:rsidR="00DE583D" w:rsidRPr="005A1475" w:rsidRDefault="00DE583D" w:rsidP="0052799A">
            <w:pPr>
              <w:jc w:val="right"/>
              <w:rPr>
                <w:rFonts w:ascii="Calibri" w:eastAsia="Times New Roman" w:hAnsi="Calibri" w:cs="Times New Roman"/>
                <w:b/>
              </w:rPr>
            </w:pPr>
            <w:r>
              <w:rPr>
                <w:rFonts w:ascii="Calibri" w:eastAsia="Times New Roman" w:hAnsi="Calibri" w:cs="Times New Roman"/>
                <w:b/>
              </w:rPr>
              <w:t>100%</w:t>
            </w:r>
          </w:p>
        </w:tc>
        <w:tc>
          <w:tcPr>
            <w:tcW w:w="1338" w:type="dxa"/>
            <w:noWrap/>
          </w:tcPr>
          <w:p w14:paraId="0C4752B7" w14:textId="77777777" w:rsidR="00DE583D" w:rsidRPr="005A1475" w:rsidRDefault="00DE583D" w:rsidP="0052799A">
            <w:pPr>
              <w:jc w:val="right"/>
              <w:rPr>
                <w:rFonts w:ascii="Calibri" w:eastAsia="Times New Roman" w:hAnsi="Calibri" w:cs="Times New Roman"/>
                <w:b/>
              </w:rPr>
            </w:pPr>
            <w:r>
              <w:rPr>
                <w:rFonts w:ascii="Calibri" w:eastAsia="Times New Roman" w:hAnsi="Calibri" w:cs="Times New Roman"/>
                <w:b/>
              </w:rPr>
              <w:t>100%</w:t>
            </w:r>
          </w:p>
        </w:tc>
        <w:tc>
          <w:tcPr>
            <w:tcW w:w="1338" w:type="dxa"/>
            <w:noWrap/>
          </w:tcPr>
          <w:p w14:paraId="273CF7F8" w14:textId="77777777" w:rsidR="00DE583D" w:rsidRPr="005A1475" w:rsidRDefault="00DE583D" w:rsidP="0052799A">
            <w:pPr>
              <w:jc w:val="right"/>
              <w:rPr>
                <w:rFonts w:ascii="Calibri" w:eastAsia="Times New Roman" w:hAnsi="Calibri" w:cs="Times New Roman"/>
                <w:b/>
              </w:rPr>
            </w:pPr>
            <w:r>
              <w:rPr>
                <w:rFonts w:ascii="Calibri" w:eastAsia="Times New Roman" w:hAnsi="Calibri" w:cs="Times New Roman"/>
                <w:b/>
              </w:rPr>
              <w:t>100%</w:t>
            </w:r>
          </w:p>
        </w:tc>
        <w:tc>
          <w:tcPr>
            <w:tcW w:w="1339" w:type="dxa"/>
            <w:noWrap/>
          </w:tcPr>
          <w:p w14:paraId="6901B57D" w14:textId="77777777" w:rsidR="00DE583D" w:rsidRPr="005A1475" w:rsidRDefault="00DE583D" w:rsidP="0052799A">
            <w:pPr>
              <w:jc w:val="right"/>
              <w:rPr>
                <w:rFonts w:ascii="Calibri" w:eastAsia="Times New Roman" w:hAnsi="Calibri" w:cs="Times New Roman"/>
                <w:b/>
              </w:rPr>
            </w:pPr>
            <w:r>
              <w:rPr>
                <w:rFonts w:ascii="Calibri" w:eastAsia="Times New Roman" w:hAnsi="Calibri" w:cs="Times New Roman"/>
                <w:b/>
              </w:rPr>
              <w:t>100%</w:t>
            </w:r>
          </w:p>
        </w:tc>
      </w:tr>
    </w:tbl>
    <w:p w14:paraId="10C2349E" w14:textId="77777777" w:rsidR="00372888" w:rsidRDefault="00372888" w:rsidP="00372888">
      <w:pPr>
        <w:rPr>
          <w:rFonts w:cs="Baskerville"/>
          <w:sz w:val="20"/>
          <w:szCs w:val="20"/>
        </w:rPr>
      </w:pPr>
      <w:r w:rsidRPr="00C6303F">
        <w:rPr>
          <w:rFonts w:cs="Baskerville"/>
          <w:sz w:val="20"/>
          <w:szCs w:val="20"/>
        </w:rPr>
        <w:t>Sour</w:t>
      </w:r>
      <w:r>
        <w:rPr>
          <w:rFonts w:cs="Baskerville"/>
          <w:sz w:val="20"/>
          <w:szCs w:val="20"/>
        </w:rPr>
        <w:t xml:space="preserve">ce: DHS Authority approval data, extracted May </w:t>
      </w:r>
      <w:r w:rsidRPr="00E51B21">
        <w:rPr>
          <w:rFonts w:cs="Baskerville"/>
          <w:sz w:val="20"/>
          <w:szCs w:val="20"/>
        </w:rPr>
        <w:t>2015. Unknown denotes age or sex not available in data.</w:t>
      </w:r>
    </w:p>
    <w:p w14:paraId="71D6C91E" w14:textId="60A36A18" w:rsidR="007F051D" w:rsidRPr="00C775D7" w:rsidRDefault="007F051D" w:rsidP="007F051D">
      <w:pPr>
        <w:pStyle w:val="Tabletitle"/>
      </w:pPr>
      <w:r>
        <w:t>Table 6</w:t>
      </w:r>
      <w:r w:rsidRPr="003F1916">
        <w:t>:</w:t>
      </w:r>
      <w:r w:rsidRPr="003F1916">
        <w:rPr>
          <w:b w:val="0"/>
        </w:rPr>
        <w:t xml:space="preserve"> </w:t>
      </w:r>
      <w:r w:rsidRPr="003F1916">
        <w:t>Percentage</w:t>
      </w:r>
      <w:r>
        <w:t xml:space="preserve"> of </w:t>
      </w:r>
      <w:r w:rsidR="007C646E">
        <w:t>all</w:t>
      </w:r>
      <w:r>
        <w:t xml:space="preserve"> patients prescribed ADHD medicine by age and gender.</w:t>
      </w:r>
    </w:p>
    <w:tbl>
      <w:tblPr>
        <w:tblStyle w:val="TableGrid1"/>
        <w:tblW w:w="8818" w:type="dxa"/>
        <w:tblLayout w:type="fixed"/>
        <w:tblLook w:val="04A0" w:firstRow="1" w:lastRow="0" w:firstColumn="1" w:lastColumn="0" w:noHBand="0" w:noVBand="1"/>
        <w:tblCaption w:val="Different age brackets are listed in the first column, read across the row for the percentage of patients treated in the years 2010 to 2014 inclusive"/>
      </w:tblPr>
      <w:tblGrid>
        <w:gridCol w:w="2127"/>
        <w:gridCol w:w="1338"/>
        <w:gridCol w:w="1338"/>
        <w:gridCol w:w="1338"/>
        <w:gridCol w:w="1338"/>
        <w:gridCol w:w="1339"/>
      </w:tblGrid>
      <w:tr w:rsidR="00372888" w:rsidRPr="00EE0D19" w14:paraId="336F1CB8" w14:textId="77777777" w:rsidTr="00011276">
        <w:trPr>
          <w:trHeight w:val="297"/>
          <w:tblHeader/>
        </w:trPr>
        <w:tc>
          <w:tcPr>
            <w:tcW w:w="2127" w:type="dxa"/>
            <w:shd w:val="clear" w:color="auto" w:fill="D9D9D9" w:themeFill="background1" w:themeFillShade="D9"/>
            <w:noWrap/>
            <w:hideMark/>
          </w:tcPr>
          <w:p w14:paraId="35C9C3C9" w14:textId="77777777" w:rsidR="00372888" w:rsidRPr="00EE0D19" w:rsidRDefault="00372888" w:rsidP="007F051D">
            <w:pPr>
              <w:ind w:left="11520" w:hanging="11520"/>
              <w:rPr>
                <w:rFonts w:ascii="Calibri" w:eastAsia="Times New Roman" w:hAnsi="Calibri" w:cs="Times New Roman"/>
                <w:b/>
              </w:rPr>
            </w:pPr>
          </w:p>
        </w:tc>
        <w:tc>
          <w:tcPr>
            <w:tcW w:w="1338" w:type="dxa"/>
            <w:shd w:val="clear" w:color="auto" w:fill="D9D9D9" w:themeFill="background1" w:themeFillShade="D9"/>
            <w:noWrap/>
          </w:tcPr>
          <w:p w14:paraId="1868C705" w14:textId="77777777" w:rsidR="00372888" w:rsidRPr="00EE0D19" w:rsidRDefault="00372888" w:rsidP="0018712A">
            <w:pPr>
              <w:rPr>
                <w:rFonts w:ascii="Calibri" w:eastAsia="Times New Roman" w:hAnsi="Calibri" w:cs="Times New Roman"/>
                <w:b/>
              </w:rPr>
            </w:pPr>
            <w:r w:rsidRPr="00EE0D19">
              <w:rPr>
                <w:rFonts w:ascii="Calibri" w:eastAsia="Times New Roman" w:hAnsi="Calibri" w:cs="Times New Roman"/>
                <w:b/>
              </w:rPr>
              <w:t>2010</w:t>
            </w:r>
          </w:p>
        </w:tc>
        <w:tc>
          <w:tcPr>
            <w:tcW w:w="1338" w:type="dxa"/>
            <w:shd w:val="clear" w:color="auto" w:fill="D9D9D9" w:themeFill="background1" w:themeFillShade="D9"/>
            <w:noWrap/>
          </w:tcPr>
          <w:p w14:paraId="06A7CBDC" w14:textId="77777777" w:rsidR="00372888" w:rsidRPr="00EE0D19" w:rsidRDefault="00372888" w:rsidP="0018712A">
            <w:pPr>
              <w:rPr>
                <w:rFonts w:ascii="Calibri" w:eastAsia="Times New Roman" w:hAnsi="Calibri" w:cs="Times New Roman"/>
                <w:b/>
              </w:rPr>
            </w:pPr>
            <w:r w:rsidRPr="00EE0D19">
              <w:rPr>
                <w:rFonts w:ascii="Calibri" w:eastAsia="Times New Roman" w:hAnsi="Calibri" w:cs="Times New Roman"/>
                <w:b/>
              </w:rPr>
              <w:t>2011</w:t>
            </w:r>
          </w:p>
        </w:tc>
        <w:tc>
          <w:tcPr>
            <w:tcW w:w="1338" w:type="dxa"/>
            <w:shd w:val="clear" w:color="auto" w:fill="D9D9D9" w:themeFill="background1" w:themeFillShade="D9"/>
            <w:noWrap/>
          </w:tcPr>
          <w:p w14:paraId="6E445D82" w14:textId="77777777" w:rsidR="00372888" w:rsidRPr="00EE0D19" w:rsidRDefault="00372888" w:rsidP="0018712A">
            <w:pPr>
              <w:rPr>
                <w:rFonts w:ascii="Calibri" w:eastAsia="Times New Roman" w:hAnsi="Calibri" w:cs="Times New Roman"/>
                <w:b/>
              </w:rPr>
            </w:pPr>
            <w:r w:rsidRPr="00EE0D19">
              <w:rPr>
                <w:rFonts w:ascii="Calibri" w:eastAsia="Times New Roman" w:hAnsi="Calibri" w:cs="Times New Roman"/>
                <w:b/>
              </w:rPr>
              <w:t>2012</w:t>
            </w:r>
          </w:p>
        </w:tc>
        <w:tc>
          <w:tcPr>
            <w:tcW w:w="1338" w:type="dxa"/>
            <w:shd w:val="clear" w:color="auto" w:fill="D9D9D9" w:themeFill="background1" w:themeFillShade="D9"/>
            <w:noWrap/>
          </w:tcPr>
          <w:p w14:paraId="4FC432F8" w14:textId="77777777" w:rsidR="00372888" w:rsidRPr="00EE0D19" w:rsidRDefault="00372888" w:rsidP="0018712A">
            <w:pPr>
              <w:rPr>
                <w:rFonts w:ascii="Calibri" w:eastAsia="Times New Roman" w:hAnsi="Calibri" w:cs="Times New Roman"/>
                <w:b/>
              </w:rPr>
            </w:pPr>
            <w:r w:rsidRPr="00EE0D19">
              <w:rPr>
                <w:rFonts w:ascii="Calibri" w:eastAsia="Times New Roman" w:hAnsi="Calibri" w:cs="Times New Roman"/>
                <w:b/>
              </w:rPr>
              <w:t>2013</w:t>
            </w:r>
          </w:p>
        </w:tc>
        <w:tc>
          <w:tcPr>
            <w:tcW w:w="1339" w:type="dxa"/>
            <w:shd w:val="clear" w:color="auto" w:fill="D9D9D9" w:themeFill="background1" w:themeFillShade="D9"/>
            <w:noWrap/>
          </w:tcPr>
          <w:p w14:paraId="34E43FC4" w14:textId="77777777" w:rsidR="00372888" w:rsidRPr="00EE0D19" w:rsidRDefault="00372888" w:rsidP="0018712A">
            <w:pPr>
              <w:rPr>
                <w:rFonts w:ascii="Calibri" w:eastAsia="Times New Roman" w:hAnsi="Calibri" w:cs="Times New Roman"/>
                <w:b/>
              </w:rPr>
            </w:pPr>
            <w:r w:rsidRPr="00EE0D19">
              <w:rPr>
                <w:rFonts w:ascii="Calibri" w:eastAsia="Times New Roman" w:hAnsi="Calibri" w:cs="Times New Roman"/>
                <w:b/>
              </w:rPr>
              <w:t>2014</w:t>
            </w:r>
          </w:p>
        </w:tc>
      </w:tr>
      <w:tr w:rsidR="00372888" w:rsidRPr="005A1475" w14:paraId="564BB8C7" w14:textId="77777777" w:rsidTr="0018712A">
        <w:trPr>
          <w:trHeight w:val="297"/>
        </w:trPr>
        <w:tc>
          <w:tcPr>
            <w:tcW w:w="2127" w:type="dxa"/>
            <w:noWrap/>
            <w:hideMark/>
          </w:tcPr>
          <w:p w14:paraId="7DD92EB4" w14:textId="77777777" w:rsidR="00372888" w:rsidRDefault="00372888" w:rsidP="0018712A">
            <w:pPr>
              <w:rPr>
                <w:rFonts w:ascii="Calibri" w:eastAsia="Times New Roman" w:hAnsi="Calibri" w:cs="Times New Roman"/>
              </w:rPr>
            </w:pPr>
            <w:r>
              <w:rPr>
                <w:rFonts w:ascii="Calibri" w:eastAsia="Times New Roman" w:hAnsi="Calibri" w:cs="Times New Roman"/>
              </w:rPr>
              <w:t>&lt;6 years male</w:t>
            </w:r>
          </w:p>
        </w:tc>
        <w:tc>
          <w:tcPr>
            <w:tcW w:w="1338" w:type="dxa"/>
            <w:noWrap/>
          </w:tcPr>
          <w:p w14:paraId="0FE1B85D" w14:textId="77777777" w:rsidR="00372888" w:rsidRPr="005A1475" w:rsidRDefault="00372888" w:rsidP="0018712A">
            <w:pPr>
              <w:jc w:val="right"/>
              <w:rPr>
                <w:rFonts w:ascii="Calibri" w:eastAsia="Times New Roman" w:hAnsi="Calibri" w:cs="Times New Roman"/>
              </w:rPr>
            </w:pPr>
            <w:r w:rsidRPr="00D90EDE">
              <w:t>2%</w:t>
            </w:r>
          </w:p>
        </w:tc>
        <w:tc>
          <w:tcPr>
            <w:tcW w:w="1338" w:type="dxa"/>
            <w:noWrap/>
          </w:tcPr>
          <w:p w14:paraId="616A7CC2" w14:textId="77777777" w:rsidR="00372888" w:rsidRPr="005A1475" w:rsidRDefault="00372888" w:rsidP="0018712A">
            <w:pPr>
              <w:jc w:val="right"/>
              <w:rPr>
                <w:rFonts w:ascii="Calibri" w:eastAsia="Times New Roman" w:hAnsi="Calibri" w:cs="Times New Roman"/>
              </w:rPr>
            </w:pPr>
            <w:r w:rsidRPr="00D90EDE">
              <w:t>2%</w:t>
            </w:r>
          </w:p>
        </w:tc>
        <w:tc>
          <w:tcPr>
            <w:tcW w:w="1338" w:type="dxa"/>
            <w:noWrap/>
          </w:tcPr>
          <w:p w14:paraId="4D41086D" w14:textId="77777777" w:rsidR="00372888" w:rsidRPr="005A1475" w:rsidRDefault="00372888" w:rsidP="0018712A">
            <w:pPr>
              <w:jc w:val="right"/>
              <w:rPr>
                <w:rFonts w:ascii="Calibri" w:eastAsia="Times New Roman" w:hAnsi="Calibri" w:cs="Times New Roman"/>
              </w:rPr>
            </w:pPr>
            <w:r w:rsidRPr="00D90EDE">
              <w:t>2%</w:t>
            </w:r>
          </w:p>
        </w:tc>
        <w:tc>
          <w:tcPr>
            <w:tcW w:w="1338" w:type="dxa"/>
            <w:noWrap/>
          </w:tcPr>
          <w:p w14:paraId="52ED114B" w14:textId="77777777" w:rsidR="00372888" w:rsidRPr="005A1475" w:rsidRDefault="00372888" w:rsidP="0018712A">
            <w:pPr>
              <w:jc w:val="right"/>
              <w:rPr>
                <w:rFonts w:ascii="Calibri" w:eastAsia="Times New Roman" w:hAnsi="Calibri" w:cs="Times New Roman"/>
              </w:rPr>
            </w:pPr>
            <w:r w:rsidRPr="00D90EDE">
              <w:t>2%</w:t>
            </w:r>
          </w:p>
        </w:tc>
        <w:tc>
          <w:tcPr>
            <w:tcW w:w="1339" w:type="dxa"/>
            <w:noWrap/>
          </w:tcPr>
          <w:p w14:paraId="6BBD3FF6" w14:textId="77777777" w:rsidR="00372888" w:rsidRPr="005A1475" w:rsidRDefault="00372888" w:rsidP="0018712A">
            <w:pPr>
              <w:jc w:val="right"/>
              <w:rPr>
                <w:rFonts w:ascii="Calibri" w:eastAsia="Times New Roman" w:hAnsi="Calibri" w:cs="Times New Roman"/>
              </w:rPr>
            </w:pPr>
            <w:r w:rsidRPr="00D90EDE">
              <w:t>2%</w:t>
            </w:r>
          </w:p>
        </w:tc>
      </w:tr>
      <w:tr w:rsidR="00372888" w:rsidRPr="005A1475" w14:paraId="764D677A" w14:textId="77777777" w:rsidTr="0018712A">
        <w:trPr>
          <w:trHeight w:val="297"/>
        </w:trPr>
        <w:tc>
          <w:tcPr>
            <w:tcW w:w="2127" w:type="dxa"/>
            <w:noWrap/>
            <w:hideMark/>
          </w:tcPr>
          <w:p w14:paraId="31FC803D" w14:textId="77777777" w:rsidR="00372888" w:rsidRDefault="00372888" w:rsidP="0018712A">
            <w:pPr>
              <w:rPr>
                <w:rFonts w:ascii="Calibri" w:eastAsia="Times New Roman" w:hAnsi="Calibri" w:cs="Times New Roman"/>
              </w:rPr>
            </w:pPr>
            <w:r>
              <w:rPr>
                <w:rFonts w:ascii="Calibri" w:eastAsia="Times New Roman" w:hAnsi="Calibri" w:cs="Times New Roman"/>
              </w:rPr>
              <w:t>&lt;6 years female</w:t>
            </w:r>
          </w:p>
        </w:tc>
        <w:tc>
          <w:tcPr>
            <w:tcW w:w="1338" w:type="dxa"/>
            <w:noWrap/>
          </w:tcPr>
          <w:p w14:paraId="3ED064C0" w14:textId="77777777" w:rsidR="00372888" w:rsidRPr="005A1475" w:rsidRDefault="00372888" w:rsidP="0018712A">
            <w:pPr>
              <w:jc w:val="right"/>
              <w:rPr>
                <w:rFonts w:ascii="Calibri" w:eastAsia="Times New Roman" w:hAnsi="Calibri" w:cs="Times New Roman"/>
              </w:rPr>
            </w:pPr>
            <w:r w:rsidRPr="00D90EDE">
              <w:t>0%</w:t>
            </w:r>
          </w:p>
        </w:tc>
        <w:tc>
          <w:tcPr>
            <w:tcW w:w="1338" w:type="dxa"/>
            <w:noWrap/>
          </w:tcPr>
          <w:p w14:paraId="5BB5E341" w14:textId="77777777" w:rsidR="00372888" w:rsidRPr="005A1475" w:rsidRDefault="00372888" w:rsidP="0018712A">
            <w:pPr>
              <w:jc w:val="right"/>
              <w:rPr>
                <w:rFonts w:ascii="Calibri" w:eastAsia="Times New Roman" w:hAnsi="Calibri" w:cs="Times New Roman"/>
              </w:rPr>
            </w:pPr>
            <w:r w:rsidRPr="00D90EDE">
              <w:t>0%</w:t>
            </w:r>
          </w:p>
        </w:tc>
        <w:tc>
          <w:tcPr>
            <w:tcW w:w="1338" w:type="dxa"/>
            <w:noWrap/>
          </w:tcPr>
          <w:p w14:paraId="6BDC15B8" w14:textId="77777777" w:rsidR="00372888" w:rsidRPr="005A1475" w:rsidRDefault="00372888" w:rsidP="0018712A">
            <w:pPr>
              <w:jc w:val="right"/>
              <w:rPr>
                <w:rFonts w:ascii="Calibri" w:eastAsia="Times New Roman" w:hAnsi="Calibri" w:cs="Times New Roman"/>
              </w:rPr>
            </w:pPr>
            <w:r w:rsidRPr="00D90EDE">
              <w:t>0%</w:t>
            </w:r>
          </w:p>
        </w:tc>
        <w:tc>
          <w:tcPr>
            <w:tcW w:w="1338" w:type="dxa"/>
            <w:noWrap/>
          </w:tcPr>
          <w:p w14:paraId="753A1D44" w14:textId="77777777" w:rsidR="00372888" w:rsidRPr="005A1475" w:rsidRDefault="00372888" w:rsidP="0018712A">
            <w:pPr>
              <w:jc w:val="right"/>
              <w:rPr>
                <w:rFonts w:ascii="Calibri" w:eastAsia="Times New Roman" w:hAnsi="Calibri" w:cs="Times New Roman"/>
              </w:rPr>
            </w:pPr>
            <w:r w:rsidRPr="00D90EDE">
              <w:t>0%</w:t>
            </w:r>
          </w:p>
        </w:tc>
        <w:tc>
          <w:tcPr>
            <w:tcW w:w="1339" w:type="dxa"/>
            <w:noWrap/>
          </w:tcPr>
          <w:p w14:paraId="5181A96C" w14:textId="77777777" w:rsidR="00372888" w:rsidRPr="005A1475" w:rsidRDefault="00372888" w:rsidP="0018712A">
            <w:pPr>
              <w:jc w:val="right"/>
              <w:rPr>
                <w:rFonts w:ascii="Calibri" w:eastAsia="Times New Roman" w:hAnsi="Calibri" w:cs="Times New Roman"/>
              </w:rPr>
            </w:pPr>
            <w:r w:rsidRPr="00D90EDE">
              <w:t>0%</w:t>
            </w:r>
          </w:p>
        </w:tc>
      </w:tr>
      <w:tr w:rsidR="00372888" w:rsidRPr="005A1475" w14:paraId="3A5EA0BC" w14:textId="77777777" w:rsidTr="0018712A">
        <w:trPr>
          <w:trHeight w:val="297"/>
        </w:trPr>
        <w:tc>
          <w:tcPr>
            <w:tcW w:w="2127" w:type="dxa"/>
            <w:noWrap/>
            <w:hideMark/>
          </w:tcPr>
          <w:p w14:paraId="1287ABF5" w14:textId="77777777" w:rsidR="00372888" w:rsidRDefault="00372888" w:rsidP="0018712A">
            <w:pPr>
              <w:rPr>
                <w:rFonts w:ascii="Calibri" w:eastAsia="Times New Roman" w:hAnsi="Calibri" w:cs="Times New Roman"/>
              </w:rPr>
            </w:pPr>
            <w:r>
              <w:rPr>
                <w:rFonts w:ascii="Calibri" w:eastAsia="Times New Roman" w:hAnsi="Calibri" w:cs="Times New Roman"/>
              </w:rPr>
              <w:t>6-12 years male</w:t>
            </w:r>
          </w:p>
        </w:tc>
        <w:tc>
          <w:tcPr>
            <w:tcW w:w="1338" w:type="dxa"/>
            <w:noWrap/>
          </w:tcPr>
          <w:p w14:paraId="79DC9A69" w14:textId="77777777" w:rsidR="00372888" w:rsidRPr="005A1475" w:rsidRDefault="00372888" w:rsidP="0018712A">
            <w:pPr>
              <w:jc w:val="right"/>
              <w:rPr>
                <w:rFonts w:ascii="Calibri" w:eastAsia="Times New Roman" w:hAnsi="Calibri" w:cs="Times New Roman"/>
              </w:rPr>
            </w:pPr>
            <w:r w:rsidRPr="00D90EDE">
              <w:t>34%</w:t>
            </w:r>
          </w:p>
        </w:tc>
        <w:tc>
          <w:tcPr>
            <w:tcW w:w="1338" w:type="dxa"/>
            <w:noWrap/>
          </w:tcPr>
          <w:p w14:paraId="1F1CA821" w14:textId="77777777" w:rsidR="00372888" w:rsidRPr="005A1475" w:rsidRDefault="00372888" w:rsidP="0018712A">
            <w:pPr>
              <w:jc w:val="right"/>
              <w:rPr>
                <w:rFonts w:ascii="Calibri" w:eastAsia="Times New Roman" w:hAnsi="Calibri" w:cs="Times New Roman"/>
              </w:rPr>
            </w:pPr>
            <w:r w:rsidRPr="00D90EDE">
              <w:t>34%</w:t>
            </w:r>
          </w:p>
        </w:tc>
        <w:tc>
          <w:tcPr>
            <w:tcW w:w="1338" w:type="dxa"/>
            <w:noWrap/>
          </w:tcPr>
          <w:p w14:paraId="296AC8BD" w14:textId="77777777" w:rsidR="00372888" w:rsidRPr="005A1475" w:rsidRDefault="00372888" w:rsidP="0018712A">
            <w:pPr>
              <w:jc w:val="right"/>
              <w:rPr>
                <w:rFonts w:ascii="Calibri" w:eastAsia="Times New Roman" w:hAnsi="Calibri" w:cs="Times New Roman"/>
              </w:rPr>
            </w:pPr>
            <w:r w:rsidRPr="00D90EDE">
              <w:t>34%</w:t>
            </w:r>
          </w:p>
        </w:tc>
        <w:tc>
          <w:tcPr>
            <w:tcW w:w="1338" w:type="dxa"/>
            <w:noWrap/>
          </w:tcPr>
          <w:p w14:paraId="00A3D0D5" w14:textId="77777777" w:rsidR="00372888" w:rsidRPr="005A1475" w:rsidRDefault="00372888" w:rsidP="0018712A">
            <w:pPr>
              <w:jc w:val="right"/>
              <w:rPr>
                <w:rFonts w:ascii="Calibri" w:eastAsia="Times New Roman" w:hAnsi="Calibri" w:cs="Times New Roman"/>
              </w:rPr>
            </w:pPr>
            <w:r w:rsidRPr="00D90EDE">
              <w:t>34%</w:t>
            </w:r>
          </w:p>
        </w:tc>
        <w:tc>
          <w:tcPr>
            <w:tcW w:w="1339" w:type="dxa"/>
            <w:noWrap/>
          </w:tcPr>
          <w:p w14:paraId="278F2A83" w14:textId="77777777" w:rsidR="00372888" w:rsidRPr="005A1475" w:rsidRDefault="00372888" w:rsidP="0018712A">
            <w:pPr>
              <w:jc w:val="right"/>
              <w:rPr>
                <w:rFonts w:ascii="Calibri" w:eastAsia="Times New Roman" w:hAnsi="Calibri" w:cs="Times New Roman"/>
              </w:rPr>
            </w:pPr>
            <w:r w:rsidRPr="00D90EDE">
              <w:t>34%</w:t>
            </w:r>
          </w:p>
        </w:tc>
      </w:tr>
      <w:tr w:rsidR="00372888" w:rsidRPr="005A1475" w14:paraId="59DB4D0B" w14:textId="77777777" w:rsidTr="0018712A">
        <w:trPr>
          <w:trHeight w:val="297"/>
        </w:trPr>
        <w:tc>
          <w:tcPr>
            <w:tcW w:w="2127" w:type="dxa"/>
            <w:noWrap/>
          </w:tcPr>
          <w:p w14:paraId="5B4913AA" w14:textId="77777777" w:rsidR="00372888" w:rsidRDefault="00372888" w:rsidP="0018712A">
            <w:pPr>
              <w:rPr>
                <w:rFonts w:ascii="Calibri" w:eastAsia="Times New Roman" w:hAnsi="Calibri" w:cs="Times New Roman"/>
              </w:rPr>
            </w:pPr>
            <w:r w:rsidRPr="00C16CA3">
              <w:rPr>
                <w:rFonts w:ascii="Calibri" w:eastAsia="Times New Roman" w:hAnsi="Calibri" w:cs="Times New Roman"/>
              </w:rPr>
              <w:t xml:space="preserve">6-12 years </w:t>
            </w:r>
            <w:r>
              <w:rPr>
                <w:rFonts w:ascii="Calibri" w:eastAsia="Times New Roman" w:hAnsi="Calibri" w:cs="Times New Roman"/>
              </w:rPr>
              <w:t>fe</w:t>
            </w:r>
            <w:r w:rsidRPr="00C16CA3">
              <w:rPr>
                <w:rFonts w:ascii="Calibri" w:eastAsia="Times New Roman" w:hAnsi="Calibri" w:cs="Times New Roman"/>
              </w:rPr>
              <w:t>male</w:t>
            </w:r>
          </w:p>
        </w:tc>
        <w:tc>
          <w:tcPr>
            <w:tcW w:w="1338" w:type="dxa"/>
            <w:noWrap/>
          </w:tcPr>
          <w:p w14:paraId="1D844E4E" w14:textId="77777777" w:rsidR="00372888" w:rsidRPr="005A1475" w:rsidRDefault="00372888" w:rsidP="0018712A">
            <w:pPr>
              <w:jc w:val="right"/>
              <w:rPr>
                <w:rFonts w:ascii="Calibri" w:eastAsia="Times New Roman" w:hAnsi="Calibri" w:cs="Times New Roman"/>
              </w:rPr>
            </w:pPr>
            <w:r w:rsidRPr="00D90EDE">
              <w:t>8%</w:t>
            </w:r>
          </w:p>
        </w:tc>
        <w:tc>
          <w:tcPr>
            <w:tcW w:w="1338" w:type="dxa"/>
            <w:noWrap/>
          </w:tcPr>
          <w:p w14:paraId="77BCCF3D" w14:textId="77777777" w:rsidR="00372888" w:rsidRPr="005A1475" w:rsidRDefault="00372888" w:rsidP="0018712A">
            <w:pPr>
              <w:jc w:val="right"/>
              <w:rPr>
                <w:rFonts w:ascii="Calibri" w:eastAsia="Times New Roman" w:hAnsi="Calibri" w:cs="Times New Roman"/>
              </w:rPr>
            </w:pPr>
            <w:r w:rsidRPr="00D90EDE">
              <w:t>8%</w:t>
            </w:r>
          </w:p>
        </w:tc>
        <w:tc>
          <w:tcPr>
            <w:tcW w:w="1338" w:type="dxa"/>
            <w:noWrap/>
          </w:tcPr>
          <w:p w14:paraId="21674D40" w14:textId="77777777" w:rsidR="00372888" w:rsidRPr="005A1475" w:rsidRDefault="00372888" w:rsidP="0018712A">
            <w:pPr>
              <w:jc w:val="right"/>
              <w:rPr>
                <w:rFonts w:ascii="Calibri" w:eastAsia="Times New Roman" w:hAnsi="Calibri" w:cs="Times New Roman"/>
              </w:rPr>
            </w:pPr>
            <w:r w:rsidRPr="00D90EDE">
              <w:t>8%</w:t>
            </w:r>
          </w:p>
        </w:tc>
        <w:tc>
          <w:tcPr>
            <w:tcW w:w="1338" w:type="dxa"/>
            <w:noWrap/>
          </w:tcPr>
          <w:p w14:paraId="130B4DEB" w14:textId="77777777" w:rsidR="00372888" w:rsidRPr="005A1475" w:rsidRDefault="00372888" w:rsidP="0018712A">
            <w:pPr>
              <w:jc w:val="right"/>
              <w:rPr>
                <w:rFonts w:ascii="Calibri" w:eastAsia="Times New Roman" w:hAnsi="Calibri" w:cs="Times New Roman"/>
              </w:rPr>
            </w:pPr>
            <w:r w:rsidRPr="00D90EDE">
              <w:t>9%</w:t>
            </w:r>
          </w:p>
        </w:tc>
        <w:tc>
          <w:tcPr>
            <w:tcW w:w="1339" w:type="dxa"/>
            <w:noWrap/>
          </w:tcPr>
          <w:p w14:paraId="33B8F6A8" w14:textId="77777777" w:rsidR="00372888" w:rsidRPr="005A1475" w:rsidRDefault="00372888" w:rsidP="0018712A">
            <w:pPr>
              <w:jc w:val="right"/>
              <w:rPr>
                <w:rFonts w:ascii="Calibri" w:eastAsia="Times New Roman" w:hAnsi="Calibri" w:cs="Times New Roman"/>
              </w:rPr>
            </w:pPr>
            <w:r w:rsidRPr="00D90EDE">
              <w:t>9%</w:t>
            </w:r>
          </w:p>
        </w:tc>
      </w:tr>
      <w:tr w:rsidR="00372888" w:rsidRPr="005A1475" w14:paraId="4460C0FD" w14:textId="77777777" w:rsidTr="0018712A">
        <w:trPr>
          <w:trHeight w:val="297"/>
        </w:trPr>
        <w:tc>
          <w:tcPr>
            <w:tcW w:w="2127" w:type="dxa"/>
            <w:noWrap/>
          </w:tcPr>
          <w:p w14:paraId="4D2779CF" w14:textId="77777777" w:rsidR="00372888" w:rsidRDefault="00372888" w:rsidP="0018712A">
            <w:pPr>
              <w:rPr>
                <w:rFonts w:ascii="Calibri" w:eastAsia="Times New Roman" w:hAnsi="Calibri" w:cs="Times New Roman"/>
              </w:rPr>
            </w:pPr>
            <w:r>
              <w:rPr>
                <w:rFonts w:ascii="Calibri" w:eastAsia="Times New Roman" w:hAnsi="Calibri" w:cs="Times New Roman"/>
              </w:rPr>
              <w:t>13-17 years male</w:t>
            </w:r>
          </w:p>
        </w:tc>
        <w:tc>
          <w:tcPr>
            <w:tcW w:w="1338" w:type="dxa"/>
            <w:noWrap/>
          </w:tcPr>
          <w:p w14:paraId="7E78D9BB" w14:textId="77777777" w:rsidR="00372888" w:rsidRPr="005A1475" w:rsidRDefault="00372888" w:rsidP="0018712A">
            <w:pPr>
              <w:jc w:val="right"/>
              <w:rPr>
                <w:rFonts w:ascii="Calibri" w:eastAsia="Times New Roman" w:hAnsi="Calibri" w:cs="Times New Roman"/>
              </w:rPr>
            </w:pPr>
            <w:r w:rsidRPr="00D90EDE">
              <w:t>19%</w:t>
            </w:r>
          </w:p>
        </w:tc>
        <w:tc>
          <w:tcPr>
            <w:tcW w:w="1338" w:type="dxa"/>
            <w:noWrap/>
          </w:tcPr>
          <w:p w14:paraId="7D45CB79" w14:textId="77777777" w:rsidR="00372888" w:rsidRPr="005A1475" w:rsidRDefault="00372888" w:rsidP="0018712A">
            <w:pPr>
              <w:jc w:val="right"/>
              <w:rPr>
                <w:rFonts w:ascii="Calibri" w:eastAsia="Times New Roman" w:hAnsi="Calibri" w:cs="Times New Roman"/>
              </w:rPr>
            </w:pPr>
            <w:r w:rsidRPr="00D90EDE">
              <w:t>19%</w:t>
            </w:r>
          </w:p>
        </w:tc>
        <w:tc>
          <w:tcPr>
            <w:tcW w:w="1338" w:type="dxa"/>
            <w:noWrap/>
          </w:tcPr>
          <w:p w14:paraId="799BDA6A" w14:textId="77777777" w:rsidR="00372888" w:rsidRPr="005A1475" w:rsidRDefault="00372888" w:rsidP="0018712A">
            <w:pPr>
              <w:jc w:val="right"/>
              <w:rPr>
                <w:rFonts w:ascii="Calibri" w:eastAsia="Times New Roman" w:hAnsi="Calibri" w:cs="Times New Roman"/>
              </w:rPr>
            </w:pPr>
            <w:r w:rsidRPr="00D90EDE">
              <w:t>18%</w:t>
            </w:r>
          </w:p>
        </w:tc>
        <w:tc>
          <w:tcPr>
            <w:tcW w:w="1338" w:type="dxa"/>
            <w:noWrap/>
          </w:tcPr>
          <w:p w14:paraId="6B16FF47" w14:textId="77777777" w:rsidR="00372888" w:rsidRPr="005A1475" w:rsidRDefault="00372888" w:rsidP="0018712A">
            <w:pPr>
              <w:jc w:val="right"/>
              <w:rPr>
                <w:rFonts w:ascii="Calibri" w:eastAsia="Times New Roman" w:hAnsi="Calibri" w:cs="Times New Roman"/>
              </w:rPr>
            </w:pPr>
            <w:r w:rsidRPr="00D90EDE">
              <w:t>17%</w:t>
            </w:r>
          </w:p>
        </w:tc>
        <w:tc>
          <w:tcPr>
            <w:tcW w:w="1339" w:type="dxa"/>
            <w:noWrap/>
          </w:tcPr>
          <w:p w14:paraId="6C4C40D9" w14:textId="77777777" w:rsidR="00372888" w:rsidRPr="005A1475" w:rsidRDefault="00372888" w:rsidP="0018712A">
            <w:pPr>
              <w:jc w:val="right"/>
              <w:rPr>
                <w:rFonts w:ascii="Calibri" w:eastAsia="Times New Roman" w:hAnsi="Calibri" w:cs="Times New Roman"/>
              </w:rPr>
            </w:pPr>
            <w:r w:rsidRPr="00D90EDE">
              <w:t>17%</w:t>
            </w:r>
          </w:p>
        </w:tc>
      </w:tr>
      <w:tr w:rsidR="00372888" w:rsidRPr="005A1475" w14:paraId="6DF74452" w14:textId="77777777" w:rsidTr="0018712A">
        <w:trPr>
          <w:trHeight w:val="297"/>
        </w:trPr>
        <w:tc>
          <w:tcPr>
            <w:tcW w:w="2127" w:type="dxa"/>
            <w:noWrap/>
            <w:hideMark/>
          </w:tcPr>
          <w:p w14:paraId="4ED88300" w14:textId="77777777" w:rsidR="00372888" w:rsidRDefault="00372888" w:rsidP="0018712A">
            <w:pPr>
              <w:rPr>
                <w:rFonts w:ascii="Calibri" w:eastAsia="Times New Roman" w:hAnsi="Calibri" w:cs="Times New Roman"/>
              </w:rPr>
            </w:pPr>
            <w:r>
              <w:rPr>
                <w:rFonts w:ascii="Calibri" w:eastAsia="Times New Roman" w:hAnsi="Calibri" w:cs="Times New Roman"/>
              </w:rPr>
              <w:t>13-17 years female</w:t>
            </w:r>
          </w:p>
        </w:tc>
        <w:tc>
          <w:tcPr>
            <w:tcW w:w="1338" w:type="dxa"/>
            <w:noWrap/>
          </w:tcPr>
          <w:p w14:paraId="63266FB7" w14:textId="77777777" w:rsidR="00372888" w:rsidRPr="005A1475" w:rsidRDefault="00372888" w:rsidP="0018712A">
            <w:pPr>
              <w:jc w:val="right"/>
              <w:rPr>
                <w:rFonts w:ascii="Calibri" w:eastAsia="Times New Roman" w:hAnsi="Calibri" w:cs="Times New Roman"/>
              </w:rPr>
            </w:pPr>
            <w:r w:rsidRPr="00D90EDE">
              <w:t>5%</w:t>
            </w:r>
          </w:p>
        </w:tc>
        <w:tc>
          <w:tcPr>
            <w:tcW w:w="1338" w:type="dxa"/>
            <w:noWrap/>
          </w:tcPr>
          <w:p w14:paraId="54989BB7" w14:textId="77777777" w:rsidR="00372888" w:rsidRPr="005A1475" w:rsidRDefault="00372888" w:rsidP="0018712A">
            <w:pPr>
              <w:jc w:val="right"/>
              <w:rPr>
                <w:rFonts w:ascii="Calibri" w:eastAsia="Times New Roman" w:hAnsi="Calibri" w:cs="Times New Roman"/>
              </w:rPr>
            </w:pPr>
            <w:r w:rsidRPr="00D90EDE">
              <w:t>5%</w:t>
            </w:r>
          </w:p>
        </w:tc>
        <w:tc>
          <w:tcPr>
            <w:tcW w:w="1338" w:type="dxa"/>
            <w:noWrap/>
          </w:tcPr>
          <w:p w14:paraId="7D9AAC52" w14:textId="77777777" w:rsidR="00372888" w:rsidRPr="005A1475" w:rsidRDefault="00372888" w:rsidP="0018712A">
            <w:pPr>
              <w:jc w:val="right"/>
              <w:rPr>
                <w:rFonts w:ascii="Calibri" w:eastAsia="Times New Roman" w:hAnsi="Calibri" w:cs="Times New Roman"/>
              </w:rPr>
            </w:pPr>
            <w:r w:rsidRPr="00D90EDE">
              <w:t>5%</w:t>
            </w:r>
          </w:p>
        </w:tc>
        <w:tc>
          <w:tcPr>
            <w:tcW w:w="1338" w:type="dxa"/>
            <w:noWrap/>
          </w:tcPr>
          <w:p w14:paraId="31D1B4C2" w14:textId="77777777" w:rsidR="00372888" w:rsidRPr="005A1475" w:rsidRDefault="00372888" w:rsidP="0018712A">
            <w:pPr>
              <w:jc w:val="right"/>
              <w:rPr>
                <w:rFonts w:ascii="Calibri" w:eastAsia="Times New Roman" w:hAnsi="Calibri" w:cs="Times New Roman"/>
              </w:rPr>
            </w:pPr>
            <w:r w:rsidRPr="00D90EDE">
              <w:t>5%</w:t>
            </w:r>
          </w:p>
        </w:tc>
        <w:tc>
          <w:tcPr>
            <w:tcW w:w="1339" w:type="dxa"/>
            <w:noWrap/>
          </w:tcPr>
          <w:p w14:paraId="551050C4" w14:textId="77777777" w:rsidR="00372888" w:rsidRPr="005A1475" w:rsidRDefault="00372888" w:rsidP="0018712A">
            <w:pPr>
              <w:jc w:val="right"/>
              <w:rPr>
                <w:rFonts w:ascii="Calibri" w:eastAsia="Times New Roman" w:hAnsi="Calibri" w:cs="Times New Roman"/>
              </w:rPr>
            </w:pPr>
            <w:r w:rsidRPr="00D90EDE">
              <w:t>5%</w:t>
            </w:r>
          </w:p>
        </w:tc>
      </w:tr>
      <w:tr w:rsidR="00372888" w:rsidRPr="005A1475" w14:paraId="46CE450F" w14:textId="77777777" w:rsidTr="0018712A">
        <w:trPr>
          <w:trHeight w:val="297"/>
        </w:trPr>
        <w:tc>
          <w:tcPr>
            <w:tcW w:w="2127" w:type="dxa"/>
            <w:noWrap/>
            <w:hideMark/>
          </w:tcPr>
          <w:p w14:paraId="4204E4D1" w14:textId="77777777" w:rsidR="00372888" w:rsidRDefault="00372888" w:rsidP="0018712A">
            <w:pPr>
              <w:rPr>
                <w:rFonts w:ascii="Calibri" w:eastAsia="Times New Roman" w:hAnsi="Calibri" w:cs="Times New Roman"/>
              </w:rPr>
            </w:pPr>
            <w:r>
              <w:rPr>
                <w:rFonts w:ascii="Calibri" w:eastAsia="Times New Roman" w:hAnsi="Calibri" w:cs="Times New Roman"/>
              </w:rPr>
              <w:t>18+ years male</w:t>
            </w:r>
          </w:p>
        </w:tc>
        <w:tc>
          <w:tcPr>
            <w:tcW w:w="1338" w:type="dxa"/>
            <w:noWrap/>
          </w:tcPr>
          <w:p w14:paraId="50CAF679" w14:textId="77777777" w:rsidR="00372888" w:rsidRPr="005A1475" w:rsidRDefault="00372888" w:rsidP="0018712A">
            <w:pPr>
              <w:jc w:val="right"/>
              <w:rPr>
                <w:rFonts w:ascii="Calibri" w:eastAsia="Times New Roman" w:hAnsi="Calibri" w:cs="Times New Roman"/>
              </w:rPr>
            </w:pPr>
            <w:r w:rsidRPr="00D90EDE">
              <w:t>18%</w:t>
            </w:r>
          </w:p>
        </w:tc>
        <w:tc>
          <w:tcPr>
            <w:tcW w:w="1338" w:type="dxa"/>
            <w:noWrap/>
          </w:tcPr>
          <w:p w14:paraId="155E63EA" w14:textId="77777777" w:rsidR="00372888" w:rsidRPr="005A1475" w:rsidRDefault="00372888" w:rsidP="0018712A">
            <w:pPr>
              <w:jc w:val="right"/>
              <w:rPr>
                <w:rFonts w:ascii="Calibri" w:eastAsia="Times New Roman" w:hAnsi="Calibri" w:cs="Times New Roman"/>
              </w:rPr>
            </w:pPr>
            <w:r w:rsidRPr="00D90EDE">
              <w:t>19%</w:t>
            </w:r>
          </w:p>
        </w:tc>
        <w:tc>
          <w:tcPr>
            <w:tcW w:w="1338" w:type="dxa"/>
            <w:noWrap/>
          </w:tcPr>
          <w:p w14:paraId="612BC752" w14:textId="77777777" w:rsidR="00372888" w:rsidRPr="005A1475" w:rsidRDefault="00372888" w:rsidP="0018712A">
            <w:pPr>
              <w:jc w:val="right"/>
              <w:rPr>
                <w:rFonts w:ascii="Calibri" w:eastAsia="Times New Roman" w:hAnsi="Calibri" w:cs="Times New Roman"/>
              </w:rPr>
            </w:pPr>
            <w:r w:rsidRPr="00D90EDE">
              <w:t>20%</w:t>
            </w:r>
          </w:p>
        </w:tc>
        <w:tc>
          <w:tcPr>
            <w:tcW w:w="1338" w:type="dxa"/>
            <w:noWrap/>
          </w:tcPr>
          <w:p w14:paraId="678A8148" w14:textId="77777777" w:rsidR="00372888" w:rsidRPr="005A1475" w:rsidRDefault="00372888" w:rsidP="0018712A">
            <w:pPr>
              <w:jc w:val="right"/>
              <w:rPr>
                <w:rFonts w:ascii="Calibri" w:eastAsia="Times New Roman" w:hAnsi="Calibri" w:cs="Times New Roman"/>
              </w:rPr>
            </w:pPr>
            <w:r w:rsidRPr="00D90EDE">
              <w:t>20%</w:t>
            </w:r>
          </w:p>
        </w:tc>
        <w:tc>
          <w:tcPr>
            <w:tcW w:w="1339" w:type="dxa"/>
            <w:noWrap/>
          </w:tcPr>
          <w:p w14:paraId="478EA7F5" w14:textId="77777777" w:rsidR="00372888" w:rsidRPr="005A1475" w:rsidRDefault="00372888" w:rsidP="0018712A">
            <w:pPr>
              <w:jc w:val="right"/>
              <w:rPr>
                <w:rFonts w:ascii="Calibri" w:eastAsia="Times New Roman" w:hAnsi="Calibri" w:cs="Times New Roman"/>
              </w:rPr>
            </w:pPr>
            <w:r w:rsidRPr="00D90EDE">
              <w:t>20%</w:t>
            </w:r>
          </w:p>
        </w:tc>
      </w:tr>
      <w:tr w:rsidR="00372888" w:rsidRPr="005A1475" w14:paraId="61DAD3AA" w14:textId="77777777" w:rsidTr="0018712A">
        <w:trPr>
          <w:trHeight w:val="297"/>
        </w:trPr>
        <w:tc>
          <w:tcPr>
            <w:tcW w:w="2127" w:type="dxa"/>
            <w:noWrap/>
            <w:hideMark/>
          </w:tcPr>
          <w:p w14:paraId="723C2F3B" w14:textId="77777777" w:rsidR="00372888" w:rsidRDefault="00372888" w:rsidP="0018712A">
            <w:pPr>
              <w:rPr>
                <w:rFonts w:ascii="Calibri" w:eastAsia="Times New Roman" w:hAnsi="Calibri" w:cs="Times New Roman"/>
              </w:rPr>
            </w:pPr>
            <w:r>
              <w:rPr>
                <w:rFonts w:ascii="Calibri" w:eastAsia="Times New Roman" w:hAnsi="Calibri" w:cs="Times New Roman"/>
              </w:rPr>
              <w:t>18+ years female</w:t>
            </w:r>
          </w:p>
        </w:tc>
        <w:tc>
          <w:tcPr>
            <w:tcW w:w="1338" w:type="dxa"/>
            <w:noWrap/>
          </w:tcPr>
          <w:p w14:paraId="09ECE206" w14:textId="77777777" w:rsidR="00372888" w:rsidRPr="005A1475" w:rsidRDefault="00372888" w:rsidP="0018712A">
            <w:pPr>
              <w:jc w:val="right"/>
              <w:rPr>
                <w:rFonts w:ascii="Calibri" w:eastAsia="Times New Roman" w:hAnsi="Calibri" w:cs="Times New Roman"/>
              </w:rPr>
            </w:pPr>
            <w:r w:rsidRPr="00D90EDE">
              <w:t>11%</w:t>
            </w:r>
          </w:p>
        </w:tc>
        <w:tc>
          <w:tcPr>
            <w:tcW w:w="1338" w:type="dxa"/>
            <w:noWrap/>
          </w:tcPr>
          <w:p w14:paraId="5FA7AFC2" w14:textId="77777777" w:rsidR="00372888" w:rsidRPr="005A1475" w:rsidRDefault="00372888" w:rsidP="0018712A">
            <w:pPr>
              <w:jc w:val="right"/>
              <w:rPr>
                <w:rFonts w:ascii="Calibri" w:eastAsia="Times New Roman" w:hAnsi="Calibri" w:cs="Times New Roman"/>
              </w:rPr>
            </w:pPr>
            <w:r w:rsidRPr="00D90EDE">
              <w:t>11%</w:t>
            </w:r>
          </w:p>
        </w:tc>
        <w:tc>
          <w:tcPr>
            <w:tcW w:w="1338" w:type="dxa"/>
            <w:noWrap/>
          </w:tcPr>
          <w:p w14:paraId="3F0E8C6E" w14:textId="77777777" w:rsidR="00372888" w:rsidRPr="005A1475" w:rsidRDefault="00372888" w:rsidP="0018712A">
            <w:pPr>
              <w:jc w:val="right"/>
              <w:rPr>
                <w:rFonts w:ascii="Calibri" w:eastAsia="Times New Roman" w:hAnsi="Calibri" w:cs="Times New Roman"/>
              </w:rPr>
            </w:pPr>
            <w:r w:rsidRPr="00D90EDE">
              <w:t>12%</w:t>
            </w:r>
          </w:p>
        </w:tc>
        <w:tc>
          <w:tcPr>
            <w:tcW w:w="1338" w:type="dxa"/>
            <w:noWrap/>
          </w:tcPr>
          <w:p w14:paraId="2C2E2178" w14:textId="77777777" w:rsidR="00372888" w:rsidRPr="005A1475" w:rsidRDefault="00372888" w:rsidP="0018712A">
            <w:pPr>
              <w:jc w:val="right"/>
              <w:rPr>
                <w:rFonts w:ascii="Calibri" w:eastAsia="Times New Roman" w:hAnsi="Calibri" w:cs="Times New Roman"/>
              </w:rPr>
            </w:pPr>
            <w:r w:rsidRPr="00D90EDE">
              <w:t>12%</w:t>
            </w:r>
          </w:p>
        </w:tc>
        <w:tc>
          <w:tcPr>
            <w:tcW w:w="1339" w:type="dxa"/>
            <w:noWrap/>
          </w:tcPr>
          <w:p w14:paraId="00C6B357" w14:textId="77777777" w:rsidR="00372888" w:rsidRPr="005A1475" w:rsidRDefault="00372888" w:rsidP="0018712A">
            <w:pPr>
              <w:jc w:val="right"/>
              <w:rPr>
                <w:rFonts w:ascii="Calibri" w:eastAsia="Times New Roman" w:hAnsi="Calibri" w:cs="Times New Roman"/>
              </w:rPr>
            </w:pPr>
            <w:r w:rsidRPr="00D90EDE">
              <w:t>12%</w:t>
            </w:r>
          </w:p>
        </w:tc>
      </w:tr>
      <w:tr w:rsidR="00372888" w:rsidRPr="00BC727E" w14:paraId="7E51F4E9" w14:textId="77777777" w:rsidTr="0018712A">
        <w:trPr>
          <w:trHeight w:val="297"/>
        </w:trPr>
        <w:tc>
          <w:tcPr>
            <w:tcW w:w="2127" w:type="dxa"/>
            <w:noWrap/>
          </w:tcPr>
          <w:p w14:paraId="22F71067" w14:textId="77777777" w:rsidR="00372888" w:rsidRPr="00BC727E" w:rsidRDefault="00372888" w:rsidP="0018712A">
            <w:pPr>
              <w:rPr>
                <w:rFonts w:ascii="Calibri" w:eastAsia="Times New Roman" w:hAnsi="Calibri" w:cs="Times New Roman"/>
                <w:b/>
              </w:rPr>
            </w:pPr>
            <w:r>
              <w:rPr>
                <w:rFonts w:ascii="Calibri" w:eastAsia="Times New Roman" w:hAnsi="Calibri" w:cs="Times New Roman"/>
              </w:rPr>
              <w:t>Unknown</w:t>
            </w:r>
          </w:p>
        </w:tc>
        <w:tc>
          <w:tcPr>
            <w:tcW w:w="1338" w:type="dxa"/>
            <w:noWrap/>
          </w:tcPr>
          <w:p w14:paraId="7B3D1715" w14:textId="77777777" w:rsidR="00372888" w:rsidRDefault="00372888" w:rsidP="0018712A">
            <w:pPr>
              <w:jc w:val="right"/>
              <w:rPr>
                <w:rFonts w:ascii="Calibri" w:eastAsia="Times New Roman" w:hAnsi="Calibri" w:cs="Times New Roman"/>
                <w:b/>
              </w:rPr>
            </w:pPr>
            <w:r w:rsidRPr="00D90EDE">
              <w:t>3%</w:t>
            </w:r>
          </w:p>
        </w:tc>
        <w:tc>
          <w:tcPr>
            <w:tcW w:w="1338" w:type="dxa"/>
            <w:noWrap/>
          </w:tcPr>
          <w:p w14:paraId="71AB6E65" w14:textId="77777777" w:rsidR="00372888" w:rsidRDefault="00372888" w:rsidP="0018712A">
            <w:pPr>
              <w:jc w:val="right"/>
              <w:rPr>
                <w:rFonts w:ascii="Calibri" w:eastAsia="Times New Roman" w:hAnsi="Calibri" w:cs="Times New Roman"/>
                <w:b/>
              </w:rPr>
            </w:pPr>
            <w:r w:rsidRPr="00D90EDE">
              <w:t>2%</w:t>
            </w:r>
          </w:p>
        </w:tc>
        <w:tc>
          <w:tcPr>
            <w:tcW w:w="1338" w:type="dxa"/>
            <w:noWrap/>
          </w:tcPr>
          <w:p w14:paraId="58B71CF0" w14:textId="77777777" w:rsidR="00372888" w:rsidRDefault="00372888" w:rsidP="0018712A">
            <w:pPr>
              <w:jc w:val="right"/>
              <w:rPr>
                <w:rFonts w:ascii="Calibri" w:eastAsia="Times New Roman" w:hAnsi="Calibri" w:cs="Times New Roman"/>
                <w:b/>
              </w:rPr>
            </w:pPr>
            <w:r w:rsidRPr="00D90EDE">
              <w:t>1%</w:t>
            </w:r>
          </w:p>
        </w:tc>
        <w:tc>
          <w:tcPr>
            <w:tcW w:w="1338" w:type="dxa"/>
            <w:noWrap/>
          </w:tcPr>
          <w:p w14:paraId="03DE13F5" w14:textId="77777777" w:rsidR="00372888" w:rsidRDefault="00372888" w:rsidP="0018712A">
            <w:pPr>
              <w:jc w:val="right"/>
              <w:rPr>
                <w:rFonts w:ascii="Calibri" w:eastAsia="Times New Roman" w:hAnsi="Calibri" w:cs="Times New Roman"/>
                <w:b/>
              </w:rPr>
            </w:pPr>
            <w:r w:rsidRPr="00D90EDE">
              <w:t>0%</w:t>
            </w:r>
          </w:p>
        </w:tc>
        <w:tc>
          <w:tcPr>
            <w:tcW w:w="1339" w:type="dxa"/>
            <w:noWrap/>
          </w:tcPr>
          <w:p w14:paraId="79B05FA3" w14:textId="77777777" w:rsidR="00372888" w:rsidRDefault="00372888" w:rsidP="0018712A">
            <w:pPr>
              <w:jc w:val="right"/>
              <w:rPr>
                <w:rFonts w:ascii="Calibri" w:eastAsia="Times New Roman" w:hAnsi="Calibri" w:cs="Times New Roman"/>
                <w:b/>
              </w:rPr>
            </w:pPr>
            <w:r w:rsidRPr="00D90EDE">
              <w:t>1%</w:t>
            </w:r>
          </w:p>
        </w:tc>
      </w:tr>
      <w:tr w:rsidR="00372888" w:rsidRPr="00BC727E" w14:paraId="33818CA2" w14:textId="77777777" w:rsidTr="0018712A">
        <w:trPr>
          <w:trHeight w:val="297"/>
        </w:trPr>
        <w:tc>
          <w:tcPr>
            <w:tcW w:w="2127" w:type="dxa"/>
            <w:noWrap/>
            <w:hideMark/>
          </w:tcPr>
          <w:p w14:paraId="292D82DC" w14:textId="77777777" w:rsidR="00372888" w:rsidRPr="005A1475" w:rsidRDefault="00372888" w:rsidP="0018712A">
            <w:pPr>
              <w:rPr>
                <w:rFonts w:ascii="Calibri" w:eastAsia="Times New Roman" w:hAnsi="Calibri" w:cs="Times New Roman"/>
                <w:b/>
              </w:rPr>
            </w:pPr>
            <w:r w:rsidRPr="00BC727E">
              <w:rPr>
                <w:rFonts w:ascii="Calibri" w:eastAsia="Times New Roman" w:hAnsi="Calibri" w:cs="Times New Roman"/>
                <w:b/>
              </w:rPr>
              <w:t>Total All patients</w:t>
            </w:r>
          </w:p>
        </w:tc>
        <w:tc>
          <w:tcPr>
            <w:tcW w:w="1338" w:type="dxa"/>
            <w:noWrap/>
          </w:tcPr>
          <w:p w14:paraId="52020145" w14:textId="77777777" w:rsidR="00372888" w:rsidRPr="005A1475" w:rsidRDefault="00372888" w:rsidP="0018712A">
            <w:pPr>
              <w:jc w:val="right"/>
              <w:rPr>
                <w:rFonts w:ascii="Calibri" w:eastAsia="Times New Roman" w:hAnsi="Calibri" w:cs="Times New Roman"/>
                <w:b/>
              </w:rPr>
            </w:pPr>
            <w:r>
              <w:rPr>
                <w:rFonts w:ascii="Calibri" w:eastAsia="Times New Roman" w:hAnsi="Calibri" w:cs="Times New Roman"/>
                <w:b/>
              </w:rPr>
              <w:t>100%</w:t>
            </w:r>
          </w:p>
        </w:tc>
        <w:tc>
          <w:tcPr>
            <w:tcW w:w="1338" w:type="dxa"/>
            <w:noWrap/>
          </w:tcPr>
          <w:p w14:paraId="31F79B9E" w14:textId="77777777" w:rsidR="00372888" w:rsidRPr="005A1475" w:rsidRDefault="00372888" w:rsidP="0018712A">
            <w:pPr>
              <w:jc w:val="right"/>
              <w:rPr>
                <w:rFonts w:ascii="Calibri" w:eastAsia="Times New Roman" w:hAnsi="Calibri" w:cs="Times New Roman"/>
                <w:b/>
              </w:rPr>
            </w:pPr>
            <w:r>
              <w:rPr>
                <w:rFonts w:ascii="Calibri" w:eastAsia="Times New Roman" w:hAnsi="Calibri" w:cs="Times New Roman"/>
                <w:b/>
              </w:rPr>
              <w:t>100%</w:t>
            </w:r>
          </w:p>
        </w:tc>
        <w:tc>
          <w:tcPr>
            <w:tcW w:w="1338" w:type="dxa"/>
            <w:noWrap/>
          </w:tcPr>
          <w:p w14:paraId="0319D74A" w14:textId="77777777" w:rsidR="00372888" w:rsidRPr="005A1475" w:rsidRDefault="00372888" w:rsidP="0018712A">
            <w:pPr>
              <w:jc w:val="right"/>
              <w:rPr>
                <w:rFonts w:ascii="Calibri" w:eastAsia="Times New Roman" w:hAnsi="Calibri" w:cs="Times New Roman"/>
                <w:b/>
              </w:rPr>
            </w:pPr>
            <w:r>
              <w:rPr>
                <w:rFonts w:ascii="Calibri" w:eastAsia="Times New Roman" w:hAnsi="Calibri" w:cs="Times New Roman"/>
                <w:b/>
              </w:rPr>
              <w:t>100%</w:t>
            </w:r>
          </w:p>
        </w:tc>
        <w:tc>
          <w:tcPr>
            <w:tcW w:w="1338" w:type="dxa"/>
            <w:noWrap/>
          </w:tcPr>
          <w:p w14:paraId="1164F206" w14:textId="77777777" w:rsidR="00372888" w:rsidRPr="005A1475" w:rsidRDefault="00372888" w:rsidP="0018712A">
            <w:pPr>
              <w:jc w:val="right"/>
              <w:rPr>
                <w:rFonts w:ascii="Calibri" w:eastAsia="Times New Roman" w:hAnsi="Calibri" w:cs="Times New Roman"/>
                <w:b/>
              </w:rPr>
            </w:pPr>
            <w:r>
              <w:rPr>
                <w:rFonts w:ascii="Calibri" w:eastAsia="Times New Roman" w:hAnsi="Calibri" w:cs="Times New Roman"/>
                <w:b/>
              </w:rPr>
              <w:t>100%</w:t>
            </w:r>
          </w:p>
        </w:tc>
        <w:tc>
          <w:tcPr>
            <w:tcW w:w="1339" w:type="dxa"/>
            <w:noWrap/>
          </w:tcPr>
          <w:p w14:paraId="68A5963D" w14:textId="77777777" w:rsidR="00372888" w:rsidRPr="005A1475" w:rsidRDefault="00372888" w:rsidP="0018712A">
            <w:pPr>
              <w:jc w:val="right"/>
              <w:rPr>
                <w:rFonts w:ascii="Calibri" w:eastAsia="Times New Roman" w:hAnsi="Calibri" w:cs="Times New Roman"/>
                <w:b/>
              </w:rPr>
            </w:pPr>
            <w:r>
              <w:rPr>
                <w:rFonts w:ascii="Calibri" w:eastAsia="Times New Roman" w:hAnsi="Calibri" w:cs="Times New Roman"/>
                <w:b/>
              </w:rPr>
              <w:t>100%</w:t>
            </w:r>
          </w:p>
        </w:tc>
      </w:tr>
    </w:tbl>
    <w:p w14:paraId="0BFD00F7" w14:textId="77777777" w:rsidR="00372888" w:rsidRPr="00C6303F" w:rsidRDefault="00372888" w:rsidP="00372888">
      <w:pPr>
        <w:rPr>
          <w:rFonts w:cs="Baskerville"/>
          <w:sz w:val="20"/>
          <w:szCs w:val="20"/>
          <w:highlight w:val="yellow"/>
        </w:rPr>
      </w:pPr>
      <w:r w:rsidRPr="00C6303F">
        <w:rPr>
          <w:rFonts w:cs="Baskerville"/>
          <w:sz w:val="20"/>
          <w:szCs w:val="20"/>
        </w:rPr>
        <w:t>Sour</w:t>
      </w:r>
      <w:r>
        <w:rPr>
          <w:rFonts w:cs="Baskerville"/>
          <w:sz w:val="20"/>
          <w:szCs w:val="20"/>
        </w:rPr>
        <w:t xml:space="preserve">ce: DHS Authority approval data, extracted May </w:t>
      </w:r>
      <w:r w:rsidRPr="00E51B21">
        <w:rPr>
          <w:rFonts w:cs="Baskerville"/>
          <w:sz w:val="20"/>
          <w:szCs w:val="20"/>
        </w:rPr>
        <w:t>2015. Unknown denotes age or sex not available in data.</w:t>
      </w:r>
    </w:p>
    <w:p w14:paraId="7EB09FB1" w14:textId="77777777" w:rsidR="00DE583D" w:rsidRDefault="00DE583D" w:rsidP="0052799A">
      <w:pPr>
        <w:rPr>
          <w:b/>
        </w:rPr>
      </w:pPr>
      <w:r>
        <w:t xml:space="preserve">For people new to ADHD treatment, the demographic mix has altered slightly over the five year period, with a slight increase in the contribution of male and female children, offset by a decrease in the contribution of adolescent males. </w:t>
      </w:r>
    </w:p>
    <w:p w14:paraId="58EB5604" w14:textId="77777777" w:rsidR="00DE583D" w:rsidRDefault="00DE583D" w:rsidP="0052799A">
      <w:pPr>
        <w:rPr>
          <w:b/>
        </w:rPr>
      </w:pPr>
      <w:r w:rsidRPr="00C775D7">
        <w:t xml:space="preserve">While the </w:t>
      </w:r>
      <w:r>
        <w:t>demographic mix of all people prescribed</w:t>
      </w:r>
      <w:r w:rsidRPr="00C775D7">
        <w:t xml:space="preserve"> ADHD medicine </w:t>
      </w:r>
      <w:r>
        <w:t>was</w:t>
      </w:r>
      <w:r w:rsidRPr="00C775D7">
        <w:t xml:space="preserve"> similar over time, there has been a slight decrease in the contribution of </w:t>
      </w:r>
      <w:r>
        <w:t xml:space="preserve">adolescent males, and a slight increase in the contribution of 6-12 year old females and adult males and females. </w:t>
      </w:r>
    </w:p>
    <w:p w14:paraId="574FB5F0" w14:textId="77777777" w:rsidR="00DE583D" w:rsidRPr="00C775D7" w:rsidRDefault="00DE583D" w:rsidP="0052799A">
      <w:pPr>
        <w:rPr>
          <w:b/>
        </w:rPr>
      </w:pPr>
      <w:r>
        <w:t xml:space="preserve">Adults represent a slightly higher proportion of people treated over time, but do not constitute a higher proportion of people new to treatment. </w:t>
      </w:r>
    </w:p>
    <w:p w14:paraId="280393E7" w14:textId="77777777" w:rsidR="00DE583D" w:rsidRDefault="00DE583D" w:rsidP="0052799A">
      <w:pPr>
        <w:rPr>
          <w:b/>
        </w:rPr>
      </w:pPr>
      <w:r w:rsidRPr="00230C4D">
        <w:t>In 2014, around two thirds of people supplied a PBS ADHD medicine were less than 18 years of age.</w:t>
      </w:r>
    </w:p>
    <w:p w14:paraId="2C4DC4FC" w14:textId="77777777" w:rsidR="00DE583D" w:rsidRPr="00C6303F" w:rsidRDefault="00DE583D" w:rsidP="0052799A">
      <w:pPr>
        <w:rPr>
          <w:b/>
        </w:rPr>
      </w:pPr>
      <w:r w:rsidRPr="000C5825">
        <w:t>The age distribution of all patients supplied with an ADHD medicine in 2014 is shown in Figure 1.</w:t>
      </w:r>
    </w:p>
    <w:p w14:paraId="3E8AB6A3" w14:textId="77777777" w:rsidR="00DE583D" w:rsidRDefault="00DE583D" w:rsidP="00DE583D">
      <w:pPr>
        <w:keepNext/>
        <w:keepLines/>
        <w:spacing w:before="600"/>
        <w:outlineLvl w:val="2"/>
      </w:pPr>
      <w:r>
        <w:rPr>
          <w:noProof/>
        </w:rPr>
        <w:lastRenderedPageBreak/>
        <w:drawing>
          <wp:inline distT="0" distB="0" distL="0" distR="0" wp14:anchorId="5BBB04F5" wp14:editId="55B2F009">
            <wp:extent cx="5762846" cy="3662636"/>
            <wp:effectExtent l="0" t="0" r="9525" b="14605"/>
            <wp:docPr id="15" name="Chart 15" title="The graph shows a peak in prevalent patients between the ages of 6-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8D62CE" w14:textId="77777777" w:rsidR="00DE583D" w:rsidRDefault="00DE583D" w:rsidP="00D60536">
      <w:pPr>
        <w:pStyle w:val="Figuretitle"/>
      </w:pPr>
      <w:r w:rsidRPr="000C5825">
        <w:t>Figure 1: People</w:t>
      </w:r>
      <w:r>
        <w:t xml:space="preserve"> supplied PBS ADHD medicine in 2014 by age </w:t>
      </w:r>
    </w:p>
    <w:p w14:paraId="4D145FA3" w14:textId="212D15AB" w:rsidR="00075A88" w:rsidRDefault="00DE583D" w:rsidP="00DE583D">
      <w:pPr>
        <w:pStyle w:val="Notes"/>
      </w:pPr>
      <w:r>
        <w:t xml:space="preserve">Source: Medicare pharmacy claims database; extracted 1 April 2015. </w:t>
      </w:r>
    </w:p>
    <w:p w14:paraId="59A4FD96" w14:textId="6CAA8445" w:rsidR="0053330D" w:rsidRDefault="0053330D" w:rsidP="0053330D">
      <w:r w:rsidRPr="00F141E9">
        <w:t xml:space="preserve">The ratio of males to females </w:t>
      </w:r>
      <w:r>
        <w:t>who received an authority approval for</w:t>
      </w:r>
      <w:r w:rsidRPr="00F141E9">
        <w:t xml:space="preserve"> ADHD medicine</w:t>
      </w:r>
      <w:r>
        <w:t xml:space="preserve"> by year is shown in Figure 2.</w:t>
      </w:r>
    </w:p>
    <w:p w14:paraId="64A133BD" w14:textId="77777777" w:rsidR="0053330D" w:rsidRDefault="0053330D">
      <w:pPr>
        <w:spacing w:line="276" w:lineRule="auto"/>
      </w:pPr>
      <w:r>
        <w:br w:type="page"/>
      </w:r>
    </w:p>
    <w:p w14:paraId="21A5D226" w14:textId="77777777" w:rsidR="00DE583D" w:rsidRDefault="00DE583D" w:rsidP="00DE583D">
      <w:pPr>
        <w:pStyle w:val="Notes"/>
      </w:pPr>
      <w:r>
        <w:rPr>
          <w:noProof/>
        </w:rPr>
        <w:lastRenderedPageBreak/>
        <w:drawing>
          <wp:inline distT="0" distB="0" distL="0" distR="0" wp14:anchorId="6D5E0CDC" wp14:editId="7E324995">
            <wp:extent cx="4572000" cy="3924300"/>
            <wp:effectExtent l="0" t="0" r="19050" b="19050"/>
            <wp:docPr id="10" name="Chart 10" title="The ratio is steadily decreasing from 2010 to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7BBECA" w14:textId="77777777" w:rsidR="00DE583D" w:rsidRPr="00075A88" w:rsidRDefault="00DE583D" w:rsidP="00D60536">
      <w:pPr>
        <w:pStyle w:val="Figuretitle"/>
      </w:pPr>
      <w:r w:rsidRPr="00075A88">
        <w:t xml:space="preserve">Figure 2: Ratio of males to females granted authority approval for ADHD medicine by year </w:t>
      </w:r>
    </w:p>
    <w:p w14:paraId="3353340F" w14:textId="77777777" w:rsidR="00DE583D" w:rsidRDefault="00DE583D" w:rsidP="00DE583D">
      <w:pPr>
        <w:pStyle w:val="Notes"/>
      </w:pPr>
      <w:r>
        <w:t xml:space="preserve">Source: Medicare authority approvals database; extracted May 2015. </w:t>
      </w:r>
    </w:p>
    <w:p w14:paraId="1A00F3DA" w14:textId="6BF019BE" w:rsidR="00A526DF" w:rsidRDefault="00DE583D" w:rsidP="00DE583D">
      <w:pPr>
        <w:pStyle w:val="Notes"/>
      </w:pPr>
      <w:r w:rsidRPr="00F141E9">
        <w:rPr>
          <w:rFonts w:cstheme="minorBidi"/>
          <w:sz w:val="24"/>
          <w:szCs w:val="24"/>
        </w:rPr>
        <w:t xml:space="preserve">The ratio of males to females </w:t>
      </w:r>
      <w:r>
        <w:rPr>
          <w:rFonts w:cstheme="minorBidi"/>
          <w:sz w:val="24"/>
          <w:szCs w:val="24"/>
        </w:rPr>
        <w:t>who received an authority approval for</w:t>
      </w:r>
      <w:r w:rsidRPr="00F141E9">
        <w:rPr>
          <w:rFonts w:cstheme="minorBidi"/>
          <w:sz w:val="24"/>
          <w:szCs w:val="24"/>
        </w:rPr>
        <w:t xml:space="preserve"> ADHD medicine decreased from 3</w:t>
      </w:r>
      <w:r>
        <w:rPr>
          <w:rFonts w:cstheme="minorBidi"/>
          <w:sz w:val="24"/>
          <w:szCs w:val="24"/>
        </w:rPr>
        <w:t>.00:1 in 2010 to 2.82</w:t>
      </w:r>
      <w:r w:rsidRPr="00F141E9">
        <w:rPr>
          <w:rFonts w:cstheme="minorBidi"/>
          <w:sz w:val="24"/>
          <w:szCs w:val="24"/>
        </w:rPr>
        <w:t>:1 in 2014 (</w:t>
      </w:r>
      <w:r w:rsidRPr="000C5825">
        <w:rPr>
          <w:rFonts w:cstheme="minorBidi"/>
          <w:sz w:val="24"/>
          <w:szCs w:val="24"/>
        </w:rPr>
        <w:t>Figure 2).</w:t>
      </w:r>
      <w:r w:rsidRPr="00F141E9">
        <w:rPr>
          <w:rFonts w:cstheme="minorBidi"/>
          <w:sz w:val="24"/>
          <w:szCs w:val="24"/>
        </w:rPr>
        <w:t xml:space="preserve"> </w:t>
      </w:r>
      <w:r w:rsidRPr="000F14E1">
        <w:rPr>
          <w:rFonts w:cstheme="minorBidi"/>
          <w:sz w:val="24"/>
          <w:szCs w:val="24"/>
        </w:rPr>
        <w:t>As discussed in the background section</w:t>
      </w:r>
      <w:r>
        <w:rPr>
          <w:rFonts w:cstheme="minorBidi"/>
          <w:sz w:val="24"/>
          <w:szCs w:val="24"/>
        </w:rPr>
        <w:t xml:space="preserve"> (page </w:t>
      </w:r>
      <w:r>
        <w:rPr>
          <w:rFonts w:cstheme="minorBidi"/>
          <w:sz w:val="24"/>
          <w:szCs w:val="24"/>
        </w:rPr>
        <w:fldChar w:fldCharType="begin"/>
      </w:r>
      <w:r>
        <w:rPr>
          <w:rFonts w:cstheme="minorBidi"/>
          <w:sz w:val="24"/>
          <w:szCs w:val="24"/>
        </w:rPr>
        <w:instrText xml:space="preserve"> PAGEREF _Ref418678996 \h </w:instrText>
      </w:r>
      <w:r>
        <w:rPr>
          <w:rFonts w:cstheme="minorBidi"/>
          <w:sz w:val="24"/>
          <w:szCs w:val="24"/>
        </w:rPr>
      </w:r>
      <w:r>
        <w:rPr>
          <w:rFonts w:cstheme="minorBidi"/>
          <w:sz w:val="24"/>
          <w:szCs w:val="24"/>
        </w:rPr>
        <w:fldChar w:fldCharType="separate"/>
      </w:r>
      <w:r w:rsidR="00C1646A">
        <w:rPr>
          <w:rFonts w:cstheme="minorBidi"/>
          <w:noProof/>
          <w:sz w:val="24"/>
          <w:szCs w:val="24"/>
        </w:rPr>
        <w:t>3</w:t>
      </w:r>
      <w:r>
        <w:rPr>
          <w:rFonts w:cstheme="minorBidi"/>
          <w:sz w:val="24"/>
          <w:szCs w:val="24"/>
        </w:rPr>
        <w:fldChar w:fldCharType="end"/>
      </w:r>
      <w:r>
        <w:rPr>
          <w:rFonts w:cstheme="minorBidi"/>
          <w:sz w:val="24"/>
          <w:szCs w:val="24"/>
        </w:rPr>
        <w:t>)</w:t>
      </w:r>
      <w:r w:rsidRPr="000F14E1">
        <w:rPr>
          <w:rFonts w:cstheme="minorBidi"/>
          <w:sz w:val="24"/>
          <w:szCs w:val="24"/>
        </w:rPr>
        <w:t xml:space="preserve"> women are more likely to have ongoing symptoms of ADHD into adulthood.</w:t>
      </w:r>
      <w:r w:rsidRPr="008513A1">
        <w:rPr>
          <w:rFonts w:cstheme="minorBidi"/>
          <w:sz w:val="24"/>
          <w:szCs w:val="24"/>
          <w:vertAlign w:val="superscript"/>
        </w:rPr>
        <w:fldChar w:fldCharType="begin"/>
      </w:r>
      <w:r w:rsidRPr="008513A1">
        <w:rPr>
          <w:rFonts w:cstheme="minorBidi"/>
          <w:sz w:val="24"/>
          <w:szCs w:val="24"/>
          <w:vertAlign w:val="superscript"/>
        </w:rPr>
        <w:instrText xml:space="preserve"> NOTEREF _Ref418676855 \h </w:instrText>
      </w:r>
      <w:r>
        <w:rPr>
          <w:rFonts w:cstheme="minorBidi"/>
          <w:sz w:val="24"/>
          <w:szCs w:val="24"/>
          <w:vertAlign w:val="superscript"/>
        </w:rPr>
        <w:instrText xml:space="preserve"> \* MERGEFORMAT </w:instrText>
      </w:r>
      <w:r w:rsidRPr="008513A1">
        <w:rPr>
          <w:rFonts w:cstheme="minorBidi"/>
          <w:sz w:val="24"/>
          <w:szCs w:val="24"/>
          <w:vertAlign w:val="superscript"/>
        </w:rPr>
      </w:r>
      <w:r w:rsidRPr="008513A1">
        <w:rPr>
          <w:rFonts w:cstheme="minorBidi"/>
          <w:sz w:val="24"/>
          <w:szCs w:val="24"/>
          <w:vertAlign w:val="superscript"/>
        </w:rPr>
        <w:fldChar w:fldCharType="separate"/>
      </w:r>
      <w:r w:rsidR="00C1646A">
        <w:rPr>
          <w:rFonts w:cstheme="minorBidi"/>
          <w:sz w:val="24"/>
          <w:szCs w:val="24"/>
          <w:vertAlign w:val="superscript"/>
        </w:rPr>
        <w:t>iii</w:t>
      </w:r>
      <w:r w:rsidRPr="008513A1">
        <w:rPr>
          <w:rFonts w:cstheme="minorBidi"/>
          <w:sz w:val="24"/>
          <w:szCs w:val="24"/>
          <w:vertAlign w:val="superscript"/>
        </w:rPr>
        <w:fldChar w:fldCharType="end"/>
      </w:r>
      <w:r w:rsidRPr="000F14E1">
        <w:rPr>
          <w:rFonts w:cstheme="minorBidi"/>
          <w:sz w:val="24"/>
          <w:szCs w:val="24"/>
        </w:rPr>
        <w:t xml:space="preserve"> This can be seen in the 2014 data presented below </w:t>
      </w:r>
      <w:r w:rsidRPr="000C5825">
        <w:rPr>
          <w:rFonts w:cstheme="minorBidi"/>
          <w:sz w:val="24"/>
          <w:szCs w:val="24"/>
        </w:rPr>
        <w:t>(Figure 3).</w:t>
      </w:r>
    </w:p>
    <w:p w14:paraId="3197A1DA" w14:textId="77777777" w:rsidR="00DE583D" w:rsidRPr="007F331E" w:rsidRDefault="00DE583D" w:rsidP="00DE583D">
      <w:r>
        <w:rPr>
          <w:noProof/>
        </w:rPr>
        <w:drawing>
          <wp:inline distT="0" distB="0" distL="0" distR="0" wp14:anchorId="0D487865" wp14:editId="6A47745C">
            <wp:extent cx="5760720" cy="2999760"/>
            <wp:effectExtent l="0" t="0" r="11430" b="10160"/>
            <wp:docPr id="11" name="Chart 11" descr="It also shows that a higher number of males are receiving ADHD medicines than females." title="The graph shows a peak in number of people receiving ADHD medicines between the ages of 6-15. "/>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28EFC1" w14:textId="77777777" w:rsidR="00DE583D" w:rsidRPr="000C5825" w:rsidRDefault="00DE583D" w:rsidP="00D60536">
      <w:pPr>
        <w:pStyle w:val="Figuretitle"/>
      </w:pPr>
      <w:r w:rsidRPr="000C5825">
        <w:t xml:space="preserve">Figure 3: Number of people supplied an ADHD medicine in 2014 by age and sex </w:t>
      </w:r>
    </w:p>
    <w:p w14:paraId="13DE173A" w14:textId="77777777" w:rsidR="00155C45" w:rsidRDefault="00DE583D" w:rsidP="00A526DF">
      <w:pPr>
        <w:pStyle w:val="Notes"/>
      </w:pPr>
      <w:r w:rsidRPr="000C5825">
        <w:t>Source: Medicare pharmacy</w:t>
      </w:r>
      <w:r>
        <w:t xml:space="preserve"> claims database; extracted 29 April 2015. </w:t>
      </w:r>
    </w:p>
    <w:p w14:paraId="7A3FDC4C" w14:textId="4A2DC2C5" w:rsidR="00DE583D" w:rsidRPr="00A526DF" w:rsidRDefault="00DE583D" w:rsidP="002B64EF">
      <w:pPr>
        <w:pStyle w:val="Heading4"/>
      </w:pPr>
      <w:r>
        <w:lastRenderedPageBreak/>
        <w:t>ADHD m</w:t>
      </w:r>
      <w:r w:rsidRPr="005A1475">
        <w:t>edicines</w:t>
      </w:r>
      <w:r>
        <w:t xml:space="preserve"> used</w:t>
      </w:r>
    </w:p>
    <w:p w14:paraId="7EF35102" w14:textId="77777777" w:rsidR="00DE583D" w:rsidRDefault="00DE583D" w:rsidP="00DE583D">
      <w:pPr>
        <w:keepNext/>
        <w:keepLines/>
        <w:rPr>
          <w:rFonts w:ascii="Calibri" w:eastAsia="MS Mincho" w:hAnsi="Calibri" w:cs="Times New Roman"/>
        </w:rPr>
      </w:pPr>
      <w:r w:rsidRPr="000C5825">
        <w:rPr>
          <w:rFonts w:ascii="Calibri" w:eastAsia="MS Mincho" w:hAnsi="Calibri" w:cs="Times New Roman"/>
        </w:rPr>
        <w:t>Figure 4 shows</w:t>
      </w:r>
      <w:r>
        <w:rPr>
          <w:rFonts w:ascii="Calibri" w:eastAsia="MS Mincho" w:hAnsi="Calibri" w:cs="Times New Roman"/>
        </w:rPr>
        <w:t xml:space="preserve"> the number of </w:t>
      </w:r>
      <w:r w:rsidRPr="005A1475">
        <w:rPr>
          <w:rFonts w:ascii="Calibri" w:eastAsia="MS Mincho" w:hAnsi="Calibri" w:cs="Times New Roman"/>
        </w:rPr>
        <w:t xml:space="preserve">prescriptions for each medicine by the quarter and year of supply, </w:t>
      </w:r>
      <w:r w:rsidRPr="00486FD1">
        <w:rPr>
          <w:rFonts w:ascii="Calibri" w:eastAsia="MS Mincho" w:hAnsi="Calibri" w:cs="Times New Roman"/>
        </w:rPr>
        <w:t>between quarter 1 2010</w:t>
      </w:r>
      <w:r w:rsidRPr="005A1475">
        <w:rPr>
          <w:rFonts w:ascii="Calibri" w:eastAsia="MS Mincho" w:hAnsi="Calibri" w:cs="Times New Roman"/>
        </w:rPr>
        <w:t xml:space="preserve"> and quarter 4 2014. </w:t>
      </w:r>
    </w:p>
    <w:p w14:paraId="5777AE3D" w14:textId="77777777" w:rsidR="00DE583D" w:rsidRDefault="00DE583D" w:rsidP="00DE583D">
      <w:pPr>
        <w:keepNext/>
        <w:keepLines/>
      </w:pPr>
      <w:r>
        <w:rPr>
          <w:noProof/>
        </w:rPr>
        <w:drawing>
          <wp:inline distT="0" distB="0" distL="0" distR="0" wp14:anchorId="0E1E8607" wp14:editId="28230E0B">
            <wp:extent cx="5760720" cy="3501361"/>
            <wp:effectExtent l="0" t="0" r="11430" b="23495"/>
            <wp:docPr id="2" name="Chart 2" title="Atomoxetine script numbers are remaining fairly steady at around 10000 per quarter, as is dexamphetamine at approximately 60,000 per quarter, methylphenidate script numbesr are higher and increasing"/>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644562" w14:textId="77777777" w:rsidR="00DE583D" w:rsidRPr="000C5825" w:rsidRDefault="00DE583D" w:rsidP="00D60536">
      <w:pPr>
        <w:pStyle w:val="Figuretitle"/>
      </w:pPr>
      <w:r w:rsidRPr="000C5825">
        <w:t xml:space="preserve">Figure 4: </w:t>
      </w:r>
      <w:r>
        <w:t>P</w:t>
      </w:r>
      <w:r w:rsidRPr="000C5825">
        <w:t>rescriptions for ADHD medicines</w:t>
      </w:r>
    </w:p>
    <w:p w14:paraId="12C697AC" w14:textId="77777777" w:rsidR="00DE583D" w:rsidRPr="000C5825" w:rsidRDefault="00DE583D" w:rsidP="00DE583D">
      <w:pPr>
        <w:pStyle w:val="Notes"/>
      </w:pPr>
      <w:r w:rsidRPr="000C5825">
        <w:t xml:space="preserve">Source: DUSC drug utilisation database; extracted 2 April 2015. Includes private and under co-payment estimate, and under co-payment actual. </w:t>
      </w:r>
    </w:p>
    <w:p w14:paraId="32EAEEA5" w14:textId="6FA80A84" w:rsidR="00DE583D" w:rsidRDefault="00DE583D" w:rsidP="0052799A">
      <w:pPr>
        <w:keepNext/>
        <w:keepLines/>
      </w:pPr>
      <w:r w:rsidRPr="000C5825">
        <w:rPr>
          <w:rFonts w:ascii="Calibri" w:eastAsia="MS Mincho" w:hAnsi="Calibri" w:cs="Times New Roman"/>
        </w:rPr>
        <w:t>Figure 5 presents the number of prescriptions for methylphenidate (the blue line in Figure 4) as immediate</w:t>
      </w:r>
      <w:r>
        <w:rPr>
          <w:rFonts w:ascii="Calibri" w:eastAsia="MS Mincho" w:hAnsi="Calibri" w:cs="Times New Roman"/>
        </w:rPr>
        <w:t xml:space="preserve"> release and modified release forms.</w:t>
      </w:r>
      <w:r w:rsidR="0052799A">
        <w:t xml:space="preserve"> </w:t>
      </w:r>
    </w:p>
    <w:p w14:paraId="79D1F04D" w14:textId="77777777" w:rsidR="00DE583D" w:rsidRDefault="00DE583D" w:rsidP="00D60536">
      <w:pPr>
        <w:pStyle w:val="Figuretitle"/>
        <w:rPr>
          <w:highlight w:val="yellow"/>
        </w:rPr>
      </w:pPr>
      <w:r>
        <w:rPr>
          <w:noProof/>
          <w:lang w:val="en-AU"/>
        </w:rPr>
        <w:drawing>
          <wp:inline distT="0" distB="0" distL="0" distR="0" wp14:anchorId="1257A8A8" wp14:editId="1255E7DA">
            <wp:extent cx="5760720" cy="3501361"/>
            <wp:effectExtent l="0" t="0" r="11430" b="23495"/>
            <wp:docPr id="3" name="Chart 3" descr="The graph shows the number of prescriptions for methyphenidate MR Concerta, methylphenidate MR Ritalin LA and methylphenidate IR ritalin 10 are increasing&#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FCBB4E" w14:textId="77777777" w:rsidR="00DE583D" w:rsidRPr="000C5825" w:rsidRDefault="00DE583D" w:rsidP="00D60536">
      <w:pPr>
        <w:pStyle w:val="Figuretitle"/>
      </w:pPr>
      <w:r w:rsidRPr="000C5825">
        <w:t xml:space="preserve">Figure 5: </w:t>
      </w:r>
      <w:r>
        <w:t>P</w:t>
      </w:r>
      <w:r w:rsidRPr="000C5825">
        <w:t>rescriptions for methylphenidate</w:t>
      </w:r>
    </w:p>
    <w:p w14:paraId="4BAA4014" w14:textId="77777777" w:rsidR="00DE583D" w:rsidRPr="000C5825" w:rsidRDefault="00DE583D" w:rsidP="00DE583D">
      <w:pPr>
        <w:pStyle w:val="Notes"/>
      </w:pPr>
      <w:r w:rsidRPr="000C5825">
        <w:t xml:space="preserve">Source: DUSC drug utilisation database; extracted 2 April 2015. Includes private and under co-payment estimate, and under co-payment actual. </w:t>
      </w:r>
    </w:p>
    <w:p w14:paraId="5D692790" w14:textId="3EFE8930" w:rsidR="00DE583D" w:rsidRPr="000C5825" w:rsidRDefault="00DE583D" w:rsidP="00DE583D">
      <w:pPr>
        <w:rPr>
          <w:rFonts w:ascii="Calibri" w:eastAsia="MS Mincho" w:hAnsi="Calibri" w:cs="Times New Roman"/>
        </w:rPr>
      </w:pPr>
      <w:r w:rsidRPr="000C5825">
        <w:rPr>
          <w:rFonts w:ascii="Calibri" w:eastAsia="MS Mincho" w:hAnsi="Calibri" w:cs="Times New Roman"/>
        </w:rPr>
        <w:t xml:space="preserve">Almost all of the growth in the number of prescriptions dispensed is accounted for by increasing use of methylphenidate immediate release and modified release. The annual number of prescriptions is summarised in Table </w:t>
      </w:r>
      <w:r w:rsidR="00D7094B">
        <w:rPr>
          <w:rFonts w:ascii="Calibri" w:eastAsia="MS Mincho" w:hAnsi="Calibri" w:cs="Times New Roman"/>
        </w:rPr>
        <w:t>7</w:t>
      </w:r>
      <w:r w:rsidRPr="000C5825">
        <w:rPr>
          <w:rFonts w:ascii="Calibri" w:eastAsia="MS Mincho" w:hAnsi="Calibri" w:cs="Times New Roman"/>
        </w:rPr>
        <w:t>.</w:t>
      </w:r>
    </w:p>
    <w:p w14:paraId="261FB986" w14:textId="15BC65C5" w:rsidR="00DE583D" w:rsidRPr="000C5825" w:rsidRDefault="00DE583D" w:rsidP="00075A88">
      <w:pPr>
        <w:pStyle w:val="Tabletitle"/>
      </w:pPr>
      <w:r w:rsidRPr="000C5825">
        <w:t xml:space="preserve">Table </w:t>
      </w:r>
      <w:r w:rsidR="00D7094B">
        <w:t>7</w:t>
      </w:r>
      <w:r w:rsidRPr="000C5825">
        <w:t xml:space="preserve">: </w:t>
      </w:r>
      <w:r>
        <w:t>P</w:t>
      </w:r>
      <w:r w:rsidRPr="000C5825">
        <w:t>rescriptions of ADHD medicines</w:t>
      </w:r>
    </w:p>
    <w:tbl>
      <w:tblPr>
        <w:tblStyle w:val="TableGrid1"/>
        <w:tblW w:w="0" w:type="auto"/>
        <w:tblInd w:w="108" w:type="dxa"/>
        <w:tblLook w:val="04A0" w:firstRow="1" w:lastRow="0" w:firstColumn="1" w:lastColumn="0" w:noHBand="0" w:noVBand="1"/>
        <w:tblDescription w:val="The first column contains the name of the different ADHD medicines, read across the row for the number of prescriptions in each year for 2010 to 2014 inclusive"/>
      </w:tblPr>
      <w:tblGrid>
        <w:gridCol w:w="1700"/>
        <w:gridCol w:w="1481"/>
        <w:gridCol w:w="1482"/>
        <w:gridCol w:w="1481"/>
        <w:gridCol w:w="1482"/>
        <w:gridCol w:w="1482"/>
      </w:tblGrid>
      <w:tr w:rsidR="00DE583D" w:rsidRPr="005A1475" w14:paraId="37BE9563" w14:textId="77777777" w:rsidTr="007F051D">
        <w:trPr>
          <w:tblHeader/>
        </w:trPr>
        <w:tc>
          <w:tcPr>
            <w:tcW w:w="1592" w:type="dxa"/>
            <w:tcBorders>
              <w:top w:val="single" w:sz="4" w:space="0" w:color="auto"/>
              <w:left w:val="single" w:sz="4" w:space="0" w:color="auto"/>
            </w:tcBorders>
            <w:shd w:val="clear" w:color="auto" w:fill="D9D9D9" w:themeFill="background1" w:themeFillShade="D9"/>
          </w:tcPr>
          <w:p w14:paraId="2A1D06F9" w14:textId="0CECB605" w:rsidR="00DE583D" w:rsidRPr="005A1475" w:rsidRDefault="00DE754D" w:rsidP="0052799A">
            <w:pPr>
              <w:autoSpaceDE w:val="0"/>
              <w:autoSpaceDN w:val="0"/>
              <w:adjustRightInd w:val="0"/>
              <w:spacing w:before="60" w:after="60"/>
              <w:jc w:val="center"/>
              <w:rPr>
                <w:rFonts w:ascii="Calibri" w:hAnsi="Calibri" w:cs="Calibri"/>
                <w:b/>
                <w:sz w:val="20"/>
                <w:szCs w:val="20"/>
              </w:rPr>
            </w:pPr>
            <w:r>
              <w:rPr>
                <w:rFonts w:ascii="Calibri" w:hAnsi="Calibri" w:cs="Calibri"/>
                <w:b/>
                <w:sz w:val="20"/>
                <w:szCs w:val="20"/>
              </w:rPr>
              <w:t>ADHD Medicines</w:t>
            </w:r>
          </w:p>
        </w:tc>
        <w:tc>
          <w:tcPr>
            <w:tcW w:w="1481" w:type="dxa"/>
            <w:shd w:val="clear" w:color="auto" w:fill="D9D9D9"/>
          </w:tcPr>
          <w:p w14:paraId="36A14843"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2010</w:t>
            </w:r>
          </w:p>
        </w:tc>
        <w:tc>
          <w:tcPr>
            <w:tcW w:w="1482" w:type="dxa"/>
            <w:shd w:val="clear" w:color="auto" w:fill="D9D9D9"/>
          </w:tcPr>
          <w:p w14:paraId="645E08F4"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2011</w:t>
            </w:r>
          </w:p>
        </w:tc>
        <w:tc>
          <w:tcPr>
            <w:tcW w:w="1481" w:type="dxa"/>
            <w:shd w:val="clear" w:color="auto" w:fill="D9D9D9"/>
          </w:tcPr>
          <w:p w14:paraId="068A77F3"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2012</w:t>
            </w:r>
          </w:p>
        </w:tc>
        <w:tc>
          <w:tcPr>
            <w:tcW w:w="1482" w:type="dxa"/>
            <w:shd w:val="clear" w:color="auto" w:fill="D9D9D9"/>
          </w:tcPr>
          <w:p w14:paraId="092849B2"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2013</w:t>
            </w:r>
          </w:p>
        </w:tc>
        <w:tc>
          <w:tcPr>
            <w:tcW w:w="1482" w:type="dxa"/>
            <w:shd w:val="clear" w:color="auto" w:fill="D9D9D9"/>
          </w:tcPr>
          <w:p w14:paraId="699FEFC7"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2014</w:t>
            </w:r>
          </w:p>
        </w:tc>
      </w:tr>
      <w:tr w:rsidR="00DE583D" w:rsidRPr="005A1475" w14:paraId="4DFBB75B" w14:textId="77777777" w:rsidTr="009E3C42">
        <w:tc>
          <w:tcPr>
            <w:tcW w:w="1592" w:type="dxa"/>
            <w:shd w:val="clear" w:color="auto" w:fill="D9D9D9"/>
          </w:tcPr>
          <w:p w14:paraId="2575C69E"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Dexamphetamine</w:t>
            </w:r>
          </w:p>
        </w:tc>
        <w:tc>
          <w:tcPr>
            <w:tcW w:w="1481" w:type="dxa"/>
            <w:vAlign w:val="center"/>
          </w:tcPr>
          <w:p w14:paraId="32515219" w14:textId="64715A88"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227,264</w:t>
            </w:r>
          </w:p>
        </w:tc>
        <w:tc>
          <w:tcPr>
            <w:tcW w:w="1482" w:type="dxa"/>
            <w:vAlign w:val="center"/>
          </w:tcPr>
          <w:p w14:paraId="74C7537C" w14:textId="18F48932"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214,109</w:t>
            </w:r>
          </w:p>
        </w:tc>
        <w:tc>
          <w:tcPr>
            <w:tcW w:w="1481" w:type="dxa"/>
            <w:vAlign w:val="center"/>
          </w:tcPr>
          <w:p w14:paraId="1DDAA40D" w14:textId="4D1E929F"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230,794</w:t>
            </w:r>
          </w:p>
        </w:tc>
        <w:tc>
          <w:tcPr>
            <w:tcW w:w="1482" w:type="dxa"/>
            <w:vAlign w:val="center"/>
          </w:tcPr>
          <w:p w14:paraId="67D43EB1" w14:textId="795EF90A"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237,852</w:t>
            </w:r>
          </w:p>
        </w:tc>
        <w:tc>
          <w:tcPr>
            <w:tcW w:w="1482" w:type="dxa"/>
            <w:vAlign w:val="center"/>
          </w:tcPr>
          <w:p w14:paraId="54760070" w14:textId="475DFFBB"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242,474</w:t>
            </w:r>
          </w:p>
        </w:tc>
      </w:tr>
      <w:tr w:rsidR="00DE583D" w:rsidRPr="005A1475" w14:paraId="4C41F41A" w14:textId="77777777" w:rsidTr="009E3C42">
        <w:tc>
          <w:tcPr>
            <w:tcW w:w="1592" w:type="dxa"/>
            <w:shd w:val="clear" w:color="auto" w:fill="D9D9D9"/>
          </w:tcPr>
          <w:p w14:paraId="4CB602C3"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Methylphenidate IR (Ritalin 10)</w:t>
            </w:r>
          </w:p>
        </w:tc>
        <w:tc>
          <w:tcPr>
            <w:tcW w:w="1481" w:type="dxa"/>
            <w:vAlign w:val="center"/>
          </w:tcPr>
          <w:p w14:paraId="7D94D179" w14:textId="379869D6"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111,660</w:t>
            </w:r>
          </w:p>
        </w:tc>
        <w:tc>
          <w:tcPr>
            <w:tcW w:w="1482" w:type="dxa"/>
            <w:vAlign w:val="center"/>
          </w:tcPr>
          <w:p w14:paraId="5134F89B" w14:textId="294F2CC0" w:rsidR="00DE583D" w:rsidRPr="000D7486" w:rsidRDefault="00DE583D" w:rsidP="009E3C42">
            <w:pPr>
              <w:autoSpaceDE w:val="0"/>
              <w:autoSpaceDN w:val="0"/>
              <w:adjustRightInd w:val="0"/>
              <w:spacing w:before="60" w:after="60"/>
              <w:jc w:val="center"/>
              <w:rPr>
                <w:rFonts w:ascii="Calibri" w:eastAsia="Times New Roman" w:hAnsi="Calibri" w:cs="Times New Roman"/>
                <w:color w:val="000000"/>
                <w:sz w:val="20"/>
                <w:szCs w:val="20"/>
              </w:rPr>
            </w:pPr>
            <w:r w:rsidRPr="000D7486">
              <w:rPr>
                <w:sz w:val="20"/>
                <w:szCs w:val="20"/>
              </w:rPr>
              <w:t>122,615</w:t>
            </w:r>
          </w:p>
        </w:tc>
        <w:tc>
          <w:tcPr>
            <w:tcW w:w="1481" w:type="dxa"/>
            <w:vAlign w:val="center"/>
          </w:tcPr>
          <w:p w14:paraId="7832307E" w14:textId="5A73E4B4"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135,198</w:t>
            </w:r>
          </w:p>
        </w:tc>
        <w:tc>
          <w:tcPr>
            <w:tcW w:w="1482" w:type="dxa"/>
            <w:vAlign w:val="center"/>
          </w:tcPr>
          <w:p w14:paraId="387B37FA" w14:textId="13620666"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146,758</w:t>
            </w:r>
          </w:p>
        </w:tc>
        <w:tc>
          <w:tcPr>
            <w:tcW w:w="1482" w:type="dxa"/>
            <w:vAlign w:val="center"/>
          </w:tcPr>
          <w:p w14:paraId="6A1F425E" w14:textId="2F8DCD3F"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158,327</w:t>
            </w:r>
          </w:p>
        </w:tc>
      </w:tr>
      <w:tr w:rsidR="00DE583D" w:rsidRPr="005A1475" w14:paraId="0B51A2C8" w14:textId="77777777" w:rsidTr="009E3C42">
        <w:tc>
          <w:tcPr>
            <w:tcW w:w="1592" w:type="dxa"/>
            <w:shd w:val="clear" w:color="auto" w:fill="D9D9D9"/>
          </w:tcPr>
          <w:p w14:paraId="193E6F20"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Methylphenidate MR (Ritalin LA)</w:t>
            </w:r>
          </w:p>
        </w:tc>
        <w:tc>
          <w:tcPr>
            <w:tcW w:w="1481" w:type="dxa"/>
            <w:vAlign w:val="center"/>
          </w:tcPr>
          <w:p w14:paraId="0B39E4C3" w14:textId="3A5CCEB6"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89,259</w:t>
            </w:r>
          </w:p>
        </w:tc>
        <w:tc>
          <w:tcPr>
            <w:tcW w:w="1482" w:type="dxa"/>
            <w:vAlign w:val="center"/>
          </w:tcPr>
          <w:p w14:paraId="4709C0EA" w14:textId="72A3B418"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109,134</w:t>
            </w:r>
          </w:p>
        </w:tc>
        <w:tc>
          <w:tcPr>
            <w:tcW w:w="1481" w:type="dxa"/>
            <w:vAlign w:val="center"/>
          </w:tcPr>
          <w:p w14:paraId="5C3AB410" w14:textId="0CBBAEF5"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125,654</w:t>
            </w:r>
          </w:p>
        </w:tc>
        <w:tc>
          <w:tcPr>
            <w:tcW w:w="1482" w:type="dxa"/>
            <w:vAlign w:val="center"/>
          </w:tcPr>
          <w:p w14:paraId="531AA899" w14:textId="32304566"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134,483</w:t>
            </w:r>
          </w:p>
        </w:tc>
        <w:tc>
          <w:tcPr>
            <w:tcW w:w="1482" w:type="dxa"/>
            <w:vAlign w:val="center"/>
          </w:tcPr>
          <w:p w14:paraId="40C2C6CE" w14:textId="28503E19"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145,560</w:t>
            </w:r>
          </w:p>
        </w:tc>
      </w:tr>
      <w:tr w:rsidR="00DE583D" w:rsidRPr="005A1475" w14:paraId="46631C99" w14:textId="77777777" w:rsidTr="009E3C42">
        <w:tc>
          <w:tcPr>
            <w:tcW w:w="1592" w:type="dxa"/>
            <w:shd w:val="clear" w:color="auto" w:fill="D9D9D9"/>
          </w:tcPr>
          <w:p w14:paraId="55DE933E"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Methylphenidate MR (Concerta)</w:t>
            </w:r>
          </w:p>
        </w:tc>
        <w:tc>
          <w:tcPr>
            <w:tcW w:w="1481" w:type="dxa"/>
            <w:vAlign w:val="center"/>
          </w:tcPr>
          <w:p w14:paraId="56C3A164" w14:textId="0907B508"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226,573</w:t>
            </w:r>
          </w:p>
        </w:tc>
        <w:tc>
          <w:tcPr>
            <w:tcW w:w="1482" w:type="dxa"/>
            <w:vAlign w:val="center"/>
          </w:tcPr>
          <w:p w14:paraId="2A135A70" w14:textId="500772B6"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241,634</w:t>
            </w:r>
          </w:p>
        </w:tc>
        <w:tc>
          <w:tcPr>
            <w:tcW w:w="1481" w:type="dxa"/>
            <w:vAlign w:val="center"/>
          </w:tcPr>
          <w:p w14:paraId="43813DC0" w14:textId="511AB55F"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259,399</w:t>
            </w:r>
          </w:p>
        </w:tc>
        <w:tc>
          <w:tcPr>
            <w:tcW w:w="1482" w:type="dxa"/>
            <w:vAlign w:val="center"/>
          </w:tcPr>
          <w:p w14:paraId="502AB807" w14:textId="6AABBF68" w:rsidR="00DE583D" w:rsidRPr="000D7486" w:rsidRDefault="00DE583D" w:rsidP="009E3C42">
            <w:pPr>
              <w:autoSpaceDE w:val="0"/>
              <w:autoSpaceDN w:val="0"/>
              <w:adjustRightInd w:val="0"/>
              <w:spacing w:before="60" w:after="60"/>
              <w:jc w:val="center"/>
              <w:rPr>
                <w:rFonts w:ascii="Calibri" w:eastAsia="Times New Roman" w:hAnsi="Calibri" w:cs="Times New Roman"/>
                <w:color w:val="000000"/>
                <w:sz w:val="20"/>
                <w:szCs w:val="20"/>
              </w:rPr>
            </w:pPr>
            <w:r w:rsidRPr="000D7486">
              <w:rPr>
                <w:sz w:val="20"/>
                <w:szCs w:val="20"/>
              </w:rPr>
              <w:t>274,994</w:t>
            </w:r>
          </w:p>
        </w:tc>
        <w:tc>
          <w:tcPr>
            <w:tcW w:w="1482" w:type="dxa"/>
            <w:vAlign w:val="center"/>
          </w:tcPr>
          <w:p w14:paraId="11E2D71D" w14:textId="3EEDDFF9"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291,771</w:t>
            </w:r>
          </w:p>
        </w:tc>
      </w:tr>
      <w:tr w:rsidR="00DE583D" w:rsidRPr="005A1475" w14:paraId="74196956" w14:textId="77777777" w:rsidTr="009E3C42">
        <w:tc>
          <w:tcPr>
            <w:tcW w:w="1592" w:type="dxa"/>
            <w:shd w:val="clear" w:color="auto" w:fill="D9D9D9"/>
          </w:tcPr>
          <w:p w14:paraId="634CE1BC"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Atomoxetine</w:t>
            </w:r>
          </w:p>
        </w:tc>
        <w:tc>
          <w:tcPr>
            <w:tcW w:w="1481" w:type="dxa"/>
            <w:vAlign w:val="center"/>
          </w:tcPr>
          <w:p w14:paraId="177CE66E" w14:textId="53738B1F"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33,837</w:t>
            </w:r>
          </w:p>
        </w:tc>
        <w:tc>
          <w:tcPr>
            <w:tcW w:w="1482" w:type="dxa"/>
            <w:vAlign w:val="center"/>
          </w:tcPr>
          <w:p w14:paraId="2DA0CA7A" w14:textId="1149A0DF"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36,023</w:t>
            </w:r>
          </w:p>
        </w:tc>
        <w:tc>
          <w:tcPr>
            <w:tcW w:w="1481" w:type="dxa"/>
            <w:vAlign w:val="center"/>
          </w:tcPr>
          <w:p w14:paraId="0C846CDC" w14:textId="21DB6C3B"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37,242</w:t>
            </w:r>
          </w:p>
        </w:tc>
        <w:tc>
          <w:tcPr>
            <w:tcW w:w="1482" w:type="dxa"/>
            <w:vAlign w:val="center"/>
          </w:tcPr>
          <w:p w14:paraId="4F50F2C9" w14:textId="4E34B6CA"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38,175</w:t>
            </w:r>
          </w:p>
        </w:tc>
        <w:tc>
          <w:tcPr>
            <w:tcW w:w="1482" w:type="dxa"/>
            <w:vAlign w:val="center"/>
          </w:tcPr>
          <w:p w14:paraId="6F7EF211" w14:textId="7AC754A3"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39,074</w:t>
            </w:r>
          </w:p>
        </w:tc>
      </w:tr>
      <w:tr w:rsidR="00DE583D" w:rsidRPr="005A1475" w14:paraId="33E24CE1" w14:textId="77777777" w:rsidTr="009E3C42">
        <w:tc>
          <w:tcPr>
            <w:tcW w:w="1592" w:type="dxa"/>
            <w:shd w:val="clear" w:color="auto" w:fill="D9D9D9"/>
          </w:tcPr>
          <w:p w14:paraId="0DEB0F7E"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Total</w:t>
            </w:r>
          </w:p>
        </w:tc>
        <w:tc>
          <w:tcPr>
            <w:tcW w:w="1481" w:type="dxa"/>
            <w:vAlign w:val="center"/>
          </w:tcPr>
          <w:p w14:paraId="0DBE0302" w14:textId="3F79FDDD"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688,593</w:t>
            </w:r>
          </w:p>
        </w:tc>
        <w:tc>
          <w:tcPr>
            <w:tcW w:w="1482" w:type="dxa"/>
            <w:vAlign w:val="center"/>
          </w:tcPr>
          <w:p w14:paraId="4D8619F9" w14:textId="751D11B4"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723,515</w:t>
            </w:r>
          </w:p>
        </w:tc>
        <w:tc>
          <w:tcPr>
            <w:tcW w:w="1481" w:type="dxa"/>
            <w:vAlign w:val="center"/>
          </w:tcPr>
          <w:p w14:paraId="2C9F52C7" w14:textId="7CB9EC85"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788,287</w:t>
            </w:r>
          </w:p>
        </w:tc>
        <w:tc>
          <w:tcPr>
            <w:tcW w:w="1482" w:type="dxa"/>
            <w:vAlign w:val="center"/>
          </w:tcPr>
          <w:p w14:paraId="773776A7" w14:textId="20117183"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832,262</w:t>
            </w:r>
          </w:p>
        </w:tc>
        <w:tc>
          <w:tcPr>
            <w:tcW w:w="1482" w:type="dxa"/>
            <w:vAlign w:val="center"/>
          </w:tcPr>
          <w:p w14:paraId="25CFE71F" w14:textId="21F4FC0B"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877,206</w:t>
            </w:r>
          </w:p>
        </w:tc>
      </w:tr>
      <w:tr w:rsidR="00DE583D" w:rsidRPr="005A1475" w14:paraId="575F7787" w14:textId="77777777" w:rsidTr="009E3C42">
        <w:tc>
          <w:tcPr>
            <w:tcW w:w="1592" w:type="dxa"/>
            <w:shd w:val="clear" w:color="auto" w:fill="D9D9D9"/>
          </w:tcPr>
          <w:p w14:paraId="0BAC2B8F" w14:textId="77777777" w:rsidR="00DE583D" w:rsidRPr="005A1475" w:rsidRDefault="00DE583D" w:rsidP="0052799A">
            <w:pPr>
              <w:autoSpaceDE w:val="0"/>
              <w:autoSpaceDN w:val="0"/>
              <w:adjustRightInd w:val="0"/>
              <w:spacing w:before="60" w:after="60"/>
              <w:jc w:val="center"/>
              <w:rPr>
                <w:rFonts w:ascii="Calibri" w:hAnsi="Calibri" w:cs="Calibri"/>
                <w:b/>
                <w:sz w:val="20"/>
                <w:szCs w:val="20"/>
              </w:rPr>
            </w:pPr>
            <w:r w:rsidRPr="005A1475">
              <w:rPr>
                <w:rFonts w:ascii="Calibri" w:hAnsi="Calibri" w:cs="Calibri"/>
                <w:b/>
                <w:sz w:val="20"/>
                <w:szCs w:val="20"/>
              </w:rPr>
              <w:t>% growth from previous year</w:t>
            </w:r>
          </w:p>
        </w:tc>
        <w:tc>
          <w:tcPr>
            <w:tcW w:w="1481" w:type="dxa"/>
            <w:vAlign w:val="center"/>
          </w:tcPr>
          <w:p w14:paraId="670FBBED" w14:textId="77777777"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p>
        </w:tc>
        <w:tc>
          <w:tcPr>
            <w:tcW w:w="1482" w:type="dxa"/>
            <w:vAlign w:val="center"/>
          </w:tcPr>
          <w:p w14:paraId="61A96F07" w14:textId="77777777"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5.1%</w:t>
            </w:r>
          </w:p>
        </w:tc>
        <w:tc>
          <w:tcPr>
            <w:tcW w:w="1481" w:type="dxa"/>
            <w:vAlign w:val="center"/>
          </w:tcPr>
          <w:p w14:paraId="3C154A04" w14:textId="77777777"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9.0%</w:t>
            </w:r>
          </w:p>
        </w:tc>
        <w:tc>
          <w:tcPr>
            <w:tcW w:w="1482" w:type="dxa"/>
            <w:vAlign w:val="center"/>
          </w:tcPr>
          <w:p w14:paraId="17C55991" w14:textId="77777777"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5.6%</w:t>
            </w:r>
          </w:p>
        </w:tc>
        <w:tc>
          <w:tcPr>
            <w:tcW w:w="1482" w:type="dxa"/>
            <w:vAlign w:val="center"/>
          </w:tcPr>
          <w:p w14:paraId="0909C88D" w14:textId="77777777" w:rsidR="00DE583D" w:rsidRPr="000D7486" w:rsidRDefault="00DE583D" w:rsidP="009E3C42">
            <w:pPr>
              <w:autoSpaceDE w:val="0"/>
              <w:autoSpaceDN w:val="0"/>
              <w:adjustRightInd w:val="0"/>
              <w:spacing w:before="60" w:after="60"/>
              <w:jc w:val="center"/>
              <w:rPr>
                <w:rFonts w:ascii="Calibri" w:hAnsi="Calibri" w:cs="Calibri"/>
                <w:color w:val="000000"/>
                <w:sz w:val="20"/>
                <w:szCs w:val="20"/>
              </w:rPr>
            </w:pPr>
            <w:r w:rsidRPr="000D7486">
              <w:rPr>
                <w:sz w:val="20"/>
                <w:szCs w:val="20"/>
              </w:rPr>
              <w:t>5.4%</w:t>
            </w:r>
          </w:p>
        </w:tc>
      </w:tr>
    </w:tbl>
    <w:p w14:paraId="047959A0" w14:textId="77777777" w:rsidR="00DE583D" w:rsidRPr="005A1475" w:rsidRDefault="00DE583D" w:rsidP="00DE583D">
      <w:pPr>
        <w:rPr>
          <w:rFonts w:ascii="Calibri" w:eastAsia="MS Mincho" w:hAnsi="Calibri" w:cs="Baskerville"/>
          <w:sz w:val="20"/>
          <w:szCs w:val="20"/>
        </w:rPr>
      </w:pPr>
      <w:r w:rsidRPr="005A1475">
        <w:rPr>
          <w:rFonts w:ascii="Calibri" w:eastAsia="MS Mincho" w:hAnsi="Calibri" w:cs="Baskerville"/>
          <w:sz w:val="20"/>
          <w:szCs w:val="20"/>
        </w:rPr>
        <w:t>Source: DUSC drug utilisation database; extracted 2 April 2015</w:t>
      </w:r>
    </w:p>
    <w:p w14:paraId="3E7011F6" w14:textId="77777777" w:rsidR="00DE583D" w:rsidRDefault="00DE583D" w:rsidP="00DE583D">
      <w:pPr>
        <w:rPr>
          <w:rFonts w:ascii="Calibri" w:eastAsia="MS Mincho" w:hAnsi="Calibri" w:cs="Times New Roman"/>
        </w:rPr>
      </w:pPr>
      <w:r>
        <w:rPr>
          <w:rFonts w:ascii="Calibri" w:eastAsia="MS Mincho" w:hAnsi="Calibri" w:cs="Times New Roman"/>
        </w:rPr>
        <w:t>The number of prescriptions gives an overall measure of the utilisation of ADHD medicines. The relative use of medicines is not directly comparable because one prescription does not provide an equal number of days of therapy for all medicines. This is because the pack sizes vary, doses are titrated to optimal doses, and children generally use lower doses than adults. In the 2012 consideration of the utilisation of ADHD medicines, DUSC noted that DDD/1000population/day is also not an ideal measure of utilisation because the DDD specified by the WHO is based on average dose used for adults, while the ADHD population is predominantly children where doses used are lower. The current report focuses on the number of patients treated and the medicines used.</w:t>
      </w:r>
    </w:p>
    <w:p w14:paraId="6C6DE51A" w14:textId="77777777" w:rsidR="00DE583D" w:rsidRPr="002B64EF" w:rsidRDefault="00DE583D" w:rsidP="00DE583D">
      <w:pPr>
        <w:rPr>
          <w:rFonts w:ascii="Calibri" w:eastAsia="MS Mincho" w:hAnsi="Calibri" w:cs="Times New Roman"/>
        </w:rPr>
      </w:pPr>
      <w:r w:rsidRPr="002B64EF">
        <w:rPr>
          <w:rFonts w:ascii="Calibri" w:eastAsia="MS Mincho" w:hAnsi="Calibri" w:cs="Times New Roman"/>
        </w:rPr>
        <w:t xml:space="preserve">The higher growth in prescriptions in 2012 (9.0%) is likely due to the introduction of actual under co-payment data from April 2012, as the number of under co-payment prescriptions prior to this date may have been under-estimated. </w:t>
      </w:r>
    </w:p>
    <w:p w14:paraId="4EFB1560" w14:textId="0CC3A78E" w:rsidR="00DE583D" w:rsidRPr="000C5825" w:rsidRDefault="00DE583D" w:rsidP="00DE583D">
      <w:pPr>
        <w:rPr>
          <w:rFonts w:ascii="Calibri" w:eastAsia="MS Mincho" w:hAnsi="Calibri" w:cs="Times New Roman"/>
        </w:rPr>
      </w:pPr>
      <w:r w:rsidRPr="000C5825">
        <w:rPr>
          <w:rFonts w:ascii="Calibri" w:eastAsia="MS Mincho" w:hAnsi="Calibri" w:cs="Times New Roman"/>
        </w:rPr>
        <w:t xml:space="preserve">Table </w:t>
      </w:r>
      <w:r w:rsidR="00D7094B">
        <w:rPr>
          <w:rFonts w:ascii="Calibri" w:eastAsia="MS Mincho" w:hAnsi="Calibri" w:cs="Times New Roman"/>
        </w:rPr>
        <w:t>8</w:t>
      </w:r>
      <w:r w:rsidRPr="000C5825">
        <w:rPr>
          <w:rFonts w:ascii="Calibri" w:eastAsia="MS Mincho" w:hAnsi="Calibri" w:cs="Times New Roman"/>
        </w:rPr>
        <w:t xml:space="preserve"> shows the</w:t>
      </w:r>
      <w:r w:rsidR="00A8703D">
        <w:rPr>
          <w:rFonts w:ascii="Calibri" w:eastAsia="MS Mincho" w:hAnsi="Calibri" w:cs="Times New Roman"/>
        </w:rPr>
        <w:t xml:space="preserve"> medicines used in new patients. T</w:t>
      </w:r>
      <w:r w:rsidR="00D7094B">
        <w:rPr>
          <w:rFonts w:ascii="Calibri" w:eastAsia="MS Mincho" w:hAnsi="Calibri" w:cs="Times New Roman"/>
        </w:rPr>
        <w:t xml:space="preserve">able 9 shows the medicines used in </w:t>
      </w:r>
      <w:r w:rsidR="00A8703D">
        <w:rPr>
          <w:rFonts w:ascii="Calibri" w:eastAsia="MS Mincho" w:hAnsi="Calibri" w:cs="Times New Roman"/>
        </w:rPr>
        <w:t>all patients. In table 9</w:t>
      </w:r>
      <w:r w:rsidRPr="000C5825">
        <w:rPr>
          <w:rFonts w:ascii="Calibri" w:eastAsia="MS Mincho" w:hAnsi="Calibri" w:cs="Times New Roman"/>
        </w:rPr>
        <w:t xml:space="preserve"> the total number of people is fewer than the sum of the number of people for each drug, as people may be supplied with more than one medicine over the calendar year.</w:t>
      </w:r>
    </w:p>
    <w:p w14:paraId="116FD22E" w14:textId="5057586B" w:rsidR="00DE583D" w:rsidRPr="0068248A" w:rsidRDefault="00DE583D" w:rsidP="00075A88">
      <w:pPr>
        <w:pStyle w:val="Tabletitle"/>
      </w:pPr>
      <w:r w:rsidRPr="000C5825">
        <w:t xml:space="preserve">Table </w:t>
      </w:r>
      <w:r w:rsidR="00D7094B">
        <w:t>8</w:t>
      </w:r>
      <w:r w:rsidRPr="000C5825">
        <w:t>: Number</w:t>
      </w:r>
      <w:r w:rsidRPr="0068248A">
        <w:t xml:space="preserve"> of </w:t>
      </w:r>
      <w:r w:rsidR="00D53299">
        <w:t>new patients</w:t>
      </w:r>
      <w:r w:rsidRPr="0068248A">
        <w:t xml:space="preserve"> treated with </w:t>
      </w:r>
      <w:r>
        <w:t xml:space="preserve">each </w:t>
      </w:r>
      <w:r w:rsidRPr="0068248A">
        <w:t>ADHD medicine.</w:t>
      </w:r>
    </w:p>
    <w:tbl>
      <w:tblPr>
        <w:tblStyle w:val="TableGrid"/>
        <w:tblW w:w="8818" w:type="dxa"/>
        <w:tblLayout w:type="fixed"/>
        <w:tblLook w:val="04A0" w:firstRow="1" w:lastRow="0" w:firstColumn="1" w:lastColumn="0" w:noHBand="0" w:noVBand="1"/>
        <w:tblCaption w:val="The name of the ADHD medicine is in the first column, read across for the number of new patients treated with ADHD medicines each year from 2010 to 2014 inclusive"/>
      </w:tblPr>
      <w:tblGrid>
        <w:gridCol w:w="3856"/>
        <w:gridCol w:w="992"/>
        <w:gridCol w:w="992"/>
        <w:gridCol w:w="993"/>
        <w:gridCol w:w="992"/>
        <w:gridCol w:w="993"/>
      </w:tblGrid>
      <w:tr w:rsidR="00DE583D" w:rsidRPr="00DE754D" w14:paraId="509AD042" w14:textId="77777777" w:rsidTr="00AF47E7">
        <w:trPr>
          <w:trHeight w:val="297"/>
          <w:tblHeader/>
        </w:trPr>
        <w:tc>
          <w:tcPr>
            <w:tcW w:w="3856" w:type="dxa"/>
            <w:shd w:val="clear" w:color="auto" w:fill="D9D9D9" w:themeFill="background1" w:themeFillShade="D9"/>
            <w:noWrap/>
            <w:hideMark/>
          </w:tcPr>
          <w:p w14:paraId="09DEDB12" w14:textId="32966C5A" w:rsidR="00DE583D" w:rsidRPr="00AF47E7" w:rsidRDefault="00D53299" w:rsidP="0052799A">
            <w:pPr>
              <w:rPr>
                <w:rFonts w:ascii="Calibri" w:eastAsia="Times New Roman" w:hAnsi="Calibri" w:cs="Times New Roman"/>
                <w:b/>
                <w:sz w:val="20"/>
                <w:szCs w:val="20"/>
              </w:rPr>
            </w:pPr>
            <w:r w:rsidRPr="00AF47E7">
              <w:rPr>
                <w:rFonts w:ascii="Calibri" w:eastAsia="Times New Roman" w:hAnsi="Calibri" w:cs="Times New Roman"/>
                <w:b/>
                <w:sz w:val="20"/>
                <w:szCs w:val="20"/>
              </w:rPr>
              <w:t>ADHD Medicine Name</w:t>
            </w:r>
          </w:p>
        </w:tc>
        <w:tc>
          <w:tcPr>
            <w:tcW w:w="992" w:type="dxa"/>
            <w:shd w:val="clear" w:color="auto" w:fill="D9D9D9" w:themeFill="background1" w:themeFillShade="D9"/>
            <w:noWrap/>
            <w:vAlign w:val="center"/>
          </w:tcPr>
          <w:p w14:paraId="45870965" w14:textId="77777777" w:rsidR="00DE583D" w:rsidRPr="00AF47E7" w:rsidRDefault="00DE583D" w:rsidP="00AF47E7">
            <w:pPr>
              <w:jc w:val="center"/>
              <w:rPr>
                <w:rFonts w:ascii="Calibri" w:eastAsia="Times New Roman" w:hAnsi="Calibri" w:cs="Times New Roman"/>
                <w:b/>
                <w:sz w:val="20"/>
                <w:szCs w:val="20"/>
              </w:rPr>
            </w:pPr>
            <w:r w:rsidRPr="00AF47E7">
              <w:rPr>
                <w:rFonts w:ascii="Calibri" w:eastAsia="Times New Roman" w:hAnsi="Calibri" w:cs="Times New Roman"/>
                <w:b/>
                <w:sz w:val="20"/>
                <w:szCs w:val="20"/>
              </w:rPr>
              <w:t>2010</w:t>
            </w:r>
          </w:p>
        </w:tc>
        <w:tc>
          <w:tcPr>
            <w:tcW w:w="992" w:type="dxa"/>
            <w:shd w:val="clear" w:color="auto" w:fill="D9D9D9" w:themeFill="background1" w:themeFillShade="D9"/>
            <w:noWrap/>
            <w:vAlign w:val="center"/>
          </w:tcPr>
          <w:p w14:paraId="688048F2" w14:textId="77777777" w:rsidR="00DE583D" w:rsidRPr="00AF47E7" w:rsidRDefault="00DE583D" w:rsidP="00AF47E7">
            <w:pPr>
              <w:jc w:val="center"/>
              <w:rPr>
                <w:rFonts w:ascii="Calibri" w:eastAsia="Times New Roman" w:hAnsi="Calibri" w:cs="Times New Roman"/>
                <w:b/>
                <w:sz w:val="20"/>
                <w:szCs w:val="20"/>
              </w:rPr>
            </w:pPr>
            <w:r w:rsidRPr="00AF47E7">
              <w:rPr>
                <w:rFonts w:ascii="Calibri" w:eastAsia="Times New Roman" w:hAnsi="Calibri" w:cs="Times New Roman"/>
                <w:b/>
                <w:sz w:val="20"/>
                <w:szCs w:val="20"/>
              </w:rPr>
              <w:t>2011</w:t>
            </w:r>
          </w:p>
        </w:tc>
        <w:tc>
          <w:tcPr>
            <w:tcW w:w="993" w:type="dxa"/>
            <w:shd w:val="clear" w:color="auto" w:fill="D9D9D9" w:themeFill="background1" w:themeFillShade="D9"/>
            <w:noWrap/>
            <w:vAlign w:val="center"/>
          </w:tcPr>
          <w:p w14:paraId="1C7B6347" w14:textId="77777777" w:rsidR="00DE583D" w:rsidRPr="00AF47E7" w:rsidRDefault="00DE583D" w:rsidP="00AF47E7">
            <w:pPr>
              <w:jc w:val="center"/>
              <w:rPr>
                <w:rFonts w:ascii="Calibri" w:eastAsia="Times New Roman" w:hAnsi="Calibri" w:cs="Times New Roman"/>
                <w:b/>
                <w:sz w:val="20"/>
                <w:szCs w:val="20"/>
              </w:rPr>
            </w:pPr>
            <w:r w:rsidRPr="00AF47E7">
              <w:rPr>
                <w:rFonts w:ascii="Calibri" w:eastAsia="Times New Roman" w:hAnsi="Calibri" w:cs="Times New Roman"/>
                <w:b/>
                <w:sz w:val="20"/>
                <w:szCs w:val="20"/>
              </w:rPr>
              <w:t>2012</w:t>
            </w:r>
          </w:p>
        </w:tc>
        <w:tc>
          <w:tcPr>
            <w:tcW w:w="992" w:type="dxa"/>
            <w:shd w:val="clear" w:color="auto" w:fill="D9D9D9" w:themeFill="background1" w:themeFillShade="D9"/>
            <w:noWrap/>
            <w:vAlign w:val="center"/>
          </w:tcPr>
          <w:p w14:paraId="449C5BD5" w14:textId="77777777" w:rsidR="00DE583D" w:rsidRPr="00AF47E7" w:rsidRDefault="00DE583D" w:rsidP="00AF47E7">
            <w:pPr>
              <w:jc w:val="center"/>
              <w:rPr>
                <w:rFonts w:ascii="Calibri" w:eastAsia="Times New Roman" w:hAnsi="Calibri" w:cs="Times New Roman"/>
                <w:b/>
                <w:sz w:val="20"/>
                <w:szCs w:val="20"/>
              </w:rPr>
            </w:pPr>
            <w:r w:rsidRPr="00AF47E7">
              <w:rPr>
                <w:rFonts w:ascii="Calibri" w:eastAsia="Times New Roman" w:hAnsi="Calibri" w:cs="Times New Roman"/>
                <w:b/>
                <w:sz w:val="20"/>
                <w:szCs w:val="20"/>
              </w:rPr>
              <w:t>2013</w:t>
            </w:r>
          </w:p>
        </w:tc>
        <w:tc>
          <w:tcPr>
            <w:tcW w:w="993" w:type="dxa"/>
            <w:shd w:val="clear" w:color="auto" w:fill="D9D9D9" w:themeFill="background1" w:themeFillShade="D9"/>
            <w:noWrap/>
            <w:vAlign w:val="center"/>
          </w:tcPr>
          <w:p w14:paraId="3D7BC755" w14:textId="77777777" w:rsidR="00DE583D" w:rsidRPr="00AF47E7" w:rsidRDefault="00DE583D" w:rsidP="00AF47E7">
            <w:pPr>
              <w:jc w:val="center"/>
              <w:rPr>
                <w:rFonts w:ascii="Calibri" w:eastAsia="Times New Roman" w:hAnsi="Calibri" w:cs="Times New Roman"/>
                <w:b/>
                <w:sz w:val="20"/>
                <w:szCs w:val="20"/>
              </w:rPr>
            </w:pPr>
            <w:r w:rsidRPr="00AF47E7">
              <w:rPr>
                <w:rFonts w:ascii="Calibri" w:eastAsia="Times New Roman" w:hAnsi="Calibri" w:cs="Times New Roman"/>
                <w:b/>
                <w:sz w:val="20"/>
                <w:szCs w:val="20"/>
              </w:rPr>
              <w:t>2014</w:t>
            </w:r>
          </w:p>
        </w:tc>
      </w:tr>
      <w:tr w:rsidR="00DE583D" w:rsidRPr="005A1475" w14:paraId="519EB0C0" w14:textId="77777777" w:rsidTr="00AF47E7">
        <w:trPr>
          <w:trHeight w:val="297"/>
        </w:trPr>
        <w:tc>
          <w:tcPr>
            <w:tcW w:w="3856" w:type="dxa"/>
            <w:noWrap/>
          </w:tcPr>
          <w:p w14:paraId="13BE64F4" w14:textId="77777777" w:rsidR="00DE583D" w:rsidRPr="00AF47E7" w:rsidRDefault="00DE583D" w:rsidP="0052799A">
            <w:pPr>
              <w:rPr>
                <w:rFonts w:ascii="Calibri" w:eastAsia="Times New Roman" w:hAnsi="Calibri" w:cs="Times New Roman"/>
                <w:sz w:val="20"/>
                <w:szCs w:val="20"/>
              </w:rPr>
            </w:pPr>
            <w:r w:rsidRPr="00AF47E7">
              <w:rPr>
                <w:rFonts w:ascii="Calibri" w:eastAsia="Times New Roman" w:hAnsi="Calibri" w:cs="Times New Roman"/>
                <w:sz w:val="20"/>
                <w:szCs w:val="20"/>
              </w:rPr>
              <w:t>Dexamphetamine</w:t>
            </w:r>
          </w:p>
        </w:tc>
        <w:tc>
          <w:tcPr>
            <w:tcW w:w="992" w:type="dxa"/>
            <w:noWrap/>
            <w:vAlign w:val="center"/>
          </w:tcPr>
          <w:p w14:paraId="0A3398F2" w14:textId="1D0419A7" w:rsidR="00DE583D" w:rsidRPr="00AF47E7" w:rsidRDefault="00DE583D" w:rsidP="00AF47E7">
            <w:pPr>
              <w:jc w:val="center"/>
              <w:rPr>
                <w:sz w:val="20"/>
                <w:szCs w:val="20"/>
              </w:rPr>
            </w:pPr>
            <w:r w:rsidRPr="00AF47E7">
              <w:rPr>
                <w:sz w:val="20"/>
                <w:szCs w:val="20"/>
              </w:rPr>
              <w:t>4,397</w:t>
            </w:r>
          </w:p>
        </w:tc>
        <w:tc>
          <w:tcPr>
            <w:tcW w:w="992" w:type="dxa"/>
            <w:noWrap/>
            <w:vAlign w:val="center"/>
          </w:tcPr>
          <w:p w14:paraId="787F2725" w14:textId="0B11C1F3" w:rsidR="00DE583D" w:rsidRPr="00AF47E7" w:rsidRDefault="00DE583D" w:rsidP="00AF47E7">
            <w:pPr>
              <w:jc w:val="center"/>
              <w:rPr>
                <w:sz w:val="20"/>
                <w:szCs w:val="20"/>
              </w:rPr>
            </w:pPr>
            <w:r w:rsidRPr="00AF47E7">
              <w:rPr>
                <w:sz w:val="20"/>
                <w:szCs w:val="20"/>
              </w:rPr>
              <w:t>4,508</w:t>
            </w:r>
          </w:p>
        </w:tc>
        <w:tc>
          <w:tcPr>
            <w:tcW w:w="993" w:type="dxa"/>
            <w:noWrap/>
            <w:vAlign w:val="center"/>
          </w:tcPr>
          <w:p w14:paraId="410DAF3A" w14:textId="0FA907B7" w:rsidR="00DE583D" w:rsidRPr="00AF47E7" w:rsidRDefault="00DE583D" w:rsidP="00AF47E7">
            <w:pPr>
              <w:jc w:val="center"/>
              <w:rPr>
                <w:sz w:val="20"/>
                <w:szCs w:val="20"/>
              </w:rPr>
            </w:pPr>
            <w:r w:rsidRPr="00AF47E7">
              <w:rPr>
                <w:sz w:val="20"/>
                <w:szCs w:val="20"/>
              </w:rPr>
              <w:t>4,355</w:t>
            </w:r>
          </w:p>
        </w:tc>
        <w:tc>
          <w:tcPr>
            <w:tcW w:w="992" w:type="dxa"/>
            <w:noWrap/>
            <w:vAlign w:val="center"/>
          </w:tcPr>
          <w:p w14:paraId="4508166B" w14:textId="3B7433DC" w:rsidR="00DE583D" w:rsidRPr="00AF47E7" w:rsidRDefault="00DE583D" w:rsidP="00AF47E7">
            <w:pPr>
              <w:jc w:val="center"/>
              <w:rPr>
                <w:sz w:val="20"/>
                <w:szCs w:val="20"/>
              </w:rPr>
            </w:pPr>
            <w:r w:rsidRPr="00AF47E7">
              <w:rPr>
                <w:sz w:val="20"/>
                <w:szCs w:val="20"/>
              </w:rPr>
              <w:t>4,452</w:t>
            </w:r>
          </w:p>
        </w:tc>
        <w:tc>
          <w:tcPr>
            <w:tcW w:w="993" w:type="dxa"/>
            <w:noWrap/>
            <w:vAlign w:val="center"/>
          </w:tcPr>
          <w:p w14:paraId="6250D23F" w14:textId="4A81BBFD" w:rsidR="00DE583D" w:rsidRPr="00AF47E7" w:rsidRDefault="00DE583D" w:rsidP="00AF47E7">
            <w:pPr>
              <w:jc w:val="center"/>
              <w:rPr>
                <w:sz w:val="20"/>
                <w:szCs w:val="20"/>
              </w:rPr>
            </w:pPr>
            <w:r w:rsidRPr="00AF47E7">
              <w:rPr>
                <w:sz w:val="20"/>
                <w:szCs w:val="20"/>
              </w:rPr>
              <w:t>4,636</w:t>
            </w:r>
          </w:p>
        </w:tc>
      </w:tr>
      <w:tr w:rsidR="00DE583D" w:rsidRPr="005A1475" w14:paraId="3A04D1CC" w14:textId="77777777" w:rsidTr="00AF47E7">
        <w:trPr>
          <w:trHeight w:val="297"/>
        </w:trPr>
        <w:tc>
          <w:tcPr>
            <w:tcW w:w="3856" w:type="dxa"/>
            <w:noWrap/>
          </w:tcPr>
          <w:p w14:paraId="4FEF84E0" w14:textId="77777777" w:rsidR="00DE583D" w:rsidRPr="00AF47E7" w:rsidRDefault="00DE583D" w:rsidP="0052799A">
            <w:pPr>
              <w:rPr>
                <w:rFonts w:ascii="Calibri" w:eastAsia="Times New Roman" w:hAnsi="Calibri" w:cs="Times New Roman"/>
                <w:sz w:val="20"/>
                <w:szCs w:val="20"/>
              </w:rPr>
            </w:pPr>
            <w:r w:rsidRPr="00AF47E7">
              <w:rPr>
                <w:rFonts w:ascii="Calibri" w:eastAsia="Times New Roman" w:hAnsi="Calibri" w:cs="Times New Roman"/>
                <w:sz w:val="20"/>
                <w:szCs w:val="20"/>
              </w:rPr>
              <w:t>Methylphenidate IR</w:t>
            </w:r>
          </w:p>
        </w:tc>
        <w:tc>
          <w:tcPr>
            <w:tcW w:w="992" w:type="dxa"/>
            <w:noWrap/>
            <w:vAlign w:val="center"/>
          </w:tcPr>
          <w:p w14:paraId="32C95806" w14:textId="52577755" w:rsidR="00DE583D" w:rsidRPr="00AF47E7" w:rsidRDefault="00DE583D" w:rsidP="00AF47E7">
            <w:pPr>
              <w:jc w:val="center"/>
              <w:rPr>
                <w:sz w:val="20"/>
                <w:szCs w:val="20"/>
              </w:rPr>
            </w:pPr>
            <w:r w:rsidRPr="00AF47E7">
              <w:rPr>
                <w:sz w:val="20"/>
                <w:szCs w:val="20"/>
              </w:rPr>
              <w:t>11,498</w:t>
            </w:r>
          </w:p>
        </w:tc>
        <w:tc>
          <w:tcPr>
            <w:tcW w:w="992" w:type="dxa"/>
            <w:noWrap/>
            <w:vAlign w:val="center"/>
          </w:tcPr>
          <w:p w14:paraId="71429F11" w14:textId="45C0292A" w:rsidR="00DE583D" w:rsidRPr="00AF47E7" w:rsidRDefault="00DE583D" w:rsidP="00AF47E7">
            <w:pPr>
              <w:jc w:val="center"/>
              <w:rPr>
                <w:sz w:val="20"/>
                <w:szCs w:val="20"/>
              </w:rPr>
            </w:pPr>
            <w:r w:rsidRPr="00AF47E7">
              <w:rPr>
                <w:sz w:val="20"/>
                <w:szCs w:val="20"/>
              </w:rPr>
              <w:t>13,497</w:t>
            </w:r>
          </w:p>
        </w:tc>
        <w:tc>
          <w:tcPr>
            <w:tcW w:w="993" w:type="dxa"/>
            <w:noWrap/>
            <w:vAlign w:val="center"/>
          </w:tcPr>
          <w:p w14:paraId="23DD348E" w14:textId="045FDEED" w:rsidR="00DE583D" w:rsidRPr="00AF47E7" w:rsidRDefault="00DE583D" w:rsidP="00AF47E7">
            <w:pPr>
              <w:jc w:val="center"/>
              <w:rPr>
                <w:sz w:val="20"/>
                <w:szCs w:val="20"/>
              </w:rPr>
            </w:pPr>
            <w:r w:rsidRPr="00AF47E7">
              <w:rPr>
                <w:sz w:val="20"/>
                <w:szCs w:val="20"/>
              </w:rPr>
              <w:t>14,937</w:t>
            </w:r>
          </w:p>
        </w:tc>
        <w:tc>
          <w:tcPr>
            <w:tcW w:w="992" w:type="dxa"/>
            <w:noWrap/>
            <w:vAlign w:val="center"/>
          </w:tcPr>
          <w:p w14:paraId="7835FC48" w14:textId="7ABFF04C" w:rsidR="00DE583D" w:rsidRPr="00AF47E7" w:rsidRDefault="00DE583D" w:rsidP="00AF47E7">
            <w:pPr>
              <w:jc w:val="center"/>
              <w:rPr>
                <w:sz w:val="20"/>
                <w:szCs w:val="20"/>
              </w:rPr>
            </w:pPr>
            <w:r w:rsidRPr="00AF47E7">
              <w:rPr>
                <w:sz w:val="20"/>
                <w:szCs w:val="20"/>
              </w:rPr>
              <w:t>16,346</w:t>
            </w:r>
          </w:p>
        </w:tc>
        <w:tc>
          <w:tcPr>
            <w:tcW w:w="993" w:type="dxa"/>
            <w:noWrap/>
            <w:vAlign w:val="center"/>
          </w:tcPr>
          <w:p w14:paraId="4A1C480C" w14:textId="357DF13E" w:rsidR="00DE583D" w:rsidRPr="00AF47E7" w:rsidRDefault="00DE583D" w:rsidP="00AF47E7">
            <w:pPr>
              <w:jc w:val="center"/>
              <w:rPr>
                <w:sz w:val="20"/>
                <w:szCs w:val="20"/>
              </w:rPr>
            </w:pPr>
            <w:r w:rsidRPr="00AF47E7">
              <w:rPr>
                <w:sz w:val="20"/>
                <w:szCs w:val="20"/>
              </w:rPr>
              <w:t>16,970</w:t>
            </w:r>
          </w:p>
        </w:tc>
      </w:tr>
      <w:tr w:rsidR="00DE583D" w:rsidRPr="005A1475" w14:paraId="6F6740E5" w14:textId="77777777" w:rsidTr="00AF47E7">
        <w:trPr>
          <w:trHeight w:val="297"/>
        </w:trPr>
        <w:tc>
          <w:tcPr>
            <w:tcW w:w="3856" w:type="dxa"/>
            <w:noWrap/>
          </w:tcPr>
          <w:p w14:paraId="65F145FD" w14:textId="77777777" w:rsidR="00DE583D" w:rsidRPr="00AF47E7" w:rsidRDefault="00DE583D" w:rsidP="0052799A">
            <w:pPr>
              <w:rPr>
                <w:rFonts w:ascii="Calibri" w:eastAsia="Times New Roman" w:hAnsi="Calibri" w:cs="Times New Roman"/>
                <w:sz w:val="20"/>
                <w:szCs w:val="20"/>
              </w:rPr>
            </w:pPr>
            <w:r w:rsidRPr="00AF47E7">
              <w:rPr>
                <w:rFonts w:ascii="Calibri" w:eastAsia="Times New Roman" w:hAnsi="Calibri" w:cs="Times New Roman"/>
                <w:sz w:val="20"/>
                <w:szCs w:val="20"/>
              </w:rPr>
              <w:t>Methylphenidate MR (8 hour coverage)</w:t>
            </w:r>
          </w:p>
        </w:tc>
        <w:tc>
          <w:tcPr>
            <w:tcW w:w="992" w:type="dxa"/>
            <w:noWrap/>
            <w:vAlign w:val="center"/>
          </w:tcPr>
          <w:p w14:paraId="7416F4AA" w14:textId="04CBB448" w:rsidR="00DE583D" w:rsidRPr="00AF47E7" w:rsidRDefault="00DE583D" w:rsidP="00AF47E7">
            <w:pPr>
              <w:jc w:val="center"/>
              <w:rPr>
                <w:sz w:val="20"/>
                <w:szCs w:val="20"/>
              </w:rPr>
            </w:pPr>
            <w:r w:rsidRPr="00AF47E7">
              <w:rPr>
                <w:sz w:val="20"/>
                <w:szCs w:val="20"/>
              </w:rPr>
              <w:t>1,030</w:t>
            </w:r>
          </w:p>
        </w:tc>
        <w:tc>
          <w:tcPr>
            <w:tcW w:w="992" w:type="dxa"/>
            <w:noWrap/>
            <w:vAlign w:val="center"/>
          </w:tcPr>
          <w:p w14:paraId="2FB52455" w14:textId="620A414A" w:rsidR="00DE583D" w:rsidRPr="00AF47E7" w:rsidRDefault="00DE583D" w:rsidP="00AF47E7">
            <w:pPr>
              <w:jc w:val="center"/>
              <w:rPr>
                <w:sz w:val="20"/>
                <w:szCs w:val="20"/>
              </w:rPr>
            </w:pPr>
            <w:r w:rsidRPr="00AF47E7">
              <w:rPr>
                <w:sz w:val="20"/>
                <w:szCs w:val="20"/>
              </w:rPr>
              <w:t>977</w:t>
            </w:r>
          </w:p>
        </w:tc>
        <w:tc>
          <w:tcPr>
            <w:tcW w:w="993" w:type="dxa"/>
            <w:noWrap/>
            <w:vAlign w:val="center"/>
          </w:tcPr>
          <w:p w14:paraId="533F8D0C" w14:textId="0FE8B151" w:rsidR="00DE583D" w:rsidRPr="00AF47E7" w:rsidRDefault="00DE583D" w:rsidP="00AF47E7">
            <w:pPr>
              <w:jc w:val="center"/>
              <w:rPr>
                <w:sz w:val="20"/>
                <w:szCs w:val="20"/>
              </w:rPr>
            </w:pPr>
            <w:r w:rsidRPr="00AF47E7">
              <w:rPr>
                <w:sz w:val="20"/>
                <w:szCs w:val="20"/>
              </w:rPr>
              <w:t>993</w:t>
            </w:r>
          </w:p>
        </w:tc>
        <w:tc>
          <w:tcPr>
            <w:tcW w:w="992" w:type="dxa"/>
            <w:noWrap/>
            <w:vAlign w:val="center"/>
          </w:tcPr>
          <w:p w14:paraId="4812D9BA" w14:textId="7A45077E" w:rsidR="00DE583D" w:rsidRPr="00AF47E7" w:rsidRDefault="00DE583D" w:rsidP="00AF47E7">
            <w:pPr>
              <w:jc w:val="center"/>
              <w:rPr>
                <w:sz w:val="20"/>
                <w:szCs w:val="20"/>
              </w:rPr>
            </w:pPr>
            <w:r w:rsidRPr="00AF47E7">
              <w:rPr>
                <w:sz w:val="20"/>
                <w:szCs w:val="20"/>
              </w:rPr>
              <w:t>946</w:t>
            </w:r>
          </w:p>
        </w:tc>
        <w:tc>
          <w:tcPr>
            <w:tcW w:w="993" w:type="dxa"/>
            <w:noWrap/>
            <w:vAlign w:val="center"/>
          </w:tcPr>
          <w:p w14:paraId="1637A2A5" w14:textId="5F0F15A3" w:rsidR="00DE583D" w:rsidRPr="00AF47E7" w:rsidRDefault="00DE583D" w:rsidP="00AF47E7">
            <w:pPr>
              <w:jc w:val="center"/>
              <w:rPr>
                <w:sz w:val="20"/>
                <w:szCs w:val="20"/>
              </w:rPr>
            </w:pPr>
            <w:r w:rsidRPr="00AF47E7">
              <w:rPr>
                <w:sz w:val="20"/>
                <w:szCs w:val="20"/>
              </w:rPr>
              <w:t>932</w:t>
            </w:r>
          </w:p>
        </w:tc>
      </w:tr>
      <w:tr w:rsidR="00DE583D" w:rsidRPr="005A1475" w14:paraId="694ED69D" w14:textId="77777777" w:rsidTr="00AF47E7">
        <w:trPr>
          <w:trHeight w:val="297"/>
        </w:trPr>
        <w:tc>
          <w:tcPr>
            <w:tcW w:w="3856" w:type="dxa"/>
            <w:noWrap/>
          </w:tcPr>
          <w:p w14:paraId="673190CB" w14:textId="77777777" w:rsidR="00DE583D" w:rsidRPr="00AF47E7" w:rsidRDefault="00DE583D" w:rsidP="0052799A">
            <w:pPr>
              <w:rPr>
                <w:rFonts w:ascii="Calibri" w:eastAsia="Times New Roman" w:hAnsi="Calibri" w:cs="Times New Roman"/>
                <w:sz w:val="20"/>
                <w:szCs w:val="20"/>
              </w:rPr>
            </w:pPr>
            <w:r w:rsidRPr="00AF47E7">
              <w:rPr>
                <w:rFonts w:ascii="Calibri" w:eastAsia="Times New Roman" w:hAnsi="Calibri" w:cs="Times New Roman"/>
                <w:sz w:val="20"/>
                <w:szCs w:val="20"/>
              </w:rPr>
              <w:t>Methylphenidate MR (12 hour coverage)</w:t>
            </w:r>
          </w:p>
        </w:tc>
        <w:tc>
          <w:tcPr>
            <w:tcW w:w="992" w:type="dxa"/>
            <w:noWrap/>
            <w:vAlign w:val="center"/>
          </w:tcPr>
          <w:p w14:paraId="738CA278" w14:textId="727EBB9B" w:rsidR="00DE583D" w:rsidRPr="00AF47E7" w:rsidRDefault="00DE583D" w:rsidP="00AF47E7">
            <w:pPr>
              <w:jc w:val="center"/>
              <w:rPr>
                <w:sz w:val="20"/>
                <w:szCs w:val="20"/>
              </w:rPr>
            </w:pPr>
            <w:r w:rsidRPr="00AF47E7">
              <w:rPr>
                <w:sz w:val="20"/>
                <w:szCs w:val="20"/>
              </w:rPr>
              <w:t>1,257</w:t>
            </w:r>
          </w:p>
        </w:tc>
        <w:tc>
          <w:tcPr>
            <w:tcW w:w="992" w:type="dxa"/>
            <w:noWrap/>
            <w:vAlign w:val="center"/>
          </w:tcPr>
          <w:p w14:paraId="7541D6EB" w14:textId="5113C82B" w:rsidR="00DE583D" w:rsidRPr="00AF47E7" w:rsidRDefault="00DE583D" w:rsidP="00AF47E7">
            <w:pPr>
              <w:jc w:val="center"/>
              <w:rPr>
                <w:sz w:val="20"/>
                <w:szCs w:val="20"/>
              </w:rPr>
            </w:pPr>
            <w:r w:rsidRPr="00AF47E7">
              <w:rPr>
                <w:sz w:val="20"/>
                <w:szCs w:val="20"/>
              </w:rPr>
              <w:t>1,096</w:t>
            </w:r>
          </w:p>
        </w:tc>
        <w:tc>
          <w:tcPr>
            <w:tcW w:w="993" w:type="dxa"/>
            <w:noWrap/>
            <w:vAlign w:val="center"/>
          </w:tcPr>
          <w:p w14:paraId="79DEE2D7" w14:textId="4A9AF139" w:rsidR="00DE583D" w:rsidRPr="00AF47E7" w:rsidRDefault="00DE583D" w:rsidP="00AF47E7">
            <w:pPr>
              <w:jc w:val="center"/>
              <w:rPr>
                <w:sz w:val="20"/>
                <w:szCs w:val="20"/>
              </w:rPr>
            </w:pPr>
            <w:r w:rsidRPr="00AF47E7">
              <w:rPr>
                <w:sz w:val="20"/>
                <w:szCs w:val="20"/>
              </w:rPr>
              <w:t>1,104</w:t>
            </w:r>
          </w:p>
        </w:tc>
        <w:tc>
          <w:tcPr>
            <w:tcW w:w="992" w:type="dxa"/>
            <w:noWrap/>
            <w:vAlign w:val="center"/>
          </w:tcPr>
          <w:p w14:paraId="76B13A7A" w14:textId="63876E39" w:rsidR="00DE583D" w:rsidRPr="00AF47E7" w:rsidRDefault="00DE583D" w:rsidP="00AF47E7">
            <w:pPr>
              <w:jc w:val="center"/>
              <w:rPr>
                <w:sz w:val="20"/>
                <w:szCs w:val="20"/>
              </w:rPr>
            </w:pPr>
            <w:r w:rsidRPr="00AF47E7">
              <w:rPr>
                <w:sz w:val="20"/>
                <w:szCs w:val="20"/>
              </w:rPr>
              <w:t>1,041</w:t>
            </w:r>
          </w:p>
        </w:tc>
        <w:tc>
          <w:tcPr>
            <w:tcW w:w="993" w:type="dxa"/>
            <w:noWrap/>
            <w:vAlign w:val="center"/>
          </w:tcPr>
          <w:p w14:paraId="081D5B93" w14:textId="534D32E4" w:rsidR="00DE583D" w:rsidRPr="00AF47E7" w:rsidRDefault="00DE583D" w:rsidP="00AF47E7">
            <w:pPr>
              <w:jc w:val="center"/>
              <w:rPr>
                <w:sz w:val="20"/>
                <w:szCs w:val="20"/>
              </w:rPr>
            </w:pPr>
            <w:r w:rsidRPr="00AF47E7">
              <w:rPr>
                <w:sz w:val="20"/>
                <w:szCs w:val="20"/>
              </w:rPr>
              <w:t>1,022</w:t>
            </w:r>
          </w:p>
        </w:tc>
      </w:tr>
      <w:tr w:rsidR="00DE583D" w:rsidRPr="005A1475" w14:paraId="1F9C00CB" w14:textId="77777777" w:rsidTr="00AF47E7">
        <w:trPr>
          <w:trHeight w:val="297"/>
        </w:trPr>
        <w:tc>
          <w:tcPr>
            <w:tcW w:w="3856" w:type="dxa"/>
            <w:noWrap/>
          </w:tcPr>
          <w:p w14:paraId="108C386E" w14:textId="77777777" w:rsidR="00DE583D" w:rsidRPr="00AF47E7" w:rsidRDefault="00DE583D" w:rsidP="0052799A">
            <w:pPr>
              <w:rPr>
                <w:rFonts w:ascii="Calibri" w:eastAsia="Times New Roman" w:hAnsi="Calibri" w:cs="Times New Roman"/>
                <w:sz w:val="20"/>
                <w:szCs w:val="20"/>
              </w:rPr>
            </w:pPr>
            <w:r w:rsidRPr="00AF47E7">
              <w:rPr>
                <w:rFonts w:ascii="Calibri" w:eastAsia="Times New Roman" w:hAnsi="Calibri" w:cs="Times New Roman"/>
                <w:sz w:val="20"/>
                <w:szCs w:val="20"/>
              </w:rPr>
              <w:t>Atomoxetine</w:t>
            </w:r>
          </w:p>
        </w:tc>
        <w:tc>
          <w:tcPr>
            <w:tcW w:w="992" w:type="dxa"/>
            <w:noWrap/>
            <w:vAlign w:val="center"/>
          </w:tcPr>
          <w:p w14:paraId="6E5D7CF2" w14:textId="2B309296" w:rsidR="00DE583D" w:rsidRPr="00AF47E7" w:rsidRDefault="00DE583D" w:rsidP="00AF47E7">
            <w:pPr>
              <w:jc w:val="center"/>
              <w:rPr>
                <w:sz w:val="20"/>
                <w:szCs w:val="20"/>
              </w:rPr>
            </w:pPr>
            <w:r w:rsidRPr="00AF47E7">
              <w:rPr>
                <w:sz w:val="20"/>
                <w:szCs w:val="20"/>
              </w:rPr>
              <w:t>1,195</w:t>
            </w:r>
          </w:p>
        </w:tc>
        <w:tc>
          <w:tcPr>
            <w:tcW w:w="992" w:type="dxa"/>
            <w:noWrap/>
            <w:vAlign w:val="center"/>
          </w:tcPr>
          <w:p w14:paraId="138F3778" w14:textId="64B61E31" w:rsidR="00DE583D" w:rsidRPr="00AF47E7" w:rsidRDefault="00DE583D" w:rsidP="00AF47E7">
            <w:pPr>
              <w:jc w:val="center"/>
              <w:rPr>
                <w:sz w:val="20"/>
                <w:szCs w:val="20"/>
              </w:rPr>
            </w:pPr>
            <w:r w:rsidRPr="00AF47E7">
              <w:rPr>
                <w:sz w:val="20"/>
                <w:szCs w:val="20"/>
              </w:rPr>
              <w:t>1,124</w:t>
            </w:r>
          </w:p>
        </w:tc>
        <w:tc>
          <w:tcPr>
            <w:tcW w:w="993" w:type="dxa"/>
            <w:noWrap/>
            <w:vAlign w:val="center"/>
          </w:tcPr>
          <w:p w14:paraId="784FAB1E" w14:textId="5D37A56F" w:rsidR="00DE583D" w:rsidRPr="00AF47E7" w:rsidRDefault="00DE583D" w:rsidP="00AF47E7">
            <w:pPr>
              <w:jc w:val="center"/>
              <w:rPr>
                <w:sz w:val="20"/>
                <w:szCs w:val="20"/>
              </w:rPr>
            </w:pPr>
            <w:r w:rsidRPr="00AF47E7">
              <w:rPr>
                <w:sz w:val="20"/>
                <w:szCs w:val="20"/>
              </w:rPr>
              <w:t>965</w:t>
            </w:r>
          </w:p>
        </w:tc>
        <w:tc>
          <w:tcPr>
            <w:tcW w:w="992" w:type="dxa"/>
            <w:noWrap/>
            <w:vAlign w:val="center"/>
          </w:tcPr>
          <w:p w14:paraId="23648467" w14:textId="3598D718" w:rsidR="00DE583D" w:rsidRPr="00AF47E7" w:rsidRDefault="00DE583D" w:rsidP="00AF47E7">
            <w:pPr>
              <w:jc w:val="center"/>
              <w:rPr>
                <w:sz w:val="20"/>
                <w:szCs w:val="20"/>
              </w:rPr>
            </w:pPr>
            <w:r w:rsidRPr="00AF47E7">
              <w:rPr>
                <w:sz w:val="20"/>
                <w:szCs w:val="20"/>
              </w:rPr>
              <w:t>997</w:t>
            </w:r>
          </w:p>
        </w:tc>
        <w:tc>
          <w:tcPr>
            <w:tcW w:w="993" w:type="dxa"/>
            <w:noWrap/>
            <w:vAlign w:val="center"/>
          </w:tcPr>
          <w:p w14:paraId="62382979" w14:textId="35815B99" w:rsidR="00DE583D" w:rsidRPr="00AF47E7" w:rsidRDefault="00DE583D" w:rsidP="00AF47E7">
            <w:pPr>
              <w:jc w:val="center"/>
              <w:rPr>
                <w:sz w:val="20"/>
                <w:szCs w:val="20"/>
              </w:rPr>
            </w:pPr>
            <w:r w:rsidRPr="00AF47E7">
              <w:rPr>
                <w:sz w:val="20"/>
                <w:szCs w:val="20"/>
              </w:rPr>
              <w:t>672</w:t>
            </w:r>
          </w:p>
        </w:tc>
      </w:tr>
      <w:tr w:rsidR="00DE583D" w:rsidRPr="00BC727E" w14:paraId="513E004E" w14:textId="77777777" w:rsidTr="00AF47E7">
        <w:trPr>
          <w:trHeight w:val="297"/>
        </w:trPr>
        <w:tc>
          <w:tcPr>
            <w:tcW w:w="3856" w:type="dxa"/>
            <w:noWrap/>
            <w:hideMark/>
          </w:tcPr>
          <w:p w14:paraId="3ED72C8F" w14:textId="77777777" w:rsidR="00DE583D" w:rsidRPr="00AF47E7" w:rsidRDefault="00DE583D" w:rsidP="0052799A">
            <w:pPr>
              <w:rPr>
                <w:rFonts w:ascii="Calibri" w:eastAsia="Times New Roman" w:hAnsi="Calibri" w:cs="Times New Roman"/>
                <w:b/>
                <w:sz w:val="20"/>
                <w:szCs w:val="20"/>
              </w:rPr>
            </w:pPr>
            <w:r w:rsidRPr="00AF47E7">
              <w:rPr>
                <w:rFonts w:ascii="Calibri" w:eastAsia="Times New Roman" w:hAnsi="Calibri" w:cs="Times New Roman"/>
                <w:b/>
                <w:sz w:val="20"/>
                <w:szCs w:val="20"/>
              </w:rPr>
              <w:t>Total New patients</w:t>
            </w:r>
          </w:p>
        </w:tc>
        <w:tc>
          <w:tcPr>
            <w:tcW w:w="992" w:type="dxa"/>
            <w:noWrap/>
            <w:vAlign w:val="center"/>
          </w:tcPr>
          <w:p w14:paraId="5FD5485B" w14:textId="2B4982BB" w:rsidR="00DE583D" w:rsidRPr="00AF47E7" w:rsidRDefault="00DE583D" w:rsidP="00AF47E7">
            <w:pPr>
              <w:jc w:val="center"/>
              <w:rPr>
                <w:sz w:val="20"/>
                <w:szCs w:val="20"/>
              </w:rPr>
            </w:pPr>
            <w:r w:rsidRPr="00AF47E7">
              <w:rPr>
                <w:sz w:val="20"/>
                <w:szCs w:val="20"/>
              </w:rPr>
              <w:t>19,377</w:t>
            </w:r>
          </w:p>
        </w:tc>
        <w:tc>
          <w:tcPr>
            <w:tcW w:w="992" w:type="dxa"/>
            <w:noWrap/>
            <w:vAlign w:val="center"/>
          </w:tcPr>
          <w:p w14:paraId="1445C62B" w14:textId="4856038B" w:rsidR="00DE583D" w:rsidRPr="00AF47E7" w:rsidRDefault="00DE583D" w:rsidP="00AF47E7">
            <w:pPr>
              <w:jc w:val="center"/>
              <w:rPr>
                <w:sz w:val="20"/>
                <w:szCs w:val="20"/>
              </w:rPr>
            </w:pPr>
            <w:r w:rsidRPr="00AF47E7">
              <w:rPr>
                <w:sz w:val="20"/>
                <w:szCs w:val="20"/>
              </w:rPr>
              <w:t>21,202</w:t>
            </w:r>
          </w:p>
        </w:tc>
        <w:tc>
          <w:tcPr>
            <w:tcW w:w="993" w:type="dxa"/>
            <w:noWrap/>
            <w:vAlign w:val="center"/>
          </w:tcPr>
          <w:p w14:paraId="53D023CE" w14:textId="7F4261E7" w:rsidR="00DE583D" w:rsidRPr="00AF47E7" w:rsidRDefault="00DE583D" w:rsidP="00AF47E7">
            <w:pPr>
              <w:jc w:val="center"/>
              <w:rPr>
                <w:sz w:val="20"/>
                <w:szCs w:val="20"/>
              </w:rPr>
            </w:pPr>
            <w:r w:rsidRPr="00AF47E7">
              <w:rPr>
                <w:sz w:val="20"/>
                <w:szCs w:val="20"/>
              </w:rPr>
              <w:t>22,354</w:t>
            </w:r>
          </w:p>
        </w:tc>
        <w:tc>
          <w:tcPr>
            <w:tcW w:w="992" w:type="dxa"/>
            <w:noWrap/>
            <w:vAlign w:val="center"/>
          </w:tcPr>
          <w:p w14:paraId="72FA7AE9" w14:textId="5695FC91" w:rsidR="00DE583D" w:rsidRPr="00AF47E7" w:rsidRDefault="00DE583D" w:rsidP="00AF47E7">
            <w:pPr>
              <w:jc w:val="center"/>
              <w:rPr>
                <w:sz w:val="20"/>
                <w:szCs w:val="20"/>
              </w:rPr>
            </w:pPr>
            <w:r w:rsidRPr="00AF47E7">
              <w:rPr>
                <w:sz w:val="20"/>
                <w:szCs w:val="20"/>
              </w:rPr>
              <w:t>23,782</w:t>
            </w:r>
          </w:p>
        </w:tc>
        <w:tc>
          <w:tcPr>
            <w:tcW w:w="993" w:type="dxa"/>
            <w:noWrap/>
            <w:vAlign w:val="center"/>
          </w:tcPr>
          <w:p w14:paraId="0E4A3E20" w14:textId="523DE7B8" w:rsidR="00DE583D" w:rsidRPr="00AF47E7" w:rsidRDefault="00DE583D" w:rsidP="00AF47E7">
            <w:pPr>
              <w:jc w:val="center"/>
              <w:rPr>
                <w:sz w:val="20"/>
                <w:szCs w:val="20"/>
              </w:rPr>
            </w:pPr>
            <w:r w:rsidRPr="00AF47E7">
              <w:rPr>
                <w:sz w:val="20"/>
                <w:szCs w:val="20"/>
              </w:rPr>
              <w:t>24,232</w:t>
            </w:r>
          </w:p>
        </w:tc>
      </w:tr>
    </w:tbl>
    <w:p w14:paraId="4D4DB711" w14:textId="77777777" w:rsidR="00D53299" w:rsidRPr="002B64EF" w:rsidRDefault="00D53299" w:rsidP="00D53299">
      <w:pPr>
        <w:spacing w:after="0"/>
        <w:rPr>
          <w:sz w:val="20"/>
        </w:rPr>
      </w:pPr>
      <w:r w:rsidRPr="002B64EF">
        <w:rPr>
          <w:sz w:val="20"/>
        </w:rPr>
        <w:t>Source: Medicare authority approval data, extracted May 2015</w:t>
      </w:r>
    </w:p>
    <w:p w14:paraId="3974F77F" w14:textId="77777777" w:rsidR="00D53299" w:rsidRPr="002B64EF" w:rsidRDefault="00D53299" w:rsidP="00D53299">
      <w:pPr>
        <w:rPr>
          <w:sz w:val="20"/>
        </w:rPr>
      </w:pPr>
      <w:r w:rsidRPr="002B64EF">
        <w:rPr>
          <w:sz w:val="20"/>
        </w:rPr>
        <w:t>*For 2014 only, Medicare pharmacy claims data was used for atomoxetine, due to its listing being streamlined in August 2014.</w:t>
      </w:r>
    </w:p>
    <w:p w14:paraId="076BB9F2" w14:textId="6DC78E1E" w:rsidR="00D53299" w:rsidRPr="0068248A" w:rsidRDefault="00D53299" w:rsidP="00D53299">
      <w:pPr>
        <w:pStyle w:val="Tabletitle"/>
      </w:pPr>
      <w:r w:rsidRPr="000C5825">
        <w:t>Table</w:t>
      </w:r>
      <w:r w:rsidR="00A8703D">
        <w:t xml:space="preserve"> 9</w:t>
      </w:r>
      <w:r w:rsidRPr="000C5825">
        <w:t xml:space="preserve">: </w:t>
      </w:r>
      <w:r>
        <w:t>Total n</w:t>
      </w:r>
      <w:r w:rsidRPr="000C5825">
        <w:t>umber</w:t>
      </w:r>
      <w:r w:rsidRPr="0068248A">
        <w:t xml:space="preserve"> of</w:t>
      </w:r>
      <w:r>
        <w:t xml:space="preserve"> patients</w:t>
      </w:r>
      <w:r w:rsidRPr="0068248A">
        <w:t xml:space="preserve"> treated with </w:t>
      </w:r>
      <w:r>
        <w:t xml:space="preserve">each </w:t>
      </w:r>
      <w:r w:rsidRPr="0068248A">
        <w:t>ADHD medicine.</w:t>
      </w:r>
    </w:p>
    <w:tbl>
      <w:tblPr>
        <w:tblStyle w:val="TableGrid1"/>
        <w:tblW w:w="8818" w:type="dxa"/>
        <w:tblLayout w:type="fixed"/>
        <w:tblLook w:val="04A0" w:firstRow="1" w:lastRow="0" w:firstColumn="1" w:lastColumn="0" w:noHBand="0" w:noVBand="1"/>
        <w:tblCaption w:val="The name of the ADHD medicine is in the first column, read across for the total number of patients treated with ADHD medicines each year from 2010 to 2014 inclusive"/>
      </w:tblPr>
      <w:tblGrid>
        <w:gridCol w:w="3856"/>
        <w:gridCol w:w="992"/>
        <w:gridCol w:w="992"/>
        <w:gridCol w:w="993"/>
        <w:gridCol w:w="992"/>
        <w:gridCol w:w="993"/>
      </w:tblGrid>
      <w:tr w:rsidR="00D53299" w:rsidRPr="00DE754D" w14:paraId="29B49D7F" w14:textId="77777777" w:rsidTr="00AE4CE1">
        <w:trPr>
          <w:trHeight w:val="297"/>
          <w:tblHeader/>
        </w:trPr>
        <w:tc>
          <w:tcPr>
            <w:tcW w:w="3856" w:type="dxa"/>
            <w:shd w:val="clear" w:color="auto" w:fill="D9D9D9" w:themeFill="background1" w:themeFillShade="D9"/>
            <w:noWrap/>
          </w:tcPr>
          <w:p w14:paraId="5ED3557D" w14:textId="3395C2BD" w:rsidR="00D53299" w:rsidRPr="00AE4CE1" w:rsidRDefault="00D53299" w:rsidP="0018712A">
            <w:pPr>
              <w:rPr>
                <w:rFonts w:ascii="Calibri" w:eastAsia="Times New Roman" w:hAnsi="Calibri" w:cs="Times New Roman"/>
                <w:b/>
                <w:sz w:val="20"/>
                <w:szCs w:val="20"/>
              </w:rPr>
            </w:pPr>
            <w:r w:rsidRPr="00AE4CE1">
              <w:rPr>
                <w:rFonts w:ascii="Calibri" w:eastAsia="Times New Roman" w:hAnsi="Calibri" w:cs="Times New Roman"/>
                <w:b/>
                <w:sz w:val="20"/>
                <w:szCs w:val="20"/>
              </w:rPr>
              <w:t>ADHD Medicine Name</w:t>
            </w:r>
          </w:p>
        </w:tc>
        <w:tc>
          <w:tcPr>
            <w:tcW w:w="992" w:type="dxa"/>
            <w:shd w:val="clear" w:color="auto" w:fill="D9D9D9" w:themeFill="background1" w:themeFillShade="D9"/>
            <w:noWrap/>
            <w:vAlign w:val="center"/>
          </w:tcPr>
          <w:p w14:paraId="6C839172" w14:textId="77777777" w:rsidR="00D53299" w:rsidRPr="00AE4CE1" w:rsidRDefault="00D53299" w:rsidP="00AE4CE1">
            <w:pPr>
              <w:jc w:val="center"/>
              <w:rPr>
                <w:b/>
                <w:sz w:val="20"/>
                <w:szCs w:val="20"/>
              </w:rPr>
            </w:pPr>
            <w:r w:rsidRPr="00AE4CE1">
              <w:rPr>
                <w:rFonts w:ascii="Calibri" w:eastAsia="Times New Roman" w:hAnsi="Calibri" w:cs="Times New Roman"/>
                <w:b/>
                <w:sz w:val="20"/>
                <w:szCs w:val="20"/>
              </w:rPr>
              <w:t>2010</w:t>
            </w:r>
          </w:p>
        </w:tc>
        <w:tc>
          <w:tcPr>
            <w:tcW w:w="992" w:type="dxa"/>
            <w:shd w:val="clear" w:color="auto" w:fill="D9D9D9" w:themeFill="background1" w:themeFillShade="D9"/>
            <w:noWrap/>
            <w:vAlign w:val="center"/>
          </w:tcPr>
          <w:p w14:paraId="0E6FB7FB" w14:textId="77777777" w:rsidR="00D53299" w:rsidRPr="00AE4CE1" w:rsidRDefault="00D53299" w:rsidP="00AE4CE1">
            <w:pPr>
              <w:jc w:val="center"/>
              <w:rPr>
                <w:b/>
                <w:sz w:val="20"/>
                <w:szCs w:val="20"/>
              </w:rPr>
            </w:pPr>
            <w:r w:rsidRPr="00AE4CE1">
              <w:rPr>
                <w:rFonts w:ascii="Calibri" w:eastAsia="Times New Roman" w:hAnsi="Calibri" w:cs="Times New Roman"/>
                <w:b/>
                <w:sz w:val="20"/>
                <w:szCs w:val="20"/>
              </w:rPr>
              <w:t>2011</w:t>
            </w:r>
          </w:p>
        </w:tc>
        <w:tc>
          <w:tcPr>
            <w:tcW w:w="993" w:type="dxa"/>
            <w:shd w:val="clear" w:color="auto" w:fill="D9D9D9" w:themeFill="background1" w:themeFillShade="D9"/>
            <w:noWrap/>
            <w:vAlign w:val="center"/>
          </w:tcPr>
          <w:p w14:paraId="6EF1CB82" w14:textId="77777777" w:rsidR="00D53299" w:rsidRPr="00AE4CE1" w:rsidRDefault="00D53299" w:rsidP="00AE4CE1">
            <w:pPr>
              <w:jc w:val="center"/>
              <w:rPr>
                <w:b/>
                <w:sz w:val="20"/>
                <w:szCs w:val="20"/>
              </w:rPr>
            </w:pPr>
            <w:r w:rsidRPr="00AE4CE1">
              <w:rPr>
                <w:rFonts w:ascii="Calibri" w:eastAsia="Times New Roman" w:hAnsi="Calibri" w:cs="Times New Roman"/>
                <w:b/>
                <w:sz w:val="20"/>
                <w:szCs w:val="20"/>
              </w:rPr>
              <w:t>2012</w:t>
            </w:r>
          </w:p>
        </w:tc>
        <w:tc>
          <w:tcPr>
            <w:tcW w:w="992" w:type="dxa"/>
            <w:shd w:val="clear" w:color="auto" w:fill="D9D9D9" w:themeFill="background1" w:themeFillShade="D9"/>
            <w:noWrap/>
            <w:vAlign w:val="center"/>
          </w:tcPr>
          <w:p w14:paraId="4D192453" w14:textId="77777777" w:rsidR="00D53299" w:rsidRPr="00AE4CE1" w:rsidRDefault="00D53299" w:rsidP="00AE4CE1">
            <w:pPr>
              <w:jc w:val="center"/>
              <w:rPr>
                <w:b/>
                <w:sz w:val="20"/>
                <w:szCs w:val="20"/>
              </w:rPr>
            </w:pPr>
            <w:r w:rsidRPr="00AE4CE1">
              <w:rPr>
                <w:rFonts w:ascii="Calibri" w:eastAsia="Times New Roman" w:hAnsi="Calibri" w:cs="Times New Roman"/>
                <w:b/>
                <w:sz w:val="20"/>
                <w:szCs w:val="20"/>
              </w:rPr>
              <w:t>2013</w:t>
            </w:r>
          </w:p>
        </w:tc>
        <w:tc>
          <w:tcPr>
            <w:tcW w:w="993" w:type="dxa"/>
            <w:shd w:val="clear" w:color="auto" w:fill="D9D9D9" w:themeFill="background1" w:themeFillShade="D9"/>
            <w:noWrap/>
            <w:vAlign w:val="center"/>
          </w:tcPr>
          <w:p w14:paraId="589365C8" w14:textId="77777777" w:rsidR="00D53299" w:rsidRPr="00AE4CE1" w:rsidRDefault="00D53299" w:rsidP="00AE4CE1">
            <w:pPr>
              <w:jc w:val="center"/>
              <w:rPr>
                <w:b/>
                <w:sz w:val="20"/>
                <w:szCs w:val="20"/>
              </w:rPr>
            </w:pPr>
            <w:r w:rsidRPr="00AE4CE1">
              <w:rPr>
                <w:rFonts w:ascii="Calibri" w:eastAsia="Times New Roman" w:hAnsi="Calibri" w:cs="Times New Roman"/>
                <w:b/>
                <w:sz w:val="20"/>
                <w:szCs w:val="20"/>
              </w:rPr>
              <w:t>2014</w:t>
            </w:r>
          </w:p>
        </w:tc>
      </w:tr>
      <w:tr w:rsidR="00D53299" w:rsidRPr="005A1475" w14:paraId="4F128C24" w14:textId="77777777" w:rsidTr="00AE4CE1">
        <w:trPr>
          <w:trHeight w:val="297"/>
        </w:trPr>
        <w:tc>
          <w:tcPr>
            <w:tcW w:w="3856" w:type="dxa"/>
            <w:noWrap/>
          </w:tcPr>
          <w:p w14:paraId="110AE3F0" w14:textId="77777777" w:rsidR="00D53299" w:rsidRPr="00AE4CE1" w:rsidRDefault="00D53299" w:rsidP="0018712A">
            <w:pPr>
              <w:rPr>
                <w:rFonts w:ascii="Calibri" w:eastAsia="Times New Roman" w:hAnsi="Calibri" w:cs="Times New Roman"/>
                <w:sz w:val="20"/>
                <w:szCs w:val="20"/>
              </w:rPr>
            </w:pPr>
            <w:r w:rsidRPr="00AE4CE1">
              <w:rPr>
                <w:rFonts w:ascii="Calibri" w:eastAsia="Times New Roman" w:hAnsi="Calibri" w:cs="Times New Roman"/>
                <w:sz w:val="20"/>
                <w:szCs w:val="20"/>
              </w:rPr>
              <w:t>Dexamphetamine</w:t>
            </w:r>
          </w:p>
        </w:tc>
        <w:tc>
          <w:tcPr>
            <w:tcW w:w="992" w:type="dxa"/>
            <w:noWrap/>
            <w:vAlign w:val="center"/>
          </w:tcPr>
          <w:p w14:paraId="69D716A6" w14:textId="59C332E8" w:rsidR="00D53299" w:rsidRPr="00AE4CE1" w:rsidRDefault="00D53299" w:rsidP="00AE4CE1">
            <w:pPr>
              <w:jc w:val="center"/>
              <w:rPr>
                <w:rFonts w:ascii="Calibri" w:eastAsia="Times New Roman" w:hAnsi="Calibri" w:cs="Times New Roman"/>
                <w:sz w:val="20"/>
                <w:szCs w:val="20"/>
              </w:rPr>
            </w:pPr>
            <w:r w:rsidRPr="00AE4CE1">
              <w:rPr>
                <w:sz w:val="20"/>
                <w:szCs w:val="20"/>
              </w:rPr>
              <w:t>28,250</w:t>
            </w:r>
          </w:p>
        </w:tc>
        <w:tc>
          <w:tcPr>
            <w:tcW w:w="992" w:type="dxa"/>
            <w:noWrap/>
            <w:vAlign w:val="center"/>
          </w:tcPr>
          <w:p w14:paraId="7B8CBB70" w14:textId="743CD98E" w:rsidR="00D53299" w:rsidRPr="00AE4CE1" w:rsidRDefault="00D53299" w:rsidP="00AE4CE1">
            <w:pPr>
              <w:jc w:val="center"/>
              <w:rPr>
                <w:rFonts w:ascii="Calibri" w:eastAsia="Times New Roman" w:hAnsi="Calibri" w:cs="Times New Roman"/>
                <w:sz w:val="20"/>
                <w:szCs w:val="20"/>
              </w:rPr>
            </w:pPr>
            <w:r w:rsidRPr="00AE4CE1">
              <w:rPr>
                <w:sz w:val="20"/>
                <w:szCs w:val="20"/>
              </w:rPr>
              <w:t>28,969</w:t>
            </w:r>
          </w:p>
        </w:tc>
        <w:tc>
          <w:tcPr>
            <w:tcW w:w="993" w:type="dxa"/>
            <w:noWrap/>
            <w:vAlign w:val="center"/>
          </w:tcPr>
          <w:p w14:paraId="60FFAF6C" w14:textId="23D0E6CF" w:rsidR="00D53299" w:rsidRPr="00AE4CE1" w:rsidRDefault="00D53299" w:rsidP="00AE4CE1">
            <w:pPr>
              <w:jc w:val="center"/>
              <w:rPr>
                <w:rFonts w:ascii="Calibri" w:eastAsia="Times New Roman" w:hAnsi="Calibri" w:cs="Times New Roman"/>
                <w:sz w:val="20"/>
                <w:szCs w:val="20"/>
              </w:rPr>
            </w:pPr>
            <w:r w:rsidRPr="00AE4CE1">
              <w:rPr>
                <w:sz w:val="20"/>
                <w:szCs w:val="20"/>
              </w:rPr>
              <w:t>29,882</w:t>
            </w:r>
          </w:p>
        </w:tc>
        <w:tc>
          <w:tcPr>
            <w:tcW w:w="992" w:type="dxa"/>
            <w:noWrap/>
            <w:vAlign w:val="center"/>
          </w:tcPr>
          <w:p w14:paraId="4BF9A61D" w14:textId="6AC385AA" w:rsidR="00D53299" w:rsidRPr="00AE4CE1" w:rsidRDefault="00D53299" w:rsidP="00AE4CE1">
            <w:pPr>
              <w:jc w:val="center"/>
              <w:rPr>
                <w:rFonts w:ascii="Calibri" w:eastAsia="Times New Roman" w:hAnsi="Calibri" w:cs="Times New Roman"/>
                <w:sz w:val="20"/>
                <w:szCs w:val="20"/>
              </w:rPr>
            </w:pPr>
            <w:r w:rsidRPr="00AE4CE1">
              <w:rPr>
                <w:sz w:val="20"/>
                <w:szCs w:val="20"/>
              </w:rPr>
              <w:t>31,416</w:t>
            </w:r>
          </w:p>
        </w:tc>
        <w:tc>
          <w:tcPr>
            <w:tcW w:w="993" w:type="dxa"/>
            <w:noWrap/>
            <w:vAlign w:val="center"/>
          </w:tcPr>
          <w:p w14:paraId="4366853F" w14:textId="11C85FBB" w:rsidR="00D53299" w:rsidRPr="00AE4CE1" w:rsidRDefault="00D53299" w:rsidP="00AE4CE1">
            <w:pPr>
              <w:jc w:val="center"/>
              <w:rPr>
                <w:rFonts w:ascii="Calibri" w:eastAsia="Times New Roman" w:hAnsi="Calibri" w:cs="Times New Roman"/>
                <w:sz w:val="20"/>
                <w:szCs w:val="20"/>
              </w:rPr>
            </w:pPr>
            <w:r w:rsidRPr="00AE4CE1">
              <w:rPr>
                <w:sz w:val="20"/>
                <w:szCs w:val="20"/>
              </w:rPr>
              <w:t>32,295</w:t>
            </w:r>
          </w:p>
        </w:tc>
      </w:tr>
      <w:tr w:rsidR="00D53299" w:rsidRPr="005A1475" w14:paraId="3EC8D9BC" w14:textId="77777777" w:rsidTr="00AE4CE1">
        <w:trPr>
          <w:trHeight w:val="297"/>
        </w:trPr>
        <w:tc>
          <w:tcPr>
            <w:tcW w:w="3856" w:type="dxa"/>
            <w:noWrap/>
          </w:tcPr>
          <w:p w14:paraId="15971B25" w14:textId="77777777" w:rsidR="00D53299" w:rsidRPr="00AE4CE1" w:rsidRDefault="00D53299" w:rsidP="0018712A">
            <w:pPr>
              <w:rPr>
                <w:rFonts w:ascii="Calibri" w:eastAsia="Times New Roman" w:hAnsi="Calibri" w:cs="Times New Roman"/>
                <w:sz w:val="20"/>
                <w:szCs w:val="20"/>
              </w:rPr>
            </w:pPr>
            <w:r w:rsidRPr="00AE4CE1">
              <w:rPr>
                <w:rFonts w:ascii="Calibri" w:eastAsia="Times New Roman" w:hAnsi="Calibri" w:cs="Times New Roman"/>
                <w:sz w:val="20"/>
                <w:szCs w:val="20"/>
              </w:rPr>
              <w:t>Methylphenidate IR</w:t>
            </w:r>
          </w:p>
        </w:tc>
        <w:tc>
          <w:tcPr>
            <w:tcW w:w="992" w:type="dxa"/>
            <w:noWrap/>
            <w:vAlign w:val="center"/>
          </w:tcPr>
          <w:p w14:paraId="60F91AA7" w14:textId="487D4935" w:rsidR="00D53299" w:rsidRPr="00AE4CE1" w:rsidRDefault="00D53299" w:rsidP="00AE4CE1">
            <w:pPr>
              <w:jc w:val="center"/>
              <w:rPr>
                <w:rFonts w:ascii="Calibri" w:eastAsia="Times New Roman" w:hAnsi="Calibri" w:cs="Times New Roman"/>
                <w:sz w:val="20"/>
                <w:szCs w:val="20"/>
              </w:rPr>
            </w:pPr>
            <w:r w:rsidRPr="00AE4CE1">
              <w:rPr>
                <w:sz w:val="20"/>
                <w:szCs w:val="20"/>
              </w:rPr>
              <w:t>30,250</w:t>
            </w:r>
          </w:p>
        </w:tc>
        <w:tc>
          <w:tcPr>
            <w:tcW w:w="992" w:type="dxa"/>
            <w:noWrap/>
            <w:vAlign w:val="center"/>
          </w:tcPr>
          <w:p w14:paraId="4F806C0F" w14:textId="66B32985" w:rsidR="00D53299" w:rsidRPr="00AE4CE1" w:rsidRDefault="00D53299" w:rsidP="00AE4CE1">
            <w:pPr>
              <w:jc w:val="center"/>
              <w:rPr>
                <w:rFonts w:ascii="Calibri" w:eastAsia="Times New Roman" w:hAnsi="Calibri" w:cs="Times New Roman"/>
                <w:sz w:val="20"/>
                <w:szCs w:val="20"/>
              </w:rPr>
            </w:pPr>
            <w:r w:rsidRPr="00AE4CE1">
              <w:rPr>
                <w:sz w:val="20"/>
                <w:szCs w:val="20"/>
              </w:rPr>
              <w:t>34,076</w:t>
            </w:r>
          </w:p>
        </w:tc>
        <w:tc>
          <w:tcPr>
            <w:tcW w:w="993" w:type="dxa"/>
            <w:noWrap/>
            <w:vAlign w:val="center"/>
          </w:tcPr>
          <w:p w14:paraId="0CBE4ACD" w14:textId="55CEE458" w:rsidR="00D53299" w:rsidRPr="00AE4CE1" w:rsidRDefault="00D53299" w:rsidP="00AE4CE1">
            <w:pPr>
              <w:jc w:val="center"/>
              <w:rPr>
                <w:rFonts w:ascii="Calibri" w:eastAsia="Times New Roman" w:hAnsi="Calibri" w:cs="Times New Roman"/>
                <w:sz w:val="20"/>
                <w:szCs w:val="20"/>
              </w:rPr>
            </w:pPr>
            <w:r w:rsidRPr="00AE4CE1">
              <w:rPr>
                <w:sz w:val="20"/>
                <w:szCs w:val="20"/>
              </w:rPr>
              <w:t>38,452</w:t>
            </w:r>
          </w:p>
        </w:tc>
        <w:tc>
          <w:tcPr>
            <w:tcW w:w="992" w:type="dxa"/>
            <w:noWrap/>
            <w:vAlign w:val="center"/>
          </w:tcPr>
          <w:p w14:paraId="7B485BA8" w14:textId="0CE13E2D" w:rsidR="00D53299" w:rsidRPr="00AE4CE1" w:rsidRDefault="00D53299" w:rsidP="00AE4CE1">
            <w:pPr>
              <w:jc w:val="center"/>
              <w:rPr>
                <w:rFonts w:ascii="Calibri" w:eastAsia="Times New Roman" w:hAnsi="Calibri" w:cs="Times New Roman"/>
                <w:sz w:val="20"/>
                <w:szCs w:val="20"/>
              </w:rPr>
            </w:pPr>
            <w:r w:rsidRPr="00AE4CE1">
              <w:rPr>
                <w:sz w:val="20"/>
                <w:szCs w:val="20"/>
              </w:rPr>
              <w:t>42,572</w:t>
            </w:r>
          </w:p>
        </w:tc>
        <w:tc>
          <w:tcPr>
            <w:tcW w:w="993" w:type="dxa"/>
            <w:noWrap/>
            <w:vAlign w:val="center"/>
          </w:tcPr>
          <w:p w14:paraId="21F13D49" w14:textId="7EFB1BCD" w:rsidR="00D53299" w:rsidRPr="00AE4CE1" w:rsidRDefault="00D53299" w:rsidP="00AE4CE1">
            <w:pPr>
              <w:jc w:val="center"/>
              <w:rPr>
                <w:rFonts w:ascii="Calibri" w:eastAsia="Times New Roman" w:hAnsi="Calibri" w:cs="Times New Roman"/>
                <w:sz w:val="20"/>
                <w:szCs w:val="20"/>
              </w:rPr>
            </w:pPr>
            <w:r w:rsidRPr="00AE4CE1">
              <w:rPr>
                <w:sz w:val="20"/>
                <w:szCs w:val="20"/>
              </w:rPr>
              <w:t>45,446</w:t>
            </w:r>
          </w:p>
        </w:tc>
      </w:tr>
      <w:tr w:rsidR="00D53299" w:rsidRPr="005A1475" w14:paraId="26948441" w14:textId="77777777" w:rsidTr="00AE4CE1">
        <w:trPr>
          <w:trHeight w:val="297"/>
        </w:trPr>
        <w:tc>
          <w:tcPr>
            <w:tcW w:w="3856" w:type="dxa"/>
            <w:noWrap/>
          </w:tcPr>
          <w:p w14:paraId="3A55CE53" w14:textId="77777777" w:rsidR="00D53299" w:rsidRPr="00AE4CE1" w:rsidRDefault="00D53299" w:rsidP="0018712A">
            <w:pPr>
              <w:rPr>
                <w:rFonts w:ascii="Calibri" w:eastAsia="Times New Roman" w:hAnsi="Calibri" w:cs="Times New Roman"/>
                <w:sz w:val="20"/>
                <w:szCs w:val="20"/>
              </w:rPr>
            </w:pPr>
            <w:r w:rsidRPr="00AE4CE1">
              <w:rPr>
                <w:rFonts w:ascii="Calibri" w:eastAsia="Times New Roman" w:hAnsi="Calibri" w:cs="Times New Roman"/>
                <w:sz w:val="20"/>
                <w:szCs w:val="20"/>
              </w:rPr>
              <w:t>Methylphenidate MR (8 hour coverage)</w:t>
            </w:r>
          </w:p>
        </w:tc>
        <w:tc>
          <w:tcPr>
            <w:tcW w:w="992" w:type="dxa"/>
            <w:noWrap/>
            <w:vAlign w:val="center"/>
          </w:tcPr>
          <w:p w14:paraId="08D91581" w14:textId="32FF8321" w:rsidR="00D53299" w:rsidRPr="00AE4CE1" w:rsidRDefault="00D53299" w:rsidP="00AE4CE1">
            <w:pPr>
              <w:jc w:val="center"/>
              <w:rPr>
                <w:rFonts w:ascii="Calibri" w:eastAsia="Times New Roman" w:hAnsi="Calibri" w:cs="Times New Roman"/>
                <w:sz w:val="20"/>
                <w:szCs w:val="20"/>
              </w:rPr>
            </w:pPr>
            <w:r w:rsidRPr="00AE4CE1">
              <w:rPr>
                <w:sz w:val="20"/>
                <w:szCs w:val="20"/>
              </w:rPr>
              <w:t>14,184</w:t>
            </w:r>
          </w:p>
        </w:tc>
        <w:tc>
          <w:tcPr>
            <w:tcW w:w="992" w:type="dxa"/>
            <w:noWrap/>
            <w:vAlign w:val="center"/>
          </w:tcPr>
          <w:p w14:paraId="0B1AB70E" w14:textId="7EF23502" w:rsidR="00D53299" w:rsidRPr="00AE4CE1" w:rsidRDefault="00D53299" w:rsidP="00AE4CE1">
            <w:pPr>
              <w:jc w:val="center"/>
              <w:rPr>
                <w:rFonts w:ascii="Calibri" w:eastAsia="Times New Roman" w:hAnsi="Calibri" w:cs="Times New Roman"/>
                <w:sz w:val="20"/>
                <w:szCs w:val="20"/>
              </w:rPr>
            </w:pPr>
            <w:r w:rsidRPr="00AE4CE1">
              <w:rPr>
                <w:sz w:val="20"/>
                <w:szCs w:val="20"/>
              </w:rPr>
              <w:t>16,805</w:t>
            </w:r>
          </w:p>
        </w:tc>
        <w:tc>
          <w:tcPr>
            <w:tcW w:w="993" w:type="dxa"/>
            <w:noWrap/>
            <w:vAlign w:val="center"/>
          </w:tcPr>
          <w:p w14:paraId="1AED489D" w14:textId="6F8B815D" w:rsidR="00D53299" w:rsidRPr="00AE4CE1" w:rsidRDefault="00D53299" w:rsidP="00AE4CE1">
            <w:pPr>
              <w:jc w:val="center"/>
              <w:rPr>
                <w:rFonts w:ascii="Calibri" w:eastAsia="Times New Roman" w:hAnsi="Calibri" w:cs="Times New Roman"/>
                <w:sz w:val="20"/>
                <w:szCs w:val="20"/>
              </w:rPr>
            </w:pPr>
            <w:r w:rsidRPr="00AE4CE1">
              <w:rPr>
                <w:sz w:val="20"/>
                <w:szCs w:val="20"/>
              </w:rPr>
              <w:t>19,089</w:t>
            </w:r>
          </w:p>
        </w:tc>
        <w:tc>
          <w:tcPr>
            <w:tcW w:w="992" w:type="dxa"/>
            <w:noWrap/>
            <w:vAlign w:val="center"/>
          </w:tcPr>
          <w:p w14:paraId="1C076F2D" w14:textId="4104E814" w:rsidR="00D53299" w:rsidRPr="00AE4CE1" w:rsidRDefault="00D53299" w:rsidP="00AE4CE1">
            <w:pPr>
              <w:jc w:val="center"/>
              <w:rPr>
                <w:rFonts w:ascii="Calibri" w:eastAsia="Times New Roman" w:hAnsi="Calibri" w:cs="Times New Roman"/>
                <w:sz w:val="20"/>
                <w:szCs w:val="20"/>
              </w:rPr>
            </w:pPr>
            <w:r w:rsidRPr="00AE4CE1">
              <w:rPr>
                <w:sz w:val="20"/>
                <w:szCs w:val="20"/>
              </w:rPr>
              <w:t>21,073</w:t>
            </w:r>
          </w:p>
        </w:tc>
        <w:tc>
          <w:tcPr>
            <w:tcW w:w="993" w:type="dxa"/>
            <w:noWrap/>
            <w:vAlign w:val="center"/>
          </w:tcPr>
          <w:p w14:paraId="6440D767" w14:textId="0FBA6882" w:rsidR="00D53299" w:rsidRPr="00AE4CE1" w:rsidRDefault="00D53299" w:rsidP="00AE4CE1">
            <w:pPr>
              <w:jc w:val="center"/>
              <w:rPr>
                <w:rFonts w:ascii="Calibri" w:eastAsia="Times New Roman" w:hAnsi="Calibri" w:cs="Times New Roman"/>
                <w:sz w:val="20"/>
                <w:szCs w:val="20"/>
              </w:rPr>
            </w:pPr>
            <w:r w:rsidRPr="00AE4CE1">
              <w:rPr>
                <w:sz w:val="20"/>
                <w:szCs w:val="20"/>
              </w:rPr>
              <w:t>22,934</w:t>
            </w:r>
          </w:p>
        </w:tc>
      </w:tr>
      <w:tr w:rsidR="00D53299" w:rsidRPr="005A1475" w14:paraId="353232FC" w14:textId="77777777" w:rsidTr="00AE4CE1">
        <w:trPr>
          <w:trHeight w:val="320"/>
        </w:trPr>
        <w:tc>
          <w:tcPr>
            <w:tcW w:w="3856" w:type="dxa"/>
            <w:noWrap/>
          </w:tcPr>
          <w:p w14:paraId="2AA2726E" w14:textId="77777777" w:rsidR="00D53299" w:rsidRPr="00AE4CE1" w:rsidRDefault="00D53299" w:rsidP="0018712A">
            <w:pPr>
              <w:rPr>
                <w:rFonts w:ascii="Calibri" w:eastAsia="Times New Roman" w:hAnsi="Calibri" w:cs="Times New Roman"/>
                <w:sz w:val="20"/>
                <w:szCs w:val="20"/>
              </w:rPr>
            </w:pPr>
            <w:r w:rsidRPr="00AE4CE1">
              <w:rPr>
                <w:rFonts w:ascii="Calibri" w:eastAsia="Times New Roman" w:hAnsi="Calibri" w:cs="Times New Roman"/>
                <w:sz w:val="20"/>
                <w:szCs w:val="20"/>
              </w:rPr>
              <w:t>Methylphenidate MR (12 hour coverage)</w:t>
            </w:r>
          </w:p>
        </w:tc>
        <w:tc>
          <w:tcPr>
            <w:tcW w:w="992" w:type="dxa"/>
            <w:noWrap/>
            <w:vAlign w:val="center"/>
          </w:tcPr>
          <w:p w14:paraId="350C9E02" w14:textId="4D26652F" w:rsidR="00D53299" w:rsidRPr="00AE4CE1" w:rsidRDefault="00D53299" w:rsidP="00AE4CE1">
            <w:pPr>
              <w:jc w:val="center"/>
              <w:rPr>
                <w:rFonts w:ascii="Calibri" w:eastAsia="Times New Roman" w:hAnsi="Calibri" w:cs="Times New Roman"/>
                <w:sz w:val="20"/>
                <w:szCs w:val="20"/>
              </w:rPr>
            </w:pPr>
            <w:r w:rsidRPr="00AE4CE1">
              <w:rPr>
                <w:sz w:val="20"/>
                <w:szCs w:val="20"/>
              </w:rPr>
              <w:t>29,076</w:t>
            </w:r>
          </w:p>
        </w:tc>
        <w:tc>
          <w:tcPr>
            <w:tcW w:w="992" w:type="dxa"/>
            <w:noWrap/>
            <w:vAlign w:val="center"/>
          </w:tcPr>
          <w:p w14:paraId="40168779" w14:textId="2A9F1333" w:rsidR="00D53299" w:rsidRPr="00AE4CE1" w:rsidRDefault="00D53299" w:rsidP="00AE4CE1">
            <w:pPr>
              <w:jc w:val="center"/>
              <w:rPr>
                <w:rFonts w:ascii="Calibri" w:eastAsia="Times New Roman" w:hAnsi="Calibri" w:cs="Times New Roman"/>
                <w:sz w:val="20"/>
                <w:szCs w:val="20"/>
              </w:rPr>
            </w:pPr>
            <w:r w:rsidRPr="00AE4CE1">
              <w:rPr>
                <w:sz w:val="20"/>
                <w:szCs w:val="20"/>
              </w:rPr>
              <w:t>30,460</w:t>
            </w:r>
          </w:p>
        </w:tc>
        <w:tc>
          <w:tcPr>
            <w:tcW w:w="993" w:type="dxa"/>
            <w:noWrap/>
            <w:vAlign w:val="center"/>
          </w:tcPr>
          <w:p w14:paraId="3B57F124" w14:textId="107B60D7" w:rsidR="00D53299" w:rsidRPr="00AE4CE1" w:rsidRDefault="00D53299" w:rsidP="00AE4CE1">
            <w:pPr>
              <w:jc w:val="center"/>
              <w:rPr>
                <w:rFonts w:ascii="Calibri" w:eastAsia="Times New Roman" w:hAnsi="Calibri" w:cs="Times New Roman"/>
                <w:sz w:val="20"/>
                <w:szCs w:val="20"/>
              </w:rPr>
            </w:pPr>
            <w:r w:rsidRPr="00AE4CE1">
              <w:rPr>
                <w:sz w:val="20"/>
                <w:szCs w:val="20"/>
              </w:rPr>
              <w:t>33,014</w:t>
            </w:r>
          </w:p>
        </w:tc>
        <w:tc>
          <w:tcPr>
            <w:tcW w:w="992" w:type="dxa"/>
            <w:noWrap/>
            <w:vAlign w:val="center"/>
          </w:tcPr>
          <w:p w14:paraId="37CAD728" w14:textId="4FCF39DD" w:rsidR="00D53299" w:rsidRPr="00AE4CE1" w:rsidRDefault="00D53299" w:rsidP="00AE4CE1">
            <w:pPr>
              <w:jc w:val="center"/>
              <w:rPr>
                <w:rFonts w:ascii="Calibri" w:eastAsia="Times New Roman" w:hAnsi="Calibri" w:cs="Times New Roman"/>
                <w:sz w:val="20"/>
                <w:szCs w:val="20"/>
              </w:rPr>
            </w:pPr>
            <w:r w:rsidRPr="00AE4CE1">
              <w:rPr>
                <w:sz w:val="20"/>
                <w:szCs w:val="20"/>
              </w:rPr>
              <w:t>35,429</w:t>
            </w:r>
          </w:p>
        </w:tc>
        <w:tc>
          <w:tcPr>
            <w:tcW w:w="993" w:type="dxa"/>
            <w:noWrap/>
            <w:vAlign w:val="center"/>
          </w:tcPr>
          <w:p w14:paraId="7BACF4A4" w14:textId="7D3AA0D3" w:rsidR="00D53299" w:rsidRPr="00AE4CE1" w:rsidRDefault="00D53299" w:rsidP="00AE4CE1">
            <w:pPr>
              <w:jc w:val="center"/>
              <w:rPr>
                <w:rFonts w:ascii="Calibri" w:eastAsia="Times New Roman" w:hAnsi="Calibri" w:cs="Times New Roman"/>
                <w:sz w:val="20"/>
                <w:szCs w:val="20"/>
              </w:rPr>
            </w:pPr>
            <w:r w:rsidRPr="00AE4CE1">
              <w:rPr>
                <w:sz w:val="20"/>
                <w:szCs w:val="20"/>
              </w:rPr>
              <w:t>37,691</w:t>
            </w:r>
          </w:p>
        </w:tc>
      </w:tr>
      <w:tr w:rsidR="00D53299" w:rsidRPr="005A1475" w14:paraId="596EFDE3" w14:textId="77777777" w:rsidTr="00AE4CE1">
        <w:trPr>
          <w:trHeight w:val="297"/>
        </w:trPr>
        <w:tc>
          <w:tcPr>
            <w:tcW w:w="3856" w:type="dxa"/>
            <w:noWrap/>
          </w:tcPr>
          <w:p w14:paraId="61DACDAE" w14:textId="77777777" w:rsidR="00D53299" w:rsidRPr="00AE4CE1" w:rsidRDefault="00D53299" w:rsidP="0018712A">
            <w:pPr>
              <w:rPr>
                <w:rFonts w:ascii="Calibri" w:eastAsia="Times New Roman" w:hAnsi="Calibri" w:cs="Times New Roman"/>
                <w:sz w:val="20"/>
                <w:szCs w:val="20"/>
              </w:rPr>
            </w:pPr>
            <w:r w:rsidRPr="00AE4CE1">
              <w:rPr>
                <w:rFonts w:ascii="Calibri" w:eastAsia="Times New Roman" w:hAnsi="Calibri" w:cs="Times New Roman"/>
                <w:sz w:val="20"/>
                <w:szCs w:val="20"/>
              </w:rPr>
              <w:t>Atomoxetine</w:t>
            </w:r>
          </w:p>
        </w:tc>
        <w:tc>
          <w:tcPr>
            <w:tcW w:w="992" w:type="dxa"/>
            <w:noWrap/>
            <w:vAlign w:val="center"/>
          </w:tcPr>
          <w:p w14:paraId="221167C7" w14:textId="15E49EF6" w:rsidR="00D53299" w:rsidRPr="00AE4CE1" w:rsidRDefault="00D53299" w:rsidP="00AE4CE1">
            <w:pPr>
              <w:jc w:val="center"/>
              <w:rPr>
                <w:rFonts w:ascii="Calibri" w:eastAsia="Times New Roman" w:hAnsi="Calibri" w:cs="Times New Roman"/>
                <w:sz w:val="20"/>
                <w:szCs w:val="20"/>
              </w:rPr>
            </w:pPr>
            <w:r w:rsidRPr="00AE4CE1">
              <w:rPr>
                <w:sz w:val="20"/>
                <w:szCs w:val="20"/>
              </w:rPr>
              <w:t>6,739</w:t>
            </w:r>
          </w:p>
        </w:tc>
        <w:tc>
          <w:tcPr>
            <w:tcW w:w="992" w:type="dxa"/>
            <w:noWrap/>
            <w:vAlign w:val="center"/>
          </w:tcPr>
          <w:p w14:paraId="10C6EF6C" w14:textId="360487FE" w:rsidR="00D53299" w:rsidRPr="00AE4CE1" w:rsidRDefault="00D53299" w:rsidP="00AE4CE1">
            <w:pPr>
              <w:jc w:val="center"/>
              <w:rPr>
                <w:rFonts w:ascii="Calibri" w:eastAsia="Times New Roman" w:hAnsi="Calibri" w:cs="Times New Roman"/>
                <w:sz w:val="20"/>
                <w:szCs w:val="20"/>
              </w:rPr>
            </w:pPr>
            <w:r w:rsidRPr="00AE4CE1">
              <w:rPr>
                <w:sz w:val="20"/>
                <w:szCs w:val="20"/>
              </w:rPr>
              <w:t>6,884</w:t>
            </w:r>
          </w:p>
        </w:tc>
        <w:tc>
          <w:tcPr>
            <w:tcW w:w="993" w:type="dxa"/>
            <w:noWrap/>
            <w:vAlign w:val="center"/>
          </w:tcPr>
          <w:p w14:paraId="3ADBC991" w14:textId="01801983" w:rsidR="00D53299" w:rsidRPr="00AE4CE1" w:rsidRDefault="00D53299" w:rsidP="00AE4CE1">
            <w:pPr>
              <w:jc w:val="center"/>
              <w:rPr>
                <w:rFonts w:ascii="Calibri" w:eastAsia="Times New Roman" w:hAnsi="Calibri" w:cs="Times New Roman"/>
                <w:sz w:val="20"/>
                <w:szCs w:val="20"/>
              </w:rPr>
            </w:pPr>
            <w:r w:rsidRPr="00AE4CE1">
              <w:rPr>
                <w:sz w:val="20"/>
                <w:szCs w:val="20"/>
              </w:rPr>
              <w:t>7,003</w:t>
            </w:r>
          </w:p>
        </w:tc>
        <w:tc>
          <w:tcPr>
            <w:tcW w:w="992" w:type="dxa"/>
            <w:noWrap/>
            <w:vAlign w:val="center"/>
          </w:tcPr>
          <w:p w14:paraId="1CD09685" w14:textId="26448494" w:rsidR="00D53299" w:rsidRPr="00AE4CE1" w:rsidRDefault="00D53299" w:rsidP="00AE4CE1">
            <w:pPr>
              <w:jc w:val="center"/>
              <w:rPr>
                <w:rFonts w:ascii="Calibri" w:eastAsia="Times New Roman" w:hAnsi="Calibri" w:cs="Times New Roman"/>
                <w:sz w:val="20"/>
                <w:szCs w:val="20"/>
              </w:rPr>
            </w:pPr>
            <w:r w:rsidRPr="00AE4CE1">
              <w:rPr>
                <w:sz w:val="20"/>
                <w:szCs w:val="20"/>
              </w:rPr>
              <w:t>7,295</w:t>
            </w:r>
          </w:p>
        </w:tc>
        <w:tc>
          <w:tcPr>
            <w:tcW w:w="993" w:type="dxa"/>
            <w:noWrap/>
            <w:vAlign w:val="center"/>
          </w:tcPr>
          <w:p w14:paraId="092B33CD" w14:textId="77777777" w:rsidR="00D53299" w:rsidRPr="00AE4CE1" w:rsidRDefault="00D53299" w:rsidP="00AE4CE1">
            <w:pPr>
              <w:jc w:val="center"/>
              <w:rPr>
                <w:rFonts w:ascii="Calibri" w:eastAsia="Times New Roman" w:hAnsi="Calibri" w:cs="Times New Roman"/>
                <w:sz w:val="20"/>
                <w:szCs w:val="20"/>
              </w:rPr>
            </w:pPr>
            <w:r w:rsidRPr="00AE4CE1">
              <w:rPr>
                <w:rFonts w:ascii="Calibri" w:eastAsia="Times New Roman" w:hAnsi="Calibri" w:cs="Times New Roman"/>
                <w:sz w:val="20"/>
                <w:szCs w:val="20"/>
              </w:rPr>
              <w:t>7,493*</w:t>
            </w:r>
          </w:p>
        </w:tc>
      </w:tr>
      <w:tr w:rsidR="00D53299" w:rsidRPr="00BC727E" w14:paraId="2073B71D" w14:textId="77777777" w:rsidTr="00AE4CE1">
        <w:trPr>
          <w:trHeight w:val="297"/>
        </w:trPr>
        <w:tc>
          <w:tcPr>
            <w:tcW w:w="3856" w:type="dxa"/>
            <w:noWrap/>
            <w:hideMark/>
          </w:tcPr>
          <w:p w14:paraId="120ED312" w14:textId="77777777" w:rsidR="00D53299" w:rsidRPr="00AE4CE1" w:rsidRDefault="00D53299" w:rsidP="0018712A">
            <w:pPr>
              <w:rPr>
                <w:rFonts w:ascii="Calibri" w:eastAsia="Times New Roman" w:hAnsi="Calibri" w:cs="Times New Roman"/>
                <w:b/>
                <w:sz w:val="20"/>
                <w:szCs w:val="20"/>
              </w:rPr>
            </w:pPr>
            <w:r w:rsidRPr="00AE4CE1">
              <w:rPr>
                <w:rFonts w:ascii="Calibri" w:eastAsia="Times New Roman" w:hAnsi="Calibri" w:cs="Times New Roman"/>
                <w:b/>
                <w:sz w:val="20"/>
                <w:szCs w:val="20"/>
              </w:rPr>
              <w:t>Total All patients</w:t>
            </w:r>
          </w:p>
        </w:tc>
        <w:tc>
          <w:tcPr>
            <w:tcW w:w="992" w:type="dxa"/>
            <w:noWrap/>
            <w:vAlign w:val="center"/>
          </w:tcPr>
          <w:p w14:paraId="5DC418B4" w14:textId="45FAD87F" w:rsidR="00D53299" w:rsidRPr="00AE4CE1" w:rsidRDefault="00D53299" w:rsidP="00AE4CE1">
            <w:pPr>
              <w:jc w:val="center"/>
              <w:rPr>
                <w:rFonts w:ascii="Calibri" w:eastAsia="Times New Roman" w:hAnsi="Calibri" w:cs="Times New Roman"/>
                <w:b/>
                <w:sz w:val="20"/>
                <w:szCs w:val="20"/>
              </w:rPr>
            </w:pPr>
            <w:r w:rsidRPr="00AE4CE1">
              <w:rPr>
                <w:sz w:val="20"/>
                <w:szCs w:val="20"/>
              </w:rPr>
              <w:t>89,342</w:t>
            </w:r>
          </w:p>
        </w:tc>
        <w:tc>
          <w:tcPr>
            <w:tcW w:w="992" w:type="dxa"/>
            <w:noWrap/>
            <w:vAlign w:val="center"/>
          </w:tcPr>
          <w:p w14:paraId="46F48FF3" w14:textId="7AF38079" w:rsidR="00D53299" w:rsidRPr="00AE4CE1" w:rsidRDefault="00D53299" w:rsidP="00AE4CE1">
            <w:pPr>
              <w:jc w:val="center"/>
              <w:rPr>
                <w:rFonts w:ascii="Calibri" w:eastAsia="Times New Roman" w:hAnsi="Calibri" w:cs="Times New Roman"/>
                <w:b/>
                <w:sz w:val="20"/>
                <w:szCs w:val="20"/>
              </w:rPr>
            </w:pPr>
            <w:r w:rsidRPr="00AE4CE1">
              <w:rPr>
                <w:sz w:val="20"/>
                <w:szCs w:val="20"/>
              </w:rPr>
              <w:t>96,118</w:t>
            </w:r>
          </w:p>
        </w:tc>
        <w:tc>
          <w:tcPr>
            <w:tcW w:w="993" w:type="dxa"/>
            <w:noWrap/>
            <w:vAlign w:val="center"/>
          </w:tcPr>
          <w:p w14:paraId="2F433FF6" w14:textId="620F9CCC" w:rsidR="00D53299" w:rsidRPr="00AE4CE1" w:rsidRDefault="00D53299" w:rsidP="00AE4CE1">
            <w:pPr>
              <w:jc w:val="center"/>
              <w:rPr>
                <w:rFonts w:ascii="Calibri" w:eastAsia="Times New Roman" w:hAnsi="Calibri" w:cs="Times New Roman"/>
                <w:b/>
                <w:sz w:val="20"/>
                <w:szCs w:val="20"/>
              </w:rPr>
            </w:pPr>
            <w:r w:rsidRPr="00AE4CE1">
              <w:rPr>
                <w:sz w:val="20"/>
                <w:szCs w:val="20"/>
              </w:rPr>
              <w:t>103,451</w:t>
            </w:r>
          </w:p>
        </w:tc>
        <w:tc>
          <w:tcPr>
            <w:tcW w:w="992" w:type="dxa"/>
            <w:noWrap/>
            <w:vAlign w:val="center"/>
          </w:tcPr>
          <w:p w14:paraId="41F97C4F" w14:textId="55D0653B" w:rsidR="00D53299" w:rsidRPr="00AE4CE1" w:rsidRDefault="00D53299" w:rsidP="00AE4CE1">
            <w:pPr>
              <w:jc w:val="center"/>
              <w:rPr>
                <w:rFonts w:ascii="Calibri" w:eastAsia="Times New Roman" w:hAnsi="Calibri" w:cs="Times New Roman"/>
                <w:b/>
                <w:sz w:val="20"/>
                <w:szCs w:val="20"/>
              </w:rPr>
            </w:pPr>
            <w:r w:rsidRPr="00AE4CE1">
              <w:rPr>
                <w:sz w:val="20"/>
                <w:szCs w:val="20"/>
              </w:rPr>
              <w:t>111,712</w:t>
            </w:r>
          </w:p>
        </w:tc>
        <w:tc>
          <w:tcPr>
            <w:tcW w:w="993" w:type="dxa"/>
            <w:noWrap/>
            <w:vAlign w:val="center"/>
          </w:tcPr>
          <w:p w14:paraId="1B22C888" w14:textId="41FE7720" w:rsidR="00D53299" w:rsidRPr="00AE4CE1" w:rsidRDefault="00D53299" w:rsidP="00AE4CE1">
            <w:pPr>
              <w:jc w:val="center"/>
              <w:rPr>
                <w:rFonts w:ascii="Calibri" w:eastAsia="Times New Roman" w:hAnsi="Calibri" w:cs="Times New Roman"/>
                <w:b/>
                <w:sz w:val="20"/>
                <w:szCs w:val="20"/>
              </w:rPr>
            </w:pPr>
            <w:r w:rsidRPr="00AE4CE1">
              <w:rPr>
                <w:sz w:val="20"/>
                <w:szCs w:val="20"/>
              </w:rPr>
              <w:t>117,403</w:t>
            </w:r>
          </w:p>
        </w:tc>
      </w:tr>
    </w:tbl>
    <w:p w14:paraId="64148A4E" w14:textId="77777777" w:rsidR="00D53299" w:rsidRPr="002B64EF" w:rsidRDefault="00D53299" w:rsidP="00D53299">
      <w:pPr>
        <w:spacing w:after="0"/>
        <w:rPr>
          <w:sz w:val="20"/>
        </w:rPr>
      </w:pPr>
      <w:r w:rsidRPr="002B64EF">
        <w:rPr>
          <w:sz w:val="20"/>
        </w:rPr>
        <w:t>Source: Medicare authority approval data, extracted May 2015</w:t>
      </w:r>
    </w:p>
    <w:p w14:paraId="030AB851" w14:textId="77777777" w:rsidR="00D53299" w:rsidRPr="00062CC2" w:rsidRDefault="00D53299" w:rsidP="00D53299">
      <w:pPr>
        <w:rPr>
          <w:sz w:val="22"/>
        </w:rPr>
      </w:pPr>
      <w:r w:rsidRPr="002B64EF">
        <w:rPr>
          <w:sz w:val="20"/>
        </w:rPr>
        <w:t>*For 2014 only, Medicare pharmacy claims data was used for atomoxetine, due to its listing being streamlined in August 2014.</w:t>
      </w:r>
    </w:p>
    <w:p w14:paraId="184037B2" w14:textId="77777777" w:rsidR="00DE583D" w:rsidRDefault="00DE583D" w:rsidP="00DE583D">
      <w:pPr>
        <w:rPr>
          <w:rFonts w:ascii="Calibri" w:eastAsia="MS Mincho" w:hAnsi="Calibri" w:cs="Times New Roman"/>
        </w:rPr>
      </w:pPr>
      <w:r>
        <w:rPr>
          <w:rFonts w:ascii="Calibri" w:eastAsia="MS Mincho" w:hAnsi="Calibri" w:cs="Times New Roman"/>
        </w:rPr>
        <w:t>Most people start PBS therapy with the short acting medicines, dexamphetamine and methylphenidate IR, which is consistent with clinical guidelines.</w:t>
      </w:r>
      <w:r w:rsidRPr="005E0E68">
        <w:rPr>
          <w:rFonts w:ascii="Calibri" w:eastAsia="MS Mincho" w:hAnsi="Calibri" w:cs="Times New Roman"/>
          <w:vertAlign w:val="superscript"/>
        </w:rPr>
        <w:fldChar w:fldCharType="begin"/>
      </w:r>
      <w:r w:rsidRPr="005E0E68">
        <w:rPr>
          <w:rFonts w:ascii="Calibri" w:eastAsia="MS Mincho" w:hAnsi="Calibri" w:cs="Times New Roman"/>
          <w:vertAlign w:val="superscript"/>
        </w:rPr>
        <w:instrText xml:space="preserve"> NOTEREF _Ref418677536 \h </w:instrText>
      </w:r>
      <w:r>
        <w:rPr>
          <w:rFonts w:ascii="Calibri" w:eastAsia="MS Mincho" w:hAnsi="Calibri" w:cs="Times New Roman"/>
          <w:vertAlign w:val="superscript"/>
        </w:rPr>
        <w:instrText xml:space="preserve"> \* MERGEFORMAT </w:instrText>
      </w:r>
      <w:r w:rsidRPr="005E0E68">
        <w:rPr>
          <w:rFonts w:ascii="Calibri" w:eastAsia="MS Mincho" w:hAnsi="Calibri" w:cs="Times New Roman"/>
          <w:vertAlign w:val="superscript"/>
        </w:rPr>
      </w:r>
      <w:r w:rsidRPr="005E0E68">
        <w:rPr>
          <w:rFonts w:ascii="Calibri" w:eastAsia="MS Mincho" w:hAnsi="Calibri" w:cs="Times New Roman"/>
          <w:vertAlign w:val="superscript"/>
        </w:rPr>
        <w:fldChar w:fldCharType="separate"/>
      </w:r>
      <w:r w:rsidR="00C1646A">
        <w:rPr>
          <w:rFonts w:ascii="Calibri" w:eastAsia="MS Mincho" w:hAnsi="Calibri" w:cs="Times New Roman"/>
          <w:vertAlign w:val="superscript"/>
        </w:rPr>
        <w:t>xv</w:t>
      </w:r>
      <w:r w:rsidRPr="005E0E68">
        <w:rPr>
          <w:rFonts w:ascii="Calibri" w:eastAsia="MS Mincho" w:hAnsi="Calibri" w:cs="Times New Roman"/>
          <w:vertAlign w:val="superscript"/>
        </w:rPr>
        <w:fldChar w:fldCharType="end"/>
      </w:r>
      <w:r>
        <w:rPr>
          <w:rFonts w:ascii="Calibri" w:eastAsia="MS Mincho" w:hAnsi="Calibri" w:cs="Times New Roman"/>
        </w:rPr>
        <w:t xml:space="preserve"> A small proportion of people </w:t>
      </w:r>
      <w:r w:rsidRPr="00C44FD6">
        <w:rPr>
          <w:rFonts w:ascii="Calibri" w:eastAsia="MS Mincho" w:hAnsi="Calibri" w:cs="Times New Roman"/>
        </w:rPr>
        <w:t>initiated PBS therapy on modified release forms of methylphenidate. Initiating</w:t>
      </w:r>
      <w:r>
        <w:rPr>
          <w:rFonts w:ascii="Calibri" w:eastAsia="MS Mincho" w:hAnsi="Calibri" w:cs="Times New Roman"/>
        </w:rPr>
        <w:t xml:space="preserve"> therapy on modified release forms of methylphenidate is inconsistent with both guidelines and the PBS restriction.</w:t>
      </w:r>
    </w:p>
    <w:p w14:paraId="72A55F8F" w14:textId="77777777" w:rsidR="00DE583D" w:rsidRDefault="00DE583D" w:rsidP="00DE583D">
      <w:pPr>
        <w:rPr>
          <w:rFonts w:ascii="Calibri" w:eastAsia="MS Mincho" w:hAnsi="Calibri" w:cs="Times New Roman"/>
        </w:rPr>
      </w:pPr>
      <w:r>
        <w:rPr>
          <w:rFonts w:ascii="Calibri" w:eastAsia="MS Mincho" w:hAnsi="Calibri" w:cs="Times New Roman"/>
        </w:rPr>
        <w:t>When considering all patients, methylphenidate MR is used by most people. The number of individuals prescribed methylphenidate IR is much higher than the number of people starting ADHD therapy on methylphenidate IR, indicating that</w:t>
      </w:r>
      <w:r w:rsidRPr="006A1468">
        <w:rPr>
          <w:rFonts w:ascii="Calibri" w:eastAsia="MS Mincho" w:hAnsi="Calibri" w:cs="Times New Roman"/>
        </w:rPr>
        <w:t xml:space="preserve"> </w:t>
      </w:r>
      <w:r>
        <w:rPr>
          <w:rFonts w:ascii="Calibri" w:eastAsia="MS Mincho" w:hAnsi="Calibri" w:cs="Times New Roman"/>
        </w:rPr>
        <w:t xml:space="preserve">methylphenidate IR and MR forms are likely to be used together in some people. </w:t>
      </w:r>
    </w:p>
    <w:p w14:paraId="4D4FDE1F" w14:textId="77777777" w:rsidR="00DE583D" w:rsidRDefault="00DE583D" w:rsidP="00DE583D">
      <w:pPr>
        <w:rPr>
          <w:rFonts w:ascii="Calibri" w:eastAsia="MS Mincho" w:hAnsi="Calibri" w:cs="Times New Roman"/>
        </w:rPr>
      </w:pPr>
      <w:r>
        <w:rPr>
          <w:rFonts w:ascii="Calibri" w:eastAsia="MS Mincho" w:hAnsi="Calibri" w:cs="Times New Roman"/>
        </w:rPr>
        <w:t xml:space="preserve">Atomoxetine is used in a very small proportion of patients. Use is stable and in the short time since the Authority Required restriction was simplified and changed to streamlined (August 2014) use does not appear to have increased at a higher rate.  </w:t>
      </w:r>
    </w:p>
    <w:p w14:paraId="0C0917C4" w14:textId="77777777" w:rsidR="00DE583D" w:rsidRPr="00AD0BB8" w:rsidRDefault="00DE583D" w:rsidP="00DE583D">
      <w:pPr>
        <w:rPr>
          <w:rFonts w:ascii="Calibri" w:eastAsia="MS Mincho" w:hAnsi="Calibri" w:cs="Times New Roman"/>
        </w:rPr>
      </w:pPr>
      <w:r w:rsidRPr="00AD0BB8">
        <w:rPr>
          <w:rFonts w:ascii="Calibri" w:eastAsia="MS Mincho" w:hAnsi="Calibri" w:cs="Times New Roman"/>
        </w:rPr>
        <w:t xml:space="preserve">The choice of medicine may vary by age. Figures </w:t>
      </w:r>
      <w:r>
        <w:rPr>
          <w:rFonts w:ascii="Calibri" w:eastAsia="MS Mincho" w:hAnsi="Calibri" w:cs="Times New Roman"/>
        </w:rPr>
        <w:t xml:space="preserve">6 and 7 </w:t>
      </w:r>
      <w:r w:rsidRPr="00AD0BB8">
        <w:rPr>
          <w:rFonts w:ascii="Calibri" w:eastAsia="MS Mincho" w:hAnsi="Calibri" w:cs="Times New Roman"/>
        </w:rPr>
        <w:t>show the age distribution of medicine</w:t>
      </w:r>
      <w:r>
        <w:rPr>
          <w:rFonts w:ascii="Calibri" w:eastAsia="MS Mincho" w:hAnsi="Calibri" w:cs="Times New Roman"/>
        </w:rPr>
        <w:t>s</w:t>
      </w:r>
      <w:r w:rsidRPr="00AD0BB8">
        <w:rPr>
          <w:rFonts w:ascii="Calibri" w:eastAsia="MS Mincho" w:hAnsi="Calibri" w:cs="Times New Roman"/>
        </w:rPr>
        <w:t xml:space="preserve"> used for new and all patients in 2014.</w:t>
      </w:r>
    </w:p>
    <w:p w14:paraId="53E17F23" w14:textId="77777777" w:rsidR="00DE583D" w:rsidRDefault="00DE583D" w:rsidP="00D60536">
      <w:pPr>
        <w:pStyle w:val="Figuretitle"/>
        <w:rPr>
          <w:highlight w:val="yellow"/>
        </w:rPr>
      </w:pPr>
      <w:r>
        <w:rPr>
          <w:noProof/>
          <w:lang w:val="en-AU"/>
        </w:rPr>
        <w:drawing>
          <wp:inline distT="0" distB="0" distL="0" distR="0" wp14:anchorId="0CBB77E0" wp14:editId="42AEFD25">
            <wp:extent cx="5760720" cy="3918644"/>
            <wp:effectExtent l="0" t="0" r="11430" b="24765"/>
            <wp:docPr id="8" name="Chart 8" title="Figure 6 shows the medicines used to initiate PBS ADHD therapy by patient age in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D73FC1" w14:textId="77777777" w:rsidR="00DE583D" w:rsidRDefault="00DE583D" w:rsidP="00D60536">
      <w:pPr>
        <w:pStyle w:val="Figuretitle"/>
      </w:pPr>
      <w:r w:rsidRPr="000C5825">
        <w:t>Figure 6: Medicines</w:t>
      </w:r>
      <w:r>
        <w:t xml:space="preserve"> used to initiate PBS ADHD therapy by patient age in 2014</w:t>
      </w:r>
    </w:p>
    <w:p w14:paraId="38B58104" w14:textId="77777777" w:rsidR="00DE583D" w:rsidRDefault="00DE583D" w:rsidP="00DE583D">
      <w:pPr>
        <w:pStyle w:val="Notes"/>
      </w:pPr>
      <w:r>
        <w:t>Source: Medicare pharmacy claims database; extracted 1 April 2015.</w:t>
      </w:r>
    </w:p>
    <w:p w14:paraId="26234F3F" w14:textId="77777777" w:rsidR="00DE583D" w:rsidRDefault="00DE583D" w:rsidP="00DE583D">
      <w:pPr>
        <w:pStyle w:val="Notes"/>
      </w:pPr>
    </w:p>
    <w:p w14:paraId="33A3E0BB" w14:textId="77777777" w:rsidR="00DE583D" w:rsidRPr="005A1475" w:rsidRDefault="00DE583D" w:rsidP="00DE583D">
      <w:pPr>
        <w:keepNext/>
        <w:keepLines/>
        <w:rPr>
          <w:rFonts w:ascii="Calibri" w:eastAsia="MS Mincho" w:hAnsi="Calibri" w:cs="Times New Roman"/>
        </w:rPr>
      </w:pPr>
      <w:r>
        <w:rPr>
          <w:noProof/>
        </w:rPr>
        <w:drawing>
          <wp:inline distT="0" distB="0" distL="0" distR="0" wp14:anchorId="0AC3217B" wp14:editId="462C6739">
            <wp:extent cx="5762846" cy="3891236"/>
            <wp:effectExtent l="0" t="0" r="9525" b="14605"/>
            <wp:docPr id="1" name="Chart 1" title="Figure 7 shows the number of people supplied PBS ADHD medicine in 2014 by age and medic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0F12C4B" w14:textId="77777777" w:rsidR="00DE583D" w:rsidRPr="00075A88" w:rsidRDefault="00DE583D" w:rsidP="00D60536">
      <w:pPr>
        <w:pStyle w:val="Figuretitle"/>
      </w:pPr>
      <w:r w:rsidRPr="00075A88">
        <w:t>Figure 7: People supplied PBS ADHD medicine in 2014 by age and medicine</w:t>
      </w:r>
    </w:p>
    <w:p w14:paraId="2F3D023A" w14:textId="77777777" w:rsidR="00DE583D" w:rsidRPr="000C5825" w:rsidRDefault="00DE583D" w:rsidP="00DE583D">
      <w:pPr>
        <w:pStyle w:val="Notes"/>
      </w:pPr>
      <w:r w:rsidRPr="000C5825">
        <w:t xml:space="preserve">Source: Medicare pharmacy claims database; extracted 1 April 2015. </w:t>
      </w:r>
    </w:p>
    <w:p w14:paraId="528B41C3" w14:textId="77777777" w:rsidR="00DE583D" w:rsidRPr="000C5825" w:rsidRDefault="00DE583D" w:rsidP="00DE583D">
      <w:pPr>
        <w:rPr>
          <w:rFonts w:ascii="Calibri" w:eastAsia="MS Mincho" w:hAnsi="Calibri" w:cs="Times New Roman"/>
        </w:rPr>
      </w:pPr>
      <w:r w:rsidRPr="000C5825">
        <w:rPr>
          <w:rFonts w:ascii="Calibri" w:eastAsia="MS Mincho" w:hAnsi="Calibri" w:cs="Times New Roman"/>
        </w:rPr>
        <w:t xml:space="preserve">In adults commencing PBS subsidised therapy for the first time, dexamphetamine is the most common medicine, followed by short acting methylphenidate (Figure 6). </w:t>
      </w:r>
    </w:p>
    <w:p w14:paraId="4366B5C0" w14:textId="77777777" w:rsidR="00DE583D" w:rsidRPr="000C5825" w:rsidRDefault="00DE583D" w:rsidP="00DE583D">
      <w:pPr>
        <w:rPr>
          <w:rFonts w:ascii="Calibri" w:eastAsia="MS Mincho" w:hAnsi="Calibri" w:cs="Times New Roman"/>
        </w:rPr>
      </w:pPr>
      <w:r w:rsidRPr="000C5825">
        <w:rPr>
          <w:rFonts w:ascii="Calibri" w:eastAsia="MS Mincho" w:hAnsi="Calibri" w:cs="Times New Roman"/>
        </w:rPr>
        <w:t xml:space="preserve">In children and adolescents, the most common first prescribed medicine for ADHD is short acting methylphenidate (Figure 6). While short acting methylphenidate is the most used product in school-aged children, long acting methylphenidate formulations also have large market share in this age group (Figure 7). </w:t>
      </w:r>
      <w:r w:rsidRPr="002B64EF">
        <w:rPr>
          <w:rFonts w:ascii="Calibri" w:eastAsia="MS Mincho" w:hAnsi="Calibri" w:cs="Times New Roman"/>
        </w:rPr>
        <w:t>This indicates that children either switch therapy from immediate release to modified release formulations or that modified release formulations are added to immediate release therapy; consistent with guidelines and PBS listings.</w:t>
      </w:r>
    </w:p>
    <w:p w14:paraId="56574D68" w14:textId="77777777" w:rsidR="00DE583D" w:rsidRDefault="00DE583D" w:rsidP="00DE583D">
      <w:pPr>
        <w:rPr>
          <w:rFonts w:ascii="Calibri" w:eastAsia="MS Mincho" w:hAnsi="Calibri" w:cs="Times New Roman"/>
        </w:rPr>
      </w:pPr>
      <w:r w:rsidRPr="000C5825">
        <w:rPr>
          <w:rFonts w:ascii="Calibri" w:eastAsia="MS Mincho" w:hAnsi="Calibri" w:cs="Times New Roman"/>
        </w:rPr>
        <w:t>When considering all patients (Figure 7), th</w:t>
      </w:r>
      <w:r w:rsidRPr="002E5F7D">
        <w:rPr>
          <w:rFonts w:ascii="Calibri" w:eastAsia="MS Mincho" w:hAnsi="Calibri" w:cs="Times New Roman"/>
        </w:rPr>
        <w:t>e number of people supplied MPH-IR peaks at 7 years of age, MPH-MR (Ritalin LA) at 10 years of age, MPH-MR (Concerta) at 12 years of age and atomoxetine at 11 years of age. The age of people supplied dexamphetamine has a bimodal distribution, with a peak at 28 years and a secondary peak at 9 years.</w:t>
      </w:r>
    </w:p>
    <w:p w14:paraId="6E4173A2" w14:textId="77777777" w:rsidR="00DE583D" w:rsidRDefault="00DE583D" w:rsidP="00075A88">
      <w:pPr>
        <w:pStyle w:val="Heading4"/>
      </w:pPr>
      <w:r>
        <w:t>Duration on PBS therapy</w:t>
      </w:r>
    </w:p>
    <w:p w14:paraId="5FFDFA6C" w14:textId="77777777" w:rsidR="00DE583D" w:rsidRDefault="00DE583D" w:rsidP="00DE583D">
      <w:r>
        <w:t>A Kaplan-</w:t>
      </w:r>
      <w:r w:rsidRPr="000C5825">
        <w:t>Meier analysis was</w:t>
      </w:r>
      <w:r>
        <w:t xml:space="preserve"> used to show the length of time people remain on treatment. The overall median length of treatment on ADHD medicine was 4.2 years, and the mean was 5.0 years (Figure 8). </w:t>
      </w:r>
    </w:p>
    <w:p w14:paraId="2D7CE2B8" w14:textId="77777777" w:rsidR="00DE583D" w:rsidRDefault="00DE583D" w:rsidP="00D60536">
      <w:pPr>
        <w:pStyle w:val="Figuretitle"/>
        <w:rPr>
          <w:rFonts w:cs="Arial"/>
        </w:rPr>
      </w:pPr>
      <w:r>
        <w:rPr>
          <w:noProof/>
          <w:lang w:val="en-AU"/>
        </w:rPr>
        <w:drawing>
          <wp:inline distT="0" distB="0" distL="0" distR="0" wp14:anchorId="3487AA82" wp14:editId="7F1A876F">
            <wp:extent cx="5585037" cy="3548336"/>
            <wp:effectExtent l="0" t="0" r="0" b="0"/>
            <wp:docPr id="17" name="Picture 17" title="Figure 8 is a Kaplan-Meier length of treat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299" t="8664" r="1094" b="1485"/>
                    <a:stretch/>
                  </pic:blipFill>
                  <pic:spPr bwMode="auto">
                    <a:xfrm>
                      <a:off x="0" y="0"/>
                      <a:ext cx="5594403" cy="3554287"/>
                    </a:xfrm>
                    <a:prstGeom prst="rect">
                      <a:avLst/>
                    </a:prstGeom>
                    <a:noFill/>
                    <a:ln>
                      <a:noFill/>
                    </a:ln>
                    <a:extLst>
                      <a:ext uri="{53640926-AAD7-44D8-BBD7-CCE9431645EC}">
                        <a14:shadowObscured xmlns:a14="http://schemas.microsoft.com/office/drawing/2010/main"/>
                      </a:ext>
                    </a:extLst>
                  </pic:spPr>
                </pic:pic>
              </a:graphicData>
            </a:graphic>
          </wp:inline>
        </w:drawing>
      </w:r>
    </w:p>
    <w:p w14:paraId="2B126C62" w14:textId="77777777" w:rsidR="00DE583D" w:rsidRPr="00EA3252" w:rsidRDefault="00DE583D" w:rsidP="00D60536">
      <w:pPr>
        <w:pStyle w:val="Figuretitle"/>
      </w:pPr>
      <w:r w:rsidRPr="000C5825">
        <w:t>Figure 8: Kaplan</w:t>
      </w:r>
      <w:r>
        <w:t xml:space="preserve">-Meier length of treatment analysis </w:t>
      </w:r>
    </w:p>
    <w:p w14:paraId="575D9DD9" w14:textId="1CA85CE5" w:rsidR="00DE583D" w:rsidRDefault="00DE583D" w:rsidP="0052799A">
      <w:pPr>
        <w:spacing w:after="0"/>
        <w:rPr>
          <w:noProof/>
        </w:rPr>
      </w:pPr>
      <w:r w:rsidRPr="00D94458">
        <w:rPr>
          <w:rFonts w:cs="Baskerville"/>
          <w:sz w:val="20"/>
          <w:szCs w:val="20"/>
        </w:rPr>
        <w:t xml:space="preserve">Median = 4.2 years, Mean = 5.0 years </w:t>
      </w:r>
    </w:p>
    <w:p w14:paraId="3D7D620D" w14:textId="77777777" w:rsidR="00DE583D" w:rsidRDefault="00DE583D" w:rsidP="00D60536">
      <w:pPr>
        <w:pStyle w:val="Figuretitle"/>
        <w:rPr>
          <w:rFonts w:cs="Arial"/>
        </w:rPr>
      </w:pPr>
      <w:r>
        <w:rPr>
          <w:noProof/>
          <w:lang w:val="en-AU"/>
        </w:rPr>
        <w:drawing>
          <wp:inline distT="0" distB="0" distL="0" distR="0" wp14:anchorId="7FCEB4B5" wp14:editId="11042EB6">
            <wp:extent cx="5560828" cy="3976577"/>
            <wp:effectExtent l="0" t="0" r="1905" b="5080"/>
            <wp:docPr id="18" name="Picture 18" title="Figure 9 is a kaplan meier length of treatment analysis of inititators by calendar year from 2003 t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png"/>
                    <pic:cNvPicPr>
                      <a:picLocks noChangeAspect="1" noChangeArrowheads="1"/>
                    </pic:cNvPicPr>
                  </pic:nvPicPr>
                  <pic:blipFill rotWithShape="1">
                    <a:blip r:embed="rId26">
                      <a:extLst>
                        <a:ext uri="{28A0092B-C50C-407E-A947-70E740481C1C}">
                          <a14:useLocalDpi xmlns:a14="http://schemas.microsoft.com/office/drawing/2010/main" val="0"/>
                        </a:ext>
                      </a:extLst>
                    </a:blip>
                    <a:srcRect/>
                    <a:stretch/>
                  </pic:blipFill>
                  <pic:spPr bwMode="auto">
                    <a:xfrm>
                      <a:off x="0" y="0"/>
                      <a:ext cx="5562495" cy="3977769"/>
                    </a:xfrm>
                    <a:prstGeom prst="rect">
                      <a:avLst/>
                    </a:prstGeom>
                    <a:noFill/>
                    <a:ln>
                      <a:noFill/>
                    </a:ln>
                    <a:extLst>
                      <a:ext uri="{53640926-AAD7-44D8-BBD7-CCE9431645EC}">
                        <a14:shadowObscured xmlns:a14="http://schemas.microsoft.com/office/drawing/2010/main"/>
                      </a:ext>
                    </a:extLst>
                  </pic:spPr>
                </pic:pic>
              </a:graphicData>
            </a:graphic>
          </wp:inline>
        </w:drawing>
      </w:r>
    </w:p>
    <w:p w14:paraId="0E276CDC" w14:textId="77777777" w:rsidR="00DE583D" w:rsidRPr="00D60536" w:rsidRDefault="00DE583D" w:rsidP="00D60536">
      <w:pPr>
        <w:pStyle w:val="Figuretitle"/>
      </w:pPr>
      <w:r w:rsidRPr="00D60536">
        <w:t>Figure 9: Length of treatment – initiators by calendar year from 2003 to 2012</w:t>
      </w:r>
    </w:p>
    <w:p w14:paraId="38272671" w14:textId="77777777" w:rsidR="00DE4936" w:rsidRDefault="00DE4936">
      <w:pPr>
        <w:spacing w:line="276" w:lineRule="auto"/>
        <w:rPr>
          <w:rFonts w:eastAsiaTheme="majorEastAsia" w:cstheme="majorBidi"/>
          <w:b/>
          <w:bCs/>
          <w:i/>
        </w:rPr>
      </w:pPr>
      <w:r>
        <w:br w:type="page"/>
      </w:r>
    </w:p>
    <w:p w14:paraId="0E0722C1" w14:textId="528AF6B4" w:rsidR="00DE583D" w:rsidRDefault="00D43056" w:rsidP="00D60536">
      <w:pPr>
        <w:pStyle w:val="Tabletitle"/>
        <w:rPr>
          <w:rFonts w:cs="Arial"/>
        </w:rPr>
      </w:pPr>
      <w:r>
        <w:t>Table 10</w:t>
      </w:r>
      <w:r w:rsidR="00DE583D" w:rsidRPr="000C5825">
        <w:t>: Length</w:t>
      </w:r>
      <w:r w:rsidR="00DE583D">
        <w:t xml:space="preserve"> of treatment – initiators by calendar year from 2003 to 2012</w:t>
      </w:r>
    </w:p>
    <w:tbl>
      <w:tblPr>
        <w:tblStyle w:val="TableGrid"/>
        <w:tblW w:w="0" w:type="auto"/>
        <w:tblInd w:w="108" w:type="dxa"/>
        <w:tblLook w:val="04A0" w:firstRow="1" w:lastRow="0" w:firstColumn="1" w:lastColumn="0" w:noHBand="0" w:noVBand="1"/>
        <w:tblCaption w:val="Column one lists the year of initiaton, read across the row for median and then mean years spent on treatment in each year"/>
      </w:tblPr>
      <w:tblGrid>
        <w:gridCol w:w="2950"/>
        <w:gridCol w:w="3058"/>
        <w:gridCol w:w="3057"/>
      </w:tblGrid>
      <w:tr w:rsidR="00DE583D" w:rsidRPr="00DE754D" w14:paraId="7CA01947" w14:textId="77777777" w:rsidTr="00F35251">
        <w:trPr>
          <w:tblHeader/>
        </w:trPr>
        <w:tc>
          <w:tcPr>
            <w:tcW w:w="2950" w:type="dxa"/>
            <w:shd w:val="clear" w:color="auto" w:fill="D9D9D9" w:themeFill="background1" w:themeFillShade="D9"/>
          </w:tcPr>
          <w:p w14:paraId="42CD0D72" w14:textId="77777777" w:rsidR="00DE583D" w:rsidRPr="00DE4936" w:rsidRDefault="00DE583D" w:rsidP="0052799A">
            <w:pPr>
              <w:jc w:val="center"/>
              <w:rPr>
                <w:b/>
                <w:sz w:val="20"/>
                <w:szCs w:val="20"/>
              </w:rPr>
            </w:pPr>
            <w:r w:rsidRPr="00DE4936">
              <w:rPr>
                <w:b/>
                <w:sz w:val="20"/>
                <w:szCs w:val="20"/>
              </w:rPr>
              <w:t>Year of Initiation</w:t>
            </w:r>
          </w:p>
        </w:tc>
        <w:tc>
          <w:tcPr>
            <w:tcW w:w="3058" w:type="dxa"/>
            <w:shd w:val="clear" w:color="auto" w:fill="D9D9D9" w:themeFill="background1" w:themeFillShade="D9"/>
          </w:tcPr>
          <w:p w14:paraId="4F89A541" w14:textId="77777777" w:rsidR="00DE583D" w:rsidRPr="00DE4936" w:rsidRDefault="00DE583D" w:rsidP="0052799A">
            <w:pPr>
              <w:jc w:val="center"/>
              <w:rPr>
                <w:b/>
                <w:sz w:val="20"/>
                <w:szCs w:val="20"/>
              </w:rPr>
            </w:pPr>
            <w:r w:rsidRPr="00DE4936">
              <w:rPr>
                <w:b/>
                <w:sz w:val="20"/>
                <w:szCs w:val="20"/>
              </w:rPr>
              <w:t>Median (years)</w:t>
            </w:r>
          </w:p>
        </w:tc>
        <w:tc>
          <w:tcPr>
            <w:tcW w:w="3057" w:type="dxa"/>
            <w:shd w:val="clear" w:color="auto" w:fill="D9D9D9" w:themeFill="background1" w:themeFillShade="D9"/>
          </w:tcPr>
          <w:p w14:paraId="6E959C75" w14:textId="77777777" w:rsidR="00DE583D" w:rsidRPr="00DE4936" w:rsidRDefault="00DE583D" w:rsidP="0052799A">
            <w:pPr>
              <w:jc w:val="center"/>
              <w:rPr>
                <w:b/>
                <w:sz w:val="20"/>
                <w:szCs w:val="20"/>
              </w:rPr>
            </w:pPr>
            <w:r w:rsidRPr="00DE4936">
              <w:rPr>
                <w:b/>
                <w:sz w:val="20"/>
                <w:szCs w:val="20"/>
              </w:rPr>
              <w:t>Mean (years)</w:t>
            </w:r>
          </w:p>
        </w:tc>
      </w:tr>
      <w:tr w:rsidR="00DE583D" w14:paraId="3512FA82" w14:textId="77777777" w:rsidTr="00D414F6">
        <w:tc>
          <w:tcPr>
            <w:tcW w:w="2950" w:type="dxa"/>
          </w:tcPr>
          <w:p w14:paraId="24F6C4D6" w14:textId="77777777" w:rsidR="00DE583D" w:rsidRPr="00DE4936" w:rsidRDefault="00DE583D" w:rsidP="0052799A">
            <w:pPr>
              <w:jc w:val="center"/>
              <w:rPr>
                <w:sz w:val="20"/>
                <w:szCs w:val="20"/>
              </w:rPr>
            </w:pPr>
            <w:r w:rsidRPr="00DE4936">
              <w:rPr>
                <w:sz w:val="20"/>
                <w:szCs w:val="20"/>
              </w:rPr>
              <w:t>2003</w:t>
            </w:r>
          </w:p>
        </w:tc>
        <w:tc>
          <w:tcPr>
            <w:tcW w:w="3058" w:type="dxa"/>
            <w:vAlign w:val="bottom"/>
          </w:tcPr>
          <w:p w14:paraId="29EA0BF4" w14:textId="77777777" w:rsidR="00DE583D" w:rsidRPr="00DE4936" w:rsidRDefault="00DE583D" w:rsidP="0052799A">
            <w:pPr>
              <w:jc w:val="center"/>
              <w:rPr>
                <w:sz w:val="20"/>
                <w:szCs w:val="20"/>
              </w:rPr>
            </w:pPr>
            <w:r w:rsidRPr="00DE4936">
              <w:rPr>
                <w:rFonts w:ascii="Calibri" w:hAnsi="Calibri"/>
                <w:sz w:val="20"/>
                <w:szCs w:val="20"/>
              </w:rPr>
              <w:t>3.76</w:t>
            </w:r>
          </w:p>
        </w:tc>
        <w:tc>
          <w:tcPr>
            <w:tcW w:w="3057" w:type="dxa"/>
            <w:vAlign w:val="bottom"/>
          </w:tcPr>
          <w:p w14:paraId="12D94AB0" w14:textId="77777777" w:rsidR="00DE583D" w:rsidRPr="00DE4936" w:rsidRDefault="00DE583D" w:rsidP="0052799A">
            <w:pPr>
              <w:jc w:val="center"/>
              <w:rPr>
                <w:sz w:val="20"/>
                <w:szCs w:val="20"/>
              </w:rPr>
            </w:pPr>
            <w:r w:rsidRPr="00DE4936">
              <w:rPr>
                <w:rFonts w:ascii="Calibri" w:hAnsi="Calibri"/>
                <w:sz w:val="20"/>
                <w:szCs w:val="20"/>
              </w:rPr>
              <w:t>4.89</w:t>
            </w:r>
          </w:p>
        </w:tc>
      </w:tr>
      <w:tr w:rsidR="00DE583D" w14:paraId="2A858555" w14:textId="77777777" w:rsidTr="00D414F6">
        <w:tc>
          <w:tcPr>
            <w:tcW w:w="2950" w:type="dxa"/>
          </w:tcPr>
          <w:p w14:paraId="34212C63" w14:textId="77777777" w:rsidR="00DE583D" w:rsidRPr="00DE4936" w:rsidRDefault="00DE583D" w:rsidP="0052799A">
            <w:pPr>
              <w:jc w:val="center"/>
              <w:rPr>
                <w:sz w:val="20"/>
                <w:szCs w:val="20"/>
              </w:rPr>
            </w:pPr>
            <w:r w:rsidRPr="00DE4936">
              <w:rPr>
                <w:sz w:val="20"/>
                <w:szCs w:val="20"/>
              </w:rPr>
              <w:t>2004</w:t>
            </w:r>
          </w:p>
        </w:tc>
        <w:tc>
          <w:tcPr>
            <w:tcW w:w="3058" w:type="dxa"/>
            <w:vAlign w:val="bottom"/>
          </w:tcPr>
          <w:p w14:paraId="77B09FAA" w14:textId="77777777" w:rsidR="00DE583D" w:rsidRPr="00DE4936" w:rsidRDefault="00DE583D" w:rsidP="0052799A">
            <w:pPr>
              <w:jc w:val="center"/>
              <w:rPr>
                <w:sz w:val="20"/>
                <w:szCs w:val="20"/>
              </w:rPr>
            </w:pPr>
            <w:r w:rsidRPr="00DE4936">
              <w:rPr>
                <w:rFonts w:ascii="Calibri" w:hAnsi="Calibri"/>
                <w:sz w:val="20"/>
                <w:szCs w:val="20"/>
              </w:rPr>
              <w:t>4.10</w:t>
            </w:r>
          </w:p>
        </w:tc>
        <w:tc>
          <w:tcPr>
            <w:tcW w:w="3057" w:type="dxa"/>
            <w:vAlign w:val="bottom"/>
          </w:tcPr>
          <w:p w14:paraId="4DEA2475" w14:textId="77777777" w:rsidR="00DE583D" w:rsidRPr="00DE4936" w:rsidRDefault="00DE583D" w:rsidP="0052799A">
            <w:pPr>
              <w:jc w:val="center"/>
              <w:rPr>
                <w:sz w:val="20"/>
                <w:szCs w:val="20"/>
              </w:rPr>
            </w:pPr>
            <w:r w:rsidRPr="00DE4936">
              <w:rPr>
                <w:rFonts w:ascii="Calibri" w:hAnsi="Calibri"/>
                <w:sz w:val="20"/>
                <w:szCs w:val="20"/>
              </w:rPr>
              <w:t>4.79</w:t>
            </w:r>
          </w:p>
        </w:tc>
      </w:tr>
      <w:tr w:rsidR="00DE583D" w14:paraId="6E8F9657" w14:textId="77777777" w:rsidTr="00D414F6">
        <w:tc>
          <w:tcPr>
            <w:tcW w:w="2950" w:type="dxa"/>
          </w:tcPr>
          <w:p w14:paraId="5F58C5C6" w14:textId="77777777" w:rsidR="00DE583D" w:rsidRPr="00DE4936" w:rsidRDefault="00DE583D" w:rsidP="0052799A">
            <w:pPr>
              <w:jc w:val="center"/>
              <w:rPr>
                <w:sz w:val="20"/>
                <w:szCs w:val="20"/>
              </w:rPr>
            </w:pPr>
            <w:r w:rsidRPr="00DE4936">
              <w:rPr>
                <w:sz w:val="20"/>
                <w:szCs w:val="20"/>
              </w:rPr>
              <w:t>2005</w:t>
            </w:r>
          </w:p>
        </w:tc>
        <w:tc>
          <w:tcPr>
            <w:tcW w:w="3058" w:type="dxa"/>
            <w:vAlign w:val="bottom"/>
          </w:tcPr>
          <w:p w14:paraId="6BA82A19" w14:textId="77777777" w:rsidR="00DE583D" w:rsidRPr="00DE4936" w:rsidRDefault="00DE583D" w:rsidP="0052799A">
            <w:pPr>
              <w:jc w:val="center"/>
              <w:rPr>
                <w:sz w:val="20"/>
                <w:szCs w:val="20"/>
              </w:rPr>
            </w:pPr>
            <w:r w:rsidRPr="00DE4936">
              <w:rPr>
                <w:rFonts w:ascii="Calibri" w:hAnsi="Calibri"/>
                <w:sz w:val="20"/>
                <w:szCs w:val="20"/>
              </w:rPr>
              <w:t>4.88</w:t>
            </w:r>
          </w:p>
        </w:tc>
        <w:tc>
          <w:tcPr>
            <w:tcW w:w="3057" w:type="dxa"/>
            <w:vAlign w:val="bottom"/>
          </w:tcPr>
          <w:p w14:paraId="2D63F3E0" w14:textId="77777777" w:rsidR="00DE583D" w:rsidRPr="00DE4936" w:rsidRDefault="00DE583D" w:rsidP="0052799A">
            <w:pPr>
              <w:jc w:val="center"/>
              <w:rPr>
                <w:sz w:val="20"/>
                <w:szCs w:val="20"/>
              </w:rPr>
            </w:pPr>
            <w:r w:rsidRPr="00DE4936">
              <w:rPr>
                <w:rFonts w:ascii="Calibri" w:hAnsi="Calibri"/>
                <w:sz w:val="20"/>
                <w:szCs w:val="20"/>
              </w:rPr>
              <w:t>4.96</w:t>
            </w:r>
          </w:p>
        </w:tc>
      </w:tr>
      <w:tr w:rsidR="00DE583D" w14:paraId="1CFFF956" w14:textId="77777777" w:rsidTr="00D414F6">
        <w:tc>
          <w:tcPr>
            <w:tcW w:w="2950" w:type="dxa"/>
          </w:tcPr>
          <w:p w14:paraId="158769C4" w14:textId="77777777" w:rsidR="00DE583D" w:rsidRPr="00DE4936" w:rsidRDefault="00DE583D" w:rsidP="0052799A">
            <w:pPr>
              <w:jc w:val="center"/>
              <w:rPr>
                <w:sz w:val="20"/>
                <w:szCs w:val="20"/>
              </w:rPr>
            </w:pPr>
            <w:r w:rsidRPr="00DE4936">
              <w:rPr>
                <w:sz w:val="20"/>
                <w:szCs w:val="20"/>
              </w:rPr>
              <w:t>2006</w:t>
            </w:r>
          </w:p>
        </w:tc>
        <w:tc>
          <w:tcPr>
            <w:tcW w:w="3058" w:type="dxa"/>
            <w:vAlign w:val="bottom"/>
          </w:tcPr>
          <w:p w14:paraId="06F135BC" w14:textId="77777777" w:rsidR="00DE583D" w:rsidRPr="00DE4936" w:rsidRDefault="00DE583D" w:rsidP="0052799A">
            <w:pPr>
              <w:jc w:val="center"/>
              <w:rPr>
                <w:sz w:val="20"/>
                <w:szCs w:val="20"/>
              </w:rPr>
            </w:pPr>
            <w:r w:rsidRPr="00DE4936">
              <w:rPr>
                <w:rFonts w:ascii="Calibri" w:hAnsi="Calibri"/>
                <w:sz w:val="20"/>
                <w:szCs w:val="20"/>
              </w:rPr>
              <w:t>4.41</w:t>
            </w:r>
          </w:p>
        </w:tc>
        <w:tc>
          <w:tcPr>
            <w:tcW w:w="3057" w:type="dxa"/>
            <w:vAlign w:val="bottom"/>
          </w:tcPr>
          <w:p w14:paraId="6EA7233E" w14:textId="77777777" w:rsidR="00DE583D" w:rsidRPr="00DE4936" w:rsidRDefault="00DE583D" w:rsidP="0052799A">
            <w:pPr>
              <w:jc w:val="center"/>
              <w:rPr>
                <w:sz w:val="20"/>
                <w:szCs w:val="20"/>
              </w:rPr>
            </w:pPr>
            <w:r w:rsidRPr="00DE4936">
              <w:rPr>
                <w:rFonts w:ascii="Calibri" w:hAnsi="Calibri"/>
                <w:sz w:val="20"/>
                <w:szCs w:val="20"/>
              </w:rPr>
              <w:t>4.44</w:t>
            </w:r>
          </w:p>
        </w:tc>
      </w:tr>
      <w:tr w:rsidR="00DE583D" w14:paraId="6F35A46C" w14:textId="77777777" w:rsidTr="00D414F6">
        <w:trPr>
          <w:trHeight w:val="139"/>
        </w:trPr>
        <w:tc>
          <w:tcPr>
            <w:tcW w:w="2950" w:type="dxa"/>
          </w:tcPr>
          <w:p w14:paraId="230D1CCE" w14:textId="77777777" w:rsidR="00DE583D" w:rsidRPr="00DE4936" w:rsidRDefault="00DE583D" w:rsidP="0052799A">
            <w:pPr>
              <w:jc w:val="center"/>
              <w:rPr>
                <w:sz w:val="20"/>
                <w:szCs w:val="20"/>
              </w:rPr>
            </w:pPr>
            <w:r w:rsidRPr="00DE4936">
              <w:rPr>
                <w:sz w:val="20"/>
                <w:szCs w:val="20"/>
              </w:rPr>
              <w:t>2007</w:t>
            </w:r>
          </w:p>
        </w:tc>
        <w:tc>
          <w:tcPr>
            <w:tcW w:w="3058" w:type="dxa"/>
            <w:vAlign w:val="bottom"/>
          </w:tcPr>
          <w:p w14:paraId="4916C607" w14:textId="77777777" w:rsidR="00DE583D" w:rsidRPr="00DE4936" w:rsidRDefault="00DE583D" w:rsidP="0052799A">
            <w:pPr>
              <w:jc w:val="center"/>
              <w:rPr>
                <w:sz w:val="20"/>
                <w:szCs w:val="20"/>
              </w:rPr>
            </w:pPr>
            <w:r w:rsidRPr="00DE4936">
              <w:rPr>
                <w:rFonts w:ascii="Calibri" w:hAnsi="Calibri"/>
                <w:sz w:val="20"/>
                <w:szCs w:val="20"/>
              </w:rPr>
              <w:t>4.18</w:t>
            </w:r>
          </w:p>
        </w:tc>
        <w:tc>
          <w:tcPr>
            <w:tcW w:w="3057" w:type="dxa"/>
            <w:vAlign w:val="bottom"/>
          </w:tcPr>
          <w:p w14:paraId="09B7E76B" w14:textId="77777777" w:rsidR="00DE583D" w:rsidRPr="00DE4936" w:rsidRDefault="00DE583D" w:rsidP="0052799A">
            <w:pPr>
              <w:jc w:val="center"/>
              <w:rPr>
                <w:sz w:val="20"/>
                <w:szCs w:val="20"/>
              </w:rPr>
            </w:pPr>
            <w:r w:rsidRPr="00DE4936">
              <w:rPr>
                <w:rFonts w:ascii="Calibri" w:hAnsi="Calibri"/>
                <w:sz w:val="20"/>
                <w:szCs w:val="20"/>
              </w:rPr>
              <w:t>4.15</w:t>
            </w:r>
          </w:p>
        </w:tc>
      </w:tr>
      <w:tr w:rsidR="00DE583D" w14:paraId="5CDF37BA" w14:textId="77777777" w:rsidTr="00D414F6">
        <w:tc>
          <w:tcPr>
            <w:tcW w:w="2950" w:type="dxa"/>
          </w:tcPr>
          <w:p w14:paraId="77F1B80B" w14:textId="77777777" w:rsidR="00DE583D" w:rsidRPr="00DE4936" w:rsidRDefault="00DE583D" w:rsidP="0052799A">
            <w:pPr>
              <w:jc w:val="center"/>
              <w:rPr>
                <w:sz w:val="20"/>
                <w:szCs w:val="20"/>
              </w:rPr>
            </w:pPr>
            <w:r w:rsidRPr="00DE4936">
              <w:rPr>
                <w:sz w:val="20"/>
                <w:szCs w:val="20"/>
              </w:rPr>
              <w:t>2008</w:t>
            </w:r>
          </w:p>
        </w:tc>
        <w:tc>
          <w:tcPr>
            <w:tcW w:w="3058" w:type="dxa"/>
            <w:vAlign w:val="bottom"/>
          </w:tcPr>
          <w:p w14:paraId="0F2E8518" w14:textId="77777777" w:rsidR="00DE583D" w:rsidRPr="00DE4936" w:rsidRDefault="00DE583D" w:rsidP="0052799A">
            <w:pPr>
              <w:jc w:val="center"/>
              <w:rPr>
                <w:sz w:val="20"/>
                <w:szCs w:val="20"/>
              </w:rPr>
            </w:pPr>
            <w:r w:rsidRPr="00DE4936">
              <w:rPr>
                <w:rFonts w:ascii="Calibri" w:hAnsi="Calibri"/>
                <w:sz w:val="20"/>
                <w:szCs w:val="20"/>
              </w:rPr>
              <w:t>4.06</w:t>
            </w:r>
          </w:p>
        </w:tc>
        <w:tc>
          <w:tcPr>
            <w:tcW w:w="3057" w:type="dxa"/>
            <w:vAlign w:val="bottom"/>
          </w:tcPr>
          <w:p w14:paraId="06B4B061" w14:textId="77777777" w:rsidR="00DE583D" w:rsidRPr="00DE4936" w:rsidRDefault="00DE583D" w:rsidP="0052799A">
            <w:pPr>
              <w:jc w:val="center"/>
              <w:rPr>
                <w:sz w:val="20"/>
                <w:szCs w:val="20"/>
              </w:rPr>
            </w:pPr>
            <w:r w:rsidRPr="00DE4936">
              <w:rPr>
                <w:rFonts w:ascii="Calibri" w:hAnsi="Calibri"/>
                <w:sz w:val="20"/>
                <w:szCs w:val="20"/>
              </w:rPr>
              <w:t>3.72</w:t>
            </w:r>
          </w:p>
        </w:tc>
      </w:tr>
      <w:tr w:rsidR="00DE583D" w14:paraId="26411C58" w14:textId="77777777" w:rsidTr="00D414F6">
        <w:tc>
          <w:tcPr>
            <w:tcW w:w="2950" w:type="dxa"/>
          </w:tcPr>
          <w:p w14:paraId="7A69C723" w14:textId="77777777" w:rsidR="00DE583D" w:rsidRPr="00DE4936" w:rsidRDefault="00DE583D" w:rsidP="0052799A">
            <w:pPr>
              <w:jc w:val="center"/>
              <w:rPr>
                <w:sz w:val="20"/>
                <w:szCs w:val="20"/>
              </w:rPr>
            </w:pPr>
            <w:r w:rsidRPr="00DE4936">
              <w:rPr>
                <w:sz w:val="20"/>
                <w:szCs w:val="20"/>
              </w:rPr>
              <w:t>2009</w:t>
            </w:r>
          </w:p>
        </w:tc>
        <w:tc>
          <w:tcPr>
            <w:tcW w:w="3058" w:type="dxa"/>
            <w:vAlign w:val="bottom"/>
          </w:tcPr>
          <w:p w14:paraId="4709917C" w14:textId="77777777" w:rsidR="00DE583D" w:rsidRPr="00DE4936" w:rsidRDefault="00DE583D" w:rsidP="0052799A">
            <w:pPr>
              <w:jc w:val="center"/>
              <w:rPr>
                <w:sz w:val="20"/>
                <w:szCs w:val="20"/>
              </w:rPr>
            </w:pPr>
            <w:r w:rsidRPr="00DE4936">
              <w:rPr>
                <w:rFonts w:ascii="Calibri" w:hAnsi="Calibri"/>
                <w:sz w:val="20"/>
                <w:szCs w:val="20"/>
              </w:rPr>
              <w:t>3.98</w:t>
            </w:r>
          </w:p>
        </w:tc>
        <w:tc>
          <w:tcPr>
            <w:tcW w:w="3057" w:type="dxa"/>
            <w:vAlign w:val="bottom"/>
          </w:tcPr>
          <w:p w14:paraId="551F20FB" w14:textId="77777777" w:rsidR="00DE583D" w:rsidRPr="00DE4936" w:rsidRDefault="00DE583D" w:rsidP="0052799A">
            <w:pPr>
              <w:jc w:val="center"/>
              <w:rPr>
                <w:sz w:val="20"/>
                <w:szCs w:val="20"/>
              </w:rPr>
            </w:pPr>
            <w:r w:rsidRPr="00DE4936">
              <w:rPr>
                <w:rFonts w:ascii="Calibri" w:hAnsi="Calibri"/>
                <w:sz w:val="20"/>
                <w:szCs w:val="20"/>
              </w:rPr>
              <w:t>3.35</w:t>
            </w:r>
          </w:p>
        </w:tc>
      </w:tr>
      <w:tr w:rsidR="00DE583D" w14:paraId="56173FCB" w14:textId="77777777" w:rsidTr="00D414F6">
        <w:tc>
          <w:tcPr>
            <w:tcW w:w="2950" w:type="dxa"/>
          </w:tcPr>
          <w:p w14:paraId="2AE929AC" w14:textId="77777777" w:rsidR="00DE583D" w:rsidRPr="00DE4936" w:rsidRDefault="00DE583D" w:rsidP="0052799A">
            <w:pPr>
              <w:jc w:val="center"/>
              <w:rPr>
                <w:sz w:val="20"/>
                <w:szCs w:val="20"/>
              </w:rPr>
            </w:pPr>
            <w:r w:rsidRPr="00DE4936">
              <w:rPr>
                <w:sz w:val="20"/>
                <w:szCs w:val="20"/>
              </w:rPr>
              <w:t>2010</w:t>
            </w:r>
          </w:p>
        </w:tc>
        <w:tc>
          <w:tcPr>
            <w:tcW w:w="3058" w:type="dxa"/>
            <w:vAlign w:val="bottom"/>
          </w:tcPr>
          <w:p w14:paraId="4DF06CD2" w14:textId="77777777" w:rsidR="00DE583D" w:rsidRPr="00DE4936" w:rsidRDefault="00DE583D" w:rsidP="0052799A">
            <w:pPr>
              <w:jc w:val="center"/>
              <w:rPr>
                <w:sz w:val="20"/>
                <w:szCs w:val="20"/>
              </w:rPr>
            </w:pPr>
            <w:r w:rsidRPr="00DE4936">
              <w:rPr>
                <w:rFonts w:ascii="Calibri" w:hAnsi="Calibri"/>
                <w:sz w:val="20"/>
                <w:szCs w:val="20"/>
              </w:rPr>
              <w:t>4.05</w:t>
            </w:r>
          </w:p>
        </w:tc>
        <w:tc>
          <w:tcPr>
            <w:tcW w:w="3057" w:type="dxa"/>
            <w:vAlign w:val="bottom"/>
          </w:tcPr>
          <w:p w14:paraId="1B8B9D1E" w14:textId="77777777" w:rsidR="00DE583D" w:rsidRPr="00DE4936" w:rsidRDefault="00DE583D" w:rsidP="0052799A">
            <w:pPr>
              <w:jc w:val="center"/>
              <w:rPr>
                <w:sz w:val="20"/>
                <w:szCs w:val="20"/>
              </w:rPr>
            </w:pPr>
            <w:r w:rsidRPr="00DE4936">
              <w:rPr>
                <w:rFonts w:ascii="Calibri" w:hAnsi="Calibri"/>
                <w:sz w:val="20"/>
                <w:szCs w:val="20"/>
              </w:rPr>
              <w:t>2.92</w:t>
            </w:r>
          </w:p>
        </w:tc>
      </w:tr>
      <w:tr w:rsidR="00DE583D" w14:paraId="65410AD7" w14:textId="77777777" w:rsidTr="00D414F6">
        <w:tc>
          <w:tcPr>
            <w:tcW w:w="2950" w:type="dxa"/>
          </w:tcPr>
          <w:p w14:paraId="54F73BEA" w14:textId="77777777" w:rsidR="00DE583D" w:rsidRPr="00DE4936" w:rsidRDefault="00DE583D" w:rsidP="0052799A">
            <w:pPr>
              <w:jc w:val="center"/>
              <w:rPr>
                <w:sz w:val="20"/>
                <w:szCs w:val="20"/>
              </w:rPr>
            </w:pPr>
            <w:r w:rsidRPr="00DE4936">
              <w:rPr>
                <w:sz w:val="20"/>
                <w:szCs w:val="20"/>
              </w:rPr>
              <w:t>2011</w:t>
            </w:r>
          </w:p>
        </w:tc>
        <w:tc>
          <w:tcPr>
            <w:tcW w:w="3058" w:type="dxa"/>
          </w:tcPr>
          <w:p w14:paraId="2BC272CD" w14:textId="77777777" w:rsidR="00DE583D" w:rsidRPr="00DE4936" w:rsidRDefault="00DE583D" w:rsidP="0052799A">
            <w:pPr>
              <w:jc w:val="center"/>
              <w:rPr>
                <w:sz w:val="20"/>
                <w:szCs w:val="20"/>
              </w:rPr>
            </w:pPr>
            <w:r w:rsidRPr="00DE4936">
              <w:rPr>
                <w:sz w:val="20"/>
                <w:szCs w:val="20"/>
              </w:rPr>
              <w:t>NA</w:t>
            </w:r>
          </w:p>
        </w:tc>
        <w:tc>
          <w:tcPr>
            <w:tcW w:w="3057" w:type="dxa"/>
            <w:vAlign w:val="bottom"/>
          </w:tcPr>
          <w:p w14:paraId="5DBAE070" w14:textId="77777777" w:rsidR="00DE583D" w:rsidRPr="00DE4936" w:rsidRDefault="00DE583D" w:rsidP="0052799A">
            <w:pPr>
              <w:jc w:val="center"/>
              <w:rPr>
                <w:sz w:val="20"/>
                <w:szCs w:val="20"/>
              </w:rPr>
            </w:pPr>
            <w:r w:rsidRPr="00DE4936">
              <w:rPr>
                <w:rFonts w:ascii="Calibri" w:hAnsi="Calibri"/>
                <w:sz w:val="20"/>
                <w:szCs w:val="20"/>
              </w:rPr>
              <w:t>2.41</w:t>
            </w:r>
          </w:p>
        </w:tc>
      </w:tr>
      <w:tr w:rsidR="00DE583D" w14:paraId="0E8911E0" w14:textId="77777777" w:rsidTr="00D414F6">
        <w:tc>
          <w:tcPr>
            <w:tcW w:w="2950" w:type="dxa"/>
          </w:tcPr>
          <w:p w14:paraId="0B49D85D" w14:textId="77777777" w:rsidR="00DE583D" w:rsidRPr="00DE4936" w:rsidRDefault="00DE583D" w:rsidP="0052799A">
            <w:pPr>
              <w:jc w:val="center"/>
              <w:rPr>
                <w:sz w:val="20"/>
                <w:szCs w:val="20"/>
              </w:rPr>
            </w:pPr>
            <w:r w:rsidRPr="00DE4936">
              <w:rPr>
                <w:sz w:val="20"/>
                <w:szCs w:val="20"/>
              </w:rPr>
              <w:t>2012</w:t>
            </w:r>
          </w:p>
        </w:tc>
        <w:tc>
          <w:tcPr>
            <w:tcW w:w="3058" w:type="dxa"/>
          </w:tcPr>
          <w:p w14:paraId="2AFE1DBC" w14:textId="77777777" w:rsidR="00DE583D" w:rsidRPr="00DE4936" w:rsidRDefault="00DE583D" w:rsidP="0052799A">
            <w:pPr>
              <w:jc w:val="center"/>
              <w:rPr>
                <w:sz w:val="20"/>
                <w:szCs w:val="20"/>
              </w:rPr>
            </w:pPr>
            <w:r w:rsidRPr="00DE4936">
              <w:rPr>
                <w:sz w:val="20"/>
                <w:szCs w:val="20"/>
              </w:rPr>
              <w:t>NA</w:t>
            </w:r>
          </w:p>
        </w:tc>
        <w:tc>
          <w:tcPr>
            <w:tcW w:w="3057" w:type="dxa"/>
            <w:vAlign w:val="bottom"/>
          </w:tcPr>
          <w:p w14:paraId="71C786BE" w14:textId="77777777" w:rsidR="00DE583D" w:rsidRPr="00DE4936" w:rsidRDefault="00DE583D" w:rsidP="0052799A">
            <w:pPr>
              <w:jc w:val="center"/>
              <w:rPr>
                <w:sz w:val="20"/>
                <w:szCs w:val="20"/>
              </w:rPr>
            </w:pPr>
            <w:r w:rsidRPr="00DE4936">
              <w:rPr>
                <w:rFonts w:ascii="Calibri" w:hAnsi="Calibri"/>
                <w:sz w:val="20"/>
                <w:szCs w:val="20"/>
              </w:rPr>
              <w:t>1.81</w:t>
            </w:r>
          </w:p>
        </w:tc>
      </w:tr>
    </w:tbl>
    <w:p w14:paraId="3B7F729A" w14:textId="77777777" w:rsidR="00DE583D" w:rsidRPr="000C5825" w:rsidRDefault="00DE583D" w:rsidP="00DE583D">
      <w:pPr>
        <w:rPr>
          <w:sz w:val="20"/>
          <w:szCs w:val="18"/>
        </w:rPr>
      </w:pPr>
      <w:r w:rsidRPr="000C5825">
        <w:rPr>
          <w:sz w:val="20"/>
          <w:szCs w:val="18"/>
        </w:rPr>
        <w:t>Excluding initiators in 2013 &amp; 2014 because of short follow up period</w:t>
      </w:r>
    </w:p>
    <w:p w14:paraId="235C4893" w14:textId="08D619C3" w:rsidR="00DE583D" w:rsidRDefault="00DE583D" w:rsidP="0052799A">
      <w:pPr>
        <w:rPr>
          <w:b/>
        </w:rPr>
      </w:pPr>
      <w:r>
        <w:t>The median lengths of treatment for the cohorts by year of initiation to ADHD therapy were between 3.76 years and 4.88 years (Table</w:t>
      </w:r>
      <w:r w:rsidR="00D43056">
        <w:t xml:space="preserve"> 10</w:t>
      </w:r>
      <w:r>
        <w:t>).</w:t>
      </w:r>
    </w:p>
    <w:p w14:paraId="4045E6E3" w14:textId="77777777" w:rsidR="00DE583D" w:rsidRDefault="00DE583D" w:rsidP="00D60536">
      <w:pPr>
        <w:pStyle w:val="Heading4"/>
      </w:pPr>
      <w:r>
        <w:t>Co-administered PBS medicines</w:t>
      </w:r>
    </w:p>
    <w:p w14:paraId="54B7615D" w14:textId="74D686FC" w:rsidR="00DE583D" w:rsidRPr="000C5825" w:rsidRDefault="00DE583D" w:rsidP="00DE583D">
      <w:pPr>
        <w:rPr>
          <w:rFonts w:ascii="Calibri" w:eastAsia="MS Mincho" w:hAnsi="Calibri" w:cs="Times New Roman"/>
        </w:rPr>
      </w:pPr>
      <w:r>
        <w:rPr>
          <w:rFonts w:ascii="Calibri" w:eastAsia="MS Mincho" w:hAnsi="Calibri" w:cs="Times New Roman"/>
        </w:rPr>
        <w:t xml:space="preserve">An estimate of </w:t>
      </w:r>
      <w:r w:rsidRPr="000C5825">
        <w:rPr>
          <w:rFonts w:ascii="Calibri" w:eastAsia="MS Mincho" w:hAnsi="Calibri" w:cs="Times New Roman"/>
        </w:rPr>
        <w:t xml:space="preserve">co-administration based on medicines being supplied on the </w:t>
      </w:r>
      <w:r w:rsidR="00D43056">
        <w:rPr>
          <w:rFonts w:ascii="Calibri" w:eastAsia="MS Mincho" w:hAnsi="Calibri" w:cs="Times New Roman"/>
        </w:rPr>
        <w:t>same day in 2013 is presented in Table 11</w:t>
      </w:r>
      <w:r w:rsidRPr="000C5825">
        <w:rPr>
          <w:rFonts w:ascii="Calibri" w:eastAsia="MS Mincho" w:hAnsi="Calibri" w:cs="Times New Roman"/>
        </w:rPr>
        <w:t>.</w:t>
      </w:r>
      <w:r w:rsidR="00D43056">
        <w:rPr>
          <w:rFonts w:ascii="Calibri" w:eastAsia="MS Mincho" w:hAnsi="Calibri" w:cs="Times New Roman"/>
        </w:rPr>
        <w:t xml:space="preserve"> Table 12 shows an estimate for 2014.</w:t>
      </w:r>
      <w:r w:rsidRPr="000C5825">
        <w:rPr>
          <w:rFonts w:ascii="Calibri" w:eastAsia="MS Mincho" w:hAnsi="Calibri" w:cs="Times New Roman"/>
        </w:rPr>
        <w:t xml:space="preserve"> </w:t>
      </w:r>
    </w:p>
    <w:p w14:paraId="1A1F10E4" w14:textId="11317457" w:rsidR="00DE583D" w:rsidRPr="00127DAF" w:rsidRDefault="00B24E44" w:rsidP="00D60536">
      <w:pPr>
        <w:pStyle w:val="Tabletitle"/>
      </w:pPr>
      <w:r>
        <w:t>Table 11</w:t>
      </w:r>
      <w:r w:rsidR="00DE583D" w:rsidRPr="000C5825">
        <w:t>: proportion of people</w:t>
      </w:r>
      <w:r w:rsidR="00DE583D">
        <w:t xml:space="preserve"> with s</w:t>
      </w:r>
      <w:r w:rsidR="00DE583D" w:rsidRPr="00127DAF">
        <w:t>ame day dispensing</w:t>
      </w:r>
      <w:r>
        <w:t xml:space="preserve"> in 2013 </w:t>
      </w:r>
      <w:r w:rsidR="00DE583D" w:rsidRPr="00127DAF">
        <w:t>by age group</w:t>
      </w:r>
      <w:r>
        <w:t xml:space="preserve"> </w:t>
      </w:r>
    </w:p>
    <w:tbl>
      <w:tblPr>
        <w:tblStyle w:val="TableGrid"/>
        <w:tblW w:w="0" w:type="auto"/>
        <w:tblInd w:w="108" w:type="dxa"/>
        <w:tblLook w:val="04A0" w:firstRow="1" w:lastRow="0" w:firstColumn="1" w:lastColumn="0" w:noHBand="0" w:noVBand="1"/>
        <w:tblDescription w:val="The first column lists the different combinations of ADHD medicines that were dispensed.  Read across for the proportion of people who had same day dispensing in different age brackets.  From left to right the age brackets are 0-5 years, 6-12 years, 13-17 years and 18+ years."/>
      </w:tblPr>
      <w:tblGrid>
        <w:gridCol w:w="2512"/>
        <w:gridCol w:w="1140"/>
        <w:gridCol w:w="1140"/>
        <w:gridCol w:w="1140"/>
        <w:gridCol w:w="1097"/>
        <w:gridCol w:w="1180"/>
      </w:tblGrid>
      <w:tr w:rsidR="00DE583D" w:rsidRPr="00DE754D" w14:paraId="2CEAA2FF" w14:textId="77777777" w:rsidTr="00B24E44">
        <w:trPr>
          <w:trHeight w:val="300"/>
          <w:tblHeader/>
        </w:trPr>
        <w:tc>
          <w:tcPr>
            <w:tcW w:w="2512" w:type="dxa"/>
            <w:shd w:val="clear" w:color="auto" w:fill="D9D9D9" w:themeFill="background1" w:themeFillShade="D9"/>
            <w:noWrap/>
            <w:hideMark/>
          </w:tcPr>
          <w:p w14:paraId="34D7C815" w14:textId="77777777" w:rsidR="00DE583D" w:rsidRPr="00DE754D" w:rsidRDefault="00DE583D" w:rsidP="0052799A">
            <w:pPr>
              <w:jc w:val="center"/>
              <w:rPr>
                <w:rFonts w:cs="Baskerville"/>
                <w:b/>
                <w:sz w:val="20"/>
                <w:szCs w:val="20"/>
              </w:rPr>
            </w:pPr>
            <w:r w:rsidRPr="00DE754D">
              <w:rPr>
                <w:rFonts w:cs="Baskerville"/>
                <w:b/>
                <w:sz w:val="20"/>
                <w:szCs w:val="20"/>
              </w:rPr>
              <w:t>Same day dispensing</w:t>
            </w:r>
          </w:p>
        </w:tc>
        <w:tc>
          <w:tcPr>
            <w:tcW w:w="1140" w:type="dxa"/>
            <w:tcBorders>
              <w:bottom w:val="single" w:sz="4" w:space="0" w:color="auto"/>
            </w:tcBorders>
            <w:shd w:val="clear" w:color="auto" w:fill="D9D9D9" w:themeFill="background1" w:themeFillShade="D9"/>
            <w:noWrap/>
            <w:hideMark/>
          </w:tcPr>
          <w:p w14:paraId="55238B85" w14:textId="77777777" w:rsidR="00DE583D" w:rsidRPr="00DE754D" w:rsidRDefault="00DE583D" w:rsidP="0052799A">
            <w:pPr>
              <w:jc w:val="center"/>
              <w:rPr>
                <w:rFonts w:cs="Baskerville"/>
                <w:b/>
                <w:sz w:val="20"/>
                <w:szCs w:val="20"/>
              </w:rPr>
            </w:pPr>
            <w:r w:rsidRPr="00DE754D">
              <w:rPr>
                <w:rFonts w:cs="Baskerville"/>
                <w:b/>
                <w:sz w:val="20"/>
                <w:szCs w:val="20"/>
              </w:rPr>
              <w:t>0-5 years</w:t>
            </w:r>
          </w:p>
        </w:tc>
        <w:tc>
          <w:tcPr>
            <w:tcW w:w="1140" w:type="dxa"/>
            <w:tcBorders>
              <w:bottom w:val="single" w:sz="4" w:space="0" w:color="auto"/>
            </w:tcBorders>
            <w:shd w:val="clear" w:color="auto" w:fill="D9D9D9" w:themeFill="background1" w:themeFillShade="D9"/>
            <w:noWrap/>
            <w:hideMark/>
          </w:tcPr>
          <w:p w14:paraId="4FAC4881" w14:textId="77777777" w:rsidR="00DE583D" w:rsidRPr="00DE754D" w:rsidRDefault="00DE583D" w:rsidP="0052799A">
            <w:pPr>
              <w:jc w:val="center"/>
              <w:rPr>
                <w:rFonts w:cs="Baskerville"/>
                <w:b/>
                <w:sz w:val="20"/>
                <w:szCs w:val="20"/>
              </w:rPr>
            </w:pPr>
            <w:r w:rsidRPr="00DE754D">
              <w:rPr>
                <w:rFonts w:cs="Baskerville"/>
                <w:b/>
                <w:sz w:val="20"/>
                <w:szCs w:val="20"/>
              </w:rPr>
              <w:t>6-12 years</w:t>
            </w:r>
          </w:p>
        </w:tc>
        <w:tc>
          <w:tcPr>
            <w:tcW w:w="1140" w:type="dxa"/>
            <w:tcBorders>
              <w:bottom w:val="single" w:sz="4" w:space="0" w:color="auto"/>
            </w:tcBorders>
            <w:shd w:val="clear" w:color="auto" w:fill="D9D9D9" w:themeFill="background1" w:themeFillShade="D9"/>
            <w:noWrap/>
            <w:hideMark/>
          </w:tcPr>
          <w:p w14:paraId="1F6658E1" w14:textId="77777777" w:rsidR="00DE583D" w:rsidRPr="00DE754D" w:rsidRDefault="00DE583D" w:rsidP="0052799A">
            <w:pPr>
              <w:jc w:val="center"/>
              <w:rPr>
                <w:rFonts w:cs="Baskerville"/>
                <w:b/>
                <w:sz w:val="20"/>
                <w:szCs w:val="20"/>
              </w:rPr>
            </w:pPr>
            <w:r w:rsidRPr="00DE754D">
              <w:rPr>
                <w:rFonts w:cs="Baskerville"/>
                <w:b/>
                <w:sz w:val="20"/>
                <w:szCs w:val="20"/>
              </w:rPr>
              <w:t>13-17 years</w:t>
            </w:r>
          </w:p>
        </w:tc>
        <w:tc>
          <w:tcPr>
            <w:tcW w:w="1097" w:type="dxa"/>
            <w:tcBorders>
              <w:bottom w:val="single" w:sz="4" w:space="0" w:color="auto"/>
            </w:tcBorders>
            <w:shd w:val="clear" w:color="auto" w:fill="D9D9D9" w:themeFill="background1" w:themeFillShade="D9"/>
            <w:noWrap/>
            <w:hideMark/>
          </w:tcPr>
          <w:p w14:paraId="346C6550" w14:textId="77777777" w:rsidR="00DE583D" w:rsidRPr="00DE754D" w:rsidRDefault="00DE583D" w:rsidP="0052799A">
            <w:pPr>
              <w:jc w:val="center"/>
              <w:rPr>
                <w:rFonts w:cs="Baskerville"/>
                <w:b/>
                <w:sz w:val="20"/>
                <w:szCs w:val="20"/>
              </w:rPr>
            </w:pPr>
            <w:r w:rsidRPr="00DE754D">
              <w:rPr>
                <w:rFonts w:cs="Baskerville"/>
                <w:b/>
                <w:sz w:val="20"/>
                <w:szCs w:val="20"/>
              </w:rPr>
              <w:t>18+ years</w:t>
            </w:r>
          </w:p>
        </w:tc>
        <w:tc>
          <w:tcPr>
            <w:tcW w:w="1180" w:type="dxa"/>
            <w:shd w:val="clear" w:color="auto" w:fill="D9D9D9" w:themeFill="background1" w:themeFillShade="D9"/>
            <w:noWrap/>
            <w:hideMark/>
          </w:tcPr>
          <w:p w14:paraId="3D778308" w14:textId="77777777" w:rsidR="00DE583D" w:rsidRPr="00DE754D" w:rsidRDefault="00DE583D" w:rsidP="0052799A">
            <w:pPr>
              <w:jc w:val="center"/>
              <w:rPr>
                <w:rFonts w:cs="Baskerville"/>
                <w:b/>
                <w:sz w:val="20"/>
                <w:szCs w:val="20"/>
              </w:rPr>
            </w:pPr>
            <w:r w:rsidRPr="00DE754D">
              <w:rPr>
                <w:rFonts w:cs="Baskerville"/>
                <w:b/>
                <w:sz w:val="20"/>
                <w:szCs w:val="20"/>
              </w:rPr>
              <w:t>Total</w:t>
            </w:r>
          </w:p>
        </w:tc>
      </w:tr>
      <w:tr w:rsidR="00DE583D" w:rsidRPr="00B61151" w14:paraId="66C8B442" w14:textId="77777777" w:rsidTr="00694AA7">
        <w:trPr>
          <w:trHeight w:val="300"/>
        </w:trPr>
        <w:tc>
          <w:tcPr>
            <w:tcW w:w="2512" w:type="dxa"/>
            <w:noWrap/>
            <w:hideMark/>
          </w:tcPr>
          <w:p w14:paraId="5021844D" w14:textId="7400230C" w:rsidR="00DE583D" w:rsidRPr="000C5825" w:rsidRDefault="00DE583D" w:rsidP="0052799A">
            <w:pPr>
              <w:rPr>
                <w:rFonts w:cs="Baskerville"/>
                <w:sz w:val="20"/>
                <w:szCs w:val="20"/>
              </w:rPr>
            </w:pPr>
            <w:r w:rsidRPr="000C5825">
              <w:rPr>
                <w:rFonts w:cs="Baskerville"/>
                <w:sz w:val="20"/>
                <w:szCs w:val="20"/>
              </w:rPr>
              <w:t>Multiple ADHD medications</w:t>
            </w:r>
          </w:p>
        </w:tc>
        <w:tc>
          <w:tcPr>
            <w:tcW w:w="1140" w:type="dxa"/>
            <w:noWrap/>
            <w:vAlign w:val="bottom"/>
            <w:hideMark/>
          </w:tcPr>
          <w:p w14:paraId="30DD6CF1" w14:textId="77777777" w:rsidR="00DE583D" w:rsidRPr="000C5825" w:rsidRDefault="00DE583D" w:rsidP="0052799A">
            <w:pPr>
              <w:jc w:val="center"/>
              <w:rPr>
                <w:rFonts w:cs="Baskerville"/>
                <w:sz w:val="20"/>
                <w:szCs w:val="20"/>
              </w:rPr>
            </w:pPr>
            <w:r w:rsidRPr="000C5825">
              <w:rPr>
                <w:sz w:val="20"/>
                <w:szCs w:val="20"/>
              </w:rPr>
              <w:t>0.1%</w:t>
            </w:r>
          </w:p>
        </w:tc>
        <w:tc>
          <w:tcPr>
            <w:tcW w:w="1140" w:type="dxa"/>
            <w:noWrap/>
            <w:vAlign w:val="bottom"/>
            <w:hideMark/>
          </w:tcPr>
          <w:p w14:paraId="39A933C4" w14:textId="77777777" w:rsidR="00DE583D" w:rsidRPr="000C5825" w:rsidRDefault="00DE583D" w:rsidP="0052799A">
            <w:pPr>
              <w:jc w:val="center"/>
              <w:rPr>
                <w:rFonts w:cs="Baskerville"/>
                <w:sz w:val="20"/>
                <w:szCs w:val="20"/>
              </w:rPr>
            </w:pPr>
            <w:r w:rsidRPr="000C5825">
              <w:rPr>
                <w:sz w:val="20"/>
                <w:szCs w:val="20"/>
              </w:rPr>
              <w:t>0.4%</w:t>
            </w:r>
          </w:p>
        </w:tc>
        <w:tc>
          <w:tcPr>
            <w:tcW w:w="1140" w:type="dxa"/>
            <w:noWrap/>
            <w:vAlign w:val="bottom"/>
            <w:hideMark/>
          </w:tcPr>
          <w:p w14:paraId="2B33B45B" w14:textId="77777777" w:rsidR="00DE583D" w:rsidRPr="000C5825" w:rsidRDefault="00DE583D" w:rsidP="0052799A">
            <w:pPr>
              <w:jc w:val="center"/>
              <w:rPr>
                <w:rFonts w:cs="Baskerville"/>
                <w:sz w:val="20"/>
                <w:szCs w:val="20"/>
              </w:rPr>
            </w:pPr>
            <w:r w:rsidRPr="000C5825">
              <w:rPr>
                <w:sz w:val="20"/>
                <w:szCs w:val="20"/>
              </w:rPr>
              <w:t>0.4%</w:t>
            </w:r>
          </w:p>
        </w:tc>
        <w:tc>
          <w:tcPr>
            <w:tcW w:w="1097" w:type="dxa"/>
            <w:noWrap/>
            <w:vAlign w:val="bottom"/>
            <w:hideMark/>
          </w:tcPr>
          <w:p w14:paraId="799ACBD7" w14:textId="77777777" w:rsidR="00DE583D" w:rsidRPr="000C5825" w:rsidRDefault="00DE583D" w:rsidP="0052799A">
            <w:pPr>
              <w:jc w:val="center"/>
              <w:rPr>
                <w:rFonts w:cs="Baskerville"/>
                <w:sz w:val="20"/>
                <w:szCs w:val="20"/>
              </w:rPr>
            </w:pPr>
            <w:r w:rsidRPr="000C5825">
              <w:rPr>
                <w:sz w:val="20"/>
                <w:szCs w:val="20"/>
              </w:rPr>
              <w:t>0.3%</w:t>
            </w:r>
          </w:p>
        </w:tc>
        <w:tc>
          <w:tcPr>
            <w:tcW w:w="1180" w:type="dxa"/>
            <w:noWrap/>
            <w:vAlign w:val="bottom"/>
            <w:hideMark/>
          </w:tcPr>
          <w:p w14:paraId="428AED91" w14:textId="77777777" w:rsidR="00DE583D" w:rsidRPr="000C5825" w:rsidRDefault="00DE583D" w:rsidP="0052799A">
            <w:pPr>
              <w:jc w:val="center"/>
              <w:rPr>
                <w:rFonts w:cs="Baskerville"/>
                <w:sz w:val="20"/>
                <w:szCs w:val="20"/>
              </w:rPr>
            </w:pPr>
            <w:r w:rsidRPr="000C5825">
              <w:rPr>
                <w:sz w:val="20"/>
                <w:szCs w:val="20"/>
              </w:rPr>
              <w:t>0.3%</w:t>
            </w:r>
          </w:p>
        </w:tc>
      </w:tr>
      <w:tr w:rsidR="00DE583D" w:rsidRPr="00B61151" w14:paraId="6DBE3A12" w14:textId="77777777" w:rsidTr="00694AA7">
        <w:trPr>
          <w:trHeight w:val="300"/>
        </w:trPr>
        <w:tc>
          <w:tcPr>
            <w:tcW w:w="2512" w:type="dxa"/>
            <w:noWrap/>
            <w:hideMark/>
          </w:tcPr>
          <w:p w14:paraId="3CB826FC" w14:textId="77777777" w:rsidR="00DE583D" w:rsidRPr="000C5825" w:rsidRDefault="00DE583D" w:rsidP="0052799A">
            <w:pPr>
              <w:rPr>
                <w:rFonts w:cs="Baskerville"/>
                <w:sz w:val="20"/>
                <w:szCs w:val="20"/>
              </w:rPr>
            </w:pPr>
            <w:r w:rsidRPr="000C5825">
              <w:rPr>
                <w:rFonts w:cs="Baskerville"/>
                <w:sz w:val="20"/>
                <w:szCs w:val="20"/>
              </w:rPr>
              <w:t>Multiple forms of MPH</w:t>
            </w:r>
          </w:p>
        </w:tc>
        <w:tc>
          <w:tcPr>
            <w:tcW w:w="1140" w:type="dxa"/>
            <w:noWrap/>
            <w:vAlign w:val="bottom"/>
            <w:hideMark/>
          </w:tcPr>
          <w:p w14:paraId="7FBC77AC" w14:textId="77777777" w:rsidR="00DE583D" w:rsidRPr="000C5825" w:rsidRDefault="00DE583D" w:rsidP="0052799A">
            <w:pPr>
              <w:jc w:val="center"/>
              <w:rPr>
                <w:rFonts w:cs="Baskerville"/>
                <w:sz w:val="20"/>
                <w:szCs w:val="20"/>
              </w:rPr>
            </w:pPr>
            <w:r w:rsidRPr="000C5825">
              <w:rPr>
                <w:sz w:val="20"/>
                <w:szCs w:val="20"/>
              </w:rPr>
              <w:t>1.0%</w:t>
            </w:r>
          </w:p>
        </w:tc>
        <w:tc>
          <w:tcPr>
            <w:tcW w:w="1140" w:type="dxa"/>
            <w:noWrap/>
            <w:vAlign w:val="bottom"/>
            <w:hideMark/>
          </w:tcPr>
          <w:p w14:paraId="7C47F16D" w14:textId="77777777" w:rsidR="00DE583D" w:rsidRPr="000C5825" w:rsidRDefault="00DE583D" w:rsidP="0052799A">
            <w:pPr>
              <w:jc w:val="center"/>
              <w:rPr>
                <w:rFonts w:cs="Baskerville"/>
                <w:sz w:val="20"/>
                <w:szCs w:val="20"/>
              </w:rPr>
            </w:pPr>
            <w:r w:rsidRPr="000C5825">
              <w:rPr>
                <w:sz w:val="20"/>
                <w:szCs w:val="20"/>
              </w:rPr>
              <w:t>8.0%</w:t>
            </w:r>
          </w:p>
        </w:tc>
        <w:tc>
          <w:tcPr>
            <w:tcW w:w="1140" w:type="dxa"/>
            <w:noWrap/>
            <w:vAlign w:val="bottom"/>
            <w:hideMark/>
          </w:tcPr>
          <w:p w14:paraId="6F05CAAC" w14:textId="77777777" w:rsidR="00DE583D" w:rsidRPr="000C5825" w:rsidRDefault="00DE583D" w:rsidP="0052799A">
            <w:pPr>
              <w:jc w:val="center"/>
              <w:rPr>
                <w:rFonts w:cs="Baskerville"/>
                <w:sz w:val="20"/>
                <w:szCs w:val="20"/>
              </w:rPr>
            </w:pPr>
            <w:r w:rsidRPr="000C5825">
              <w:rPr>
                <w:sz w:val="20"/>
                <w:szCs w:val="20"/>
              </w:rPr>
              <w:t>9.3%</w:t>
            </w:r>
          </w:p>
        </w:tc>
        <w:tc>
          <w:tcPr>
            <w:tcW w:w="1097" w:type="dxa"/>
            <w:noWrap/>
            <w:vAlign w:val="bottom"/>
            <w:hideMark/>
          </w:tcPr>
          <w:p w14:paraId="4C3D0DDD" w14:textId="77777777" w:rsidR="00DE583D" w:rsidRPr="000C5825" w:rsidRDefault="00DE583D" w:rsidP="0052799A">
            <w:pPr>
              <w:jc w:val="center"/>
              <w:rPr>
                <w:rFonts w:cs="Baskerville"/>
                <w:sz w:val="20"/>
                <w:szCs w:val="20"/>
              </w:rPr>
            </w:pPr>
            <w:r w:rsidRPr="000C5825">
              <w:rPr>
                <w:sz w:val="20"/>
                <w:szCs w:val="20"/>
              </w:rPr>
              <w:t>2.6%</w:t>
            </w:r>
          </w:p>
        </w:tc>
        <w:tc>
          <w:tcPr>
            <w:tcW w:w="1180" w:type="dxa"/>
            <w:noWrap/>
            <w:vAlign w:val="bottom"/>
            <w:hideMark/>
          </w:tcPr>
          <w:p w14:paraId="5D49A7FB" w14:textId="77777777" w:rsidR="00DE583D" w:rsidRPr="000C5825" w:rsidRDefault="00DE583D" w:rsidP="0052799A">
            <w:pPr>
              <w:jc w:val="center"/>
              <w:rPr>
                <w:rFonts w:cs="Baskerville"/>
                <w:sz w:val="20"/>
                <w:szCs w:val="20"/>
              </w:rPr>
            </w:pPr>
            <w:r w:rsidRPr="000C5825">
              <w:rPr>
                <w:sz w:val="20"/>
                <w:szCs w:val="20"/>
              </w:rPr>
              <w:t>6.3%</w:t>
            </w:r>
          </w:p>
        </w:tc>
      </w:tr>
      <w:tr w:rsidR="00DE583D" w:rsidRPr="00B61151" w14:paraId="555D5303" w14:textId="77777777" w:rsidTr="00694AA7">
        <w:trPr>
          <w:trHeight w:val="300"/>
        </w:trPr>
        <w:tc>
          <w:tcPr>
            <w:tcW w:w="2512" w:type="dxa"/>
            <w:noWrap/>
            <w:hideMark/>
          </w:tcPr>
          <w:p w14:paraId="35C6C857" w14:textId="77777777" w:rsidR="00DE583D" w:rsidRPr="000C5825" w:rsidRDefault="00DE583D" w:rsidP="0052799A">
            <w:pPr>
              <w:rPr>
                <w:rFonts w:cs="Baskerville"/>
                <w:sz w:val="20"/>
                <w:szCs w:val="20"/>
              </w:rPr>
            </w:pPr>
            <w:r w:rsidRPr="000C5825">
              <w:rPr>
                <w:rFonts w:cs="Baskerville"/>
                <w:sz w:val="20"/>
                <w:szCs w:val="20"/>
              </w:rPr>
              <w:t>ADHD with antipsychotic</w:t>
            </w:r>
          </w:p>
        </w:tc>
        <w:tc>
          <w:tcPr>
            <w:tcW w:w="1140" w:type="dxa"/>
            <w:noWrap/>
            <w:vAlign w:val="bottom"/>
            <w:hideMark/>
          </w:tcPr>
          <w:p w14:paraId="26007891" w14:textId="77777777" w:rsidR="00DE583D" w:rsidRPr="000C5825" w:rsidRDefault="00DE583D" w:rsidP="0052799A">
            <w:pPr>
              <w:jc w:val="center"/>
              <w:rPr>
                <w:rFonts w:cs="Baskerville"/>
                <w:sz w:val="20"/>
                <w:szCs w:val="20"/>
              </w:rPr>
            </w:pPr>
            <w:r w:rsidRPr="000C5825">
              <w:rPr>
                <w:sz w:val="20"/>
                <w:szCs w:val="20"/>
              </w:rPr>
              <w:t>2.3%</w:t>
            </w:r>
          </w:p>
        </w:tc>
        <w:tc>
          <w:tcPr>
            <w:tcW w:w="1140" w:type="dxa"/>
            <w:noWrap/>
            <w:vAlign w:val="bottom"/>
            <w:hideMark/>
          </w:tcPr>
          <w:p w14:paraId="7B1E06AC" w14:textId="77777777" w:rsidR="00DE583D" w:rsidRPr="000C5825" w:rsidRDefault="00DE583D" w:rsidP="0052799A">
            <w:pPr>
              <w:jc w:val="center"/>
              <w:rPr>
                <w:rFonts w:cs="Baskerville"/>
                <w:sz w:val="20"/>
                <w:szCs w:val="20"/>
              </w:rPr>
            </w:pPr>
            <w:r w:rsidRPr="000C5825">
              <w:rPr>
                <w:sz w:val="20"/>
                <w:szCs w:val="20"/>
              </w:rPr>
              <w:t>5.3%</w:t>
            </w:r>
          </w:p>
        </w:tc>
        <w:tc>
          <w:tcPr>
            <w:tcW w:w="1140" w:type="dxa"/>
            <w:noWrap/>
            <w:vAlign w:val="bottom"/>
            <w:hideMark/>
          </w:tcPr>
          <w:p w14:paraId="49F2F6EF" w14:textId="77777777" w:rsidR="00DE583D" w:rsidRPr="000C5825" w:rsidRDefault="00DE583D" w:rsidP="0052799A">
            <w:pPr>
              <w:jc w:val="center"/>
              <w:rPr>
                <w:rFonts w:cs="Baskerville"/>
                <w:sz w:val="20"/>
                <w:szCs w:val="20"/>
              </w:rPr>
            </w:pPr>
            <w:r w:rsidRPr="000C5825">
              <w:rPr>
                <w:sz w:val="20"/>
                <w:szCs w:val="20"/>
              </w:rPr>
              <w:t>6.5%</w:t>
            </w:r>
          </w:p>
        </w:tc>
        <w:tc>
          <w:tcPr>
            <w:tcW w:w="1097" w:type="dxa"/>
            <w:noWrap/>
            <w:vAlign w:val="bottom"/>
            <w:hideMark/>
          </w:tcPr>
          <w:p w14:paraId="08F811CF" w14:textId="77777777" w:rsidR="00DE583D" w:rsidRPr="000C5825" w:rsidRDefault="00DE583D" w:rsidP="0052799A">
            <w:pPr>
              <w:jc w:val="center"/>
              <w:rPr>
                <w:rFonts w:cs="Baskerville"/>
                <w:sz w:val="20"/>
                <w:szCs w:val="20"/>
              </w:rPr>
            </w:pPr>
            <w:r w:rsidRPr="000C5825">
              <w:rPr>
                <w:sz w:val="20"/>
                <w:szCs w:val="20"/>
              </w:rPr>
              <w:t>6.7%</w:t>
            </w:r>
          </w:p>
        </w:tc>
        <w:tc>
          <w:tcPr>
            <w:tcW w:w="1180" w:type="dxa"/>
            <w:noWrap/>
            <w:vAlign w:val="bottom"/>
            <w:hideMark/>
          </w:tcPr>
          <w:p w14:paraId="2FCFE3A7" w14:textId="77777777" w:rsidR="00DE583D" w:rsidRPr="000C5825" w:rsidRDefault="00DE583D" w:rsidP="0052799A">
            <w:pPr>
              <w:jc w:val="center"/>
              <w:rPr>
                <w:rFonts w:cs="Baskerville"/>
                <w:sz w:val="20"/>
                <w:szCs w:val="20"/>
              </w:rPr>
            </w:pPr>
            <w:r w:rsidRPr="000C5825">
              <w:rPr>
                <w:sz w:val="20"/>
                <w:szCs w:val="20"/>
              </w:rPr>
              <w:t>6.0%</w:t>
            </w:r>
          </w:p>
        </w:tc>
      </w:tr>
      <w:tr w:rsidR="00DE583D" w:rsidRPr="00B61151" w14:paraId="2A8DC90E" w14:textId="77777777" w:rsidTr="00694AA7">
        <w:trPr>
          <w:trHeight w:val="300"/>
        </w:trPr>
        <w:tc>
          <w:tcPr>
            <w:tcW w:w="2512" w:type="dxa"/>
            <w:noWrap/>
            <w:hideMark/>
          </w:tcPr>
          <w:p w14:paraId="78466FA8" w14:textId="77777777" w:rsidR="00DE583D" w:rsidRPr="000C5825" w:rsidRDefault="00DE583D" w:rsidP="0052799A">
            <w:pPr>
              <w:rPr>
                <w:rFonts w:cs="Baskerville"/>
                <w:sz w:val="20"/>
                <w:szCs w:val="20"/>
              </w:rPr>
            </w:pPr>
            <w:r w:rsidRPr="000C5825">
              <w:rPr>
                <w:rFonts w:cs="Baskerville"/>
                <w:sz w:val="20"/>
                <w:szCs w:val="20"/>
              </w:rPr>
              <w:t>ADHD with anxiolytic</w:t>
            </w:r>
          </w:p>
        </w:tc>
        <w:tc>
          <w:tcPr>
            <w:tcW w:w="1140" w:type="dxa"/>
            <w:noWrap/>
            <w:vAlign w:val="bottom"/>
            <w:hideMark/>
          </w:tcPr>
          <w:p w14:paraId="41366A81" w14:textId="77777777" w:rsidR="00DE583D" w:rsidRPr="000C5825" w:rsidRDefault="00DE583D" w:rsidP="0052799A">
            <w:pPr>
              <w:jc w:val="center"/>
              <w:rPr>
                <w:rFonts w:cs="Baskerville"/>
                <w:sz w:val="20"/>
                <w:szCs w:val="20"/>
              </w:rPr>
            </w:pPr>
            <w:r w:rsidRPr="000C5825">
              <w:rPr>
                <w:sz w:val="20"/>
                <w:szCs w:val="20"/>
              </w:rPr>
              <w:t>0.0%</w:t>
            </w:r>
          </w:p>
        </w:tc>
        <w:tc>
          <w:tcPr>
            <w:tcW w:w="1140" w:type="dxa"/>
            <w:noWrap/>
            <w:vAlign w:val="bottom"/>
            <w:hideMark/>
          </w:tcPr>
          <w:p w14:paraId="5FA0B50C" w14:textId="77777777" w:rsidR="00DE583D" w:rsidRPr="000C5825" w:rsidRDefault="00DE583D" w:rsidP="0052799A">
            <w:pPr>
              <w:jc w:val="center"/>
              <w:rPr>
                <w:rFonts w:cs="Baskerville"/>
                <w:sz w:val="20"/>
                <w:szCs w:val="20"/>
              </w:rPr>
            </w:pPr>
            <w:r w:rsidRPr="000C5825">
              <w:rPr>
                <w:sz w:val="20"/>
                <w:szCs w:val="20"/>
              </w:rPr>
              <w:t>0.1%</w:t>
            </w:r>
          </w:p>
        </w:tc>
        <w:tc>
          <w:tcPr>
            <w:tcW w:w="1140" w:type="dxa"/>
            <w:noWrap/>
            <w:vAlign w:val="bottom"/>
            <w:hideMark/>
          </w:tcPr>
          <w:p w14:paraId="334E7390" w14:textId="77777777" w:rsidR="00DE583D" w:rsidRPr="000C5825" w:rsidRDefault="00DE583D" w:rsidP="0052799A">
            <w:pPr>
              <w:jc w:val="center"/>
              <w:rPr>
                <w:rFonts w:cs="Baskerville"/>
                <w:sz w:val="20"/>
                <w:szCs w:val="20"/>
              </w:rPr>
            </w:pPr>
            <w:r w:rsidRPr="000C5825">
              <w:rPr>
                <w:sz w:val="20"/>
                <w:szCs w:val="20"/>
              </w:rPr>
              <w:t>0.2%</w:t>
            </w:r>
          </w:p>
        </w:tc>
        <w:tc>
          <w:tcPr>
            <w:tcW w:w="1097" w:type="dxa"/>
            <w:noWrap/>
            <w:vAlign w:val="bottom"/>
            <w:hideMark/>
          </w:tcPr>
          <w:p w14:paraId="63B42BDC" w14:textId="77777777" w:rsidR="00DE583D" w:rsidRPr="000C5825" w:rsidRDefault="00DE583D" w:rsidP="0052799A">
            <w:pPr>
              <w:jc w:val="center"/>
              <w:rPr>
                <w:rFonts w:cs="Baskerville"/>
                <w:sz w:val="20"/>
                <w:szCs w:val="20"/>
              </w:rPr>
            </w:pPr>
            <w:r w:rsidRPr="000C5825">
              <w:rPr>
                <w:sz w:val="20"/>
                <w:szCs w:val="20"/>
              </w:rPr>
              <w:t>5.9%</w:t>
            </w:r>
          </w:p>
        </w:tc>
        <w:tc>
          <w:tcPr>
            <w:tcW w:w="1180" w:type="dxa"/>
            <w:noWrap/>
            <w:vAlign w:val="bottom"/>
            <w:hideMark/>
          </w:tcPr>
          <w:p w14:paraId="12037AE1" w14:textId="77777777" w:rsidR="00DE583D" w:rsidRPr="000C5825" w:rsidRDefault="00DE583D" w:rsidP="0052799A">
            <w:pPr>
              <w:jc w:val="center"/>
              <w:rPr>
                <w:rFonts w:cs="Baskerville"/>
                <w:sz w:val="20"/>
                <w:szCs w:val="20"/>
              </w:rPr>
            </w:pPr>
            <w:r w:rsidRPr="000C5825">
              <w:rPr>
                <w:sz w:val="20"/>
                <w:szCs w:val="20"/>
              </w:rPr>
              <w:t>2.1%</w:t>
            </w:r>
          </w:p>
        </w:tc>
      </w:tr>
      <w:tr w:rsidR="00DE583D" w:rsidRPr="00B61151" w14:paraId="4167CFA9" w14:textId="77777777" w:rsidTr="00694AA7">
        <w:trPr>
          <w:trHeight w:val="300"/>
        </w:trPr>
        <w:tc>
          <w:tcPr>
            <w:tcW w:w="2512" w:type="dxa"/>
            <w:noWrap/>
            <w:hideMark/>
          </w:tcPr>
          <w:p w14:paraId="1C66E439" w14:textId="77777777" w:rsidR="00DE583D" w:rsidRPr="000C5825" w:rsidRDefault="00DE583D" w:rsidP="0052799A">
            <w:pPr>
              <w:rPr>
                <w:rFonts w:cs="Baskerville"/>
                <w:sz w:val="20"/>
                <w:szCs w:val="20"/>
              </w:rPr>
            </w:pPr>
            <w:r w:rsidRPr="000C5825">
              <w:rPr>
                <w:rFonts w:cs="Baskerville"/>
                <w:sz w:val="20"/>
                <w:szCs w:val="20"/>
              </w:rPr>
              <w:t>ADHD with sedative</w:t>
            </w:r>
          </w:p>
        </w:tc>
        <w:tc>
          <w:tcPr>
            <w:tcW w:w="1140" w:type="dxa"/>
            <w:noWrap/>
            <w:vAlign w:val="bottom"/>
            <w:hideMark/>
          </w:tcPr>
          <w:p w14:paraId="324E12C9" w14:textId="77777777" w:rsidR="00DE583D" w:rsidRPr="000C5825" w:rsidRDefault="00DE583D" w:rsidP="0052799A">
            <w:pPr>
              <w:jc w:val="center"/>
              <w:rPr>
                <w:rFonts w:cs="Baskerville"/>
                <w:sz w:val="20"/>
                <w:szCs w:val="20"/>
              </w:rPr>
            </w:pPr>
            <w:r w:rsidRPr="000C5825">
              <w:rPr>
                <w:sz w:val="20"/>
                <w:szCs w:val="20"/>
              </w:rPr>
              <w:t>0.0%</w:t>
            </w:r>
          </w:p>
        </w:tc>
        <w:tc>
          <w:tcPr>
            <w:tcW w:w="1140" w:type="dxa"/>
            <w:noWrap/>
            <w:vAlign w:val="bottom"/>
            <w:hideMark/>
          </w:tcPr>
          <w:p w14:paraId="783365B5" w14:textId="77777777" w:rsidR="00DE583D" w:rsidRPr="000C5825" w:rsidRDefault="00DE583D" w:rsidP="0052799A">
            <w:pPr>
              <w:jc w:val="center"/>
              <w:rPr>
                <w:rFonts w:cs="Baskerville"/>
                <w:sz w:val="20"/>
                <w:szCs w:val="20"/>
              </w:rPr>
            </w:pPr>
            <w:r w:rsidRPr="000C5825">
              <w:rPr>
                <w:sz w:val="20"/>
                <w:szCs w:val="20"/>
              </w:rPr>
              <w:t>0.0%</w:t>
            </w:r>
          </w:p>
        </w:tc>
        <w:tc>
          <w:tcPr>
            <w:tcW w:w="1140" w:type="dxa"/>
            <w:noWrap/>
            <w:vAlign w:val="bottom"/>
            <w:hideMark/>
          </w:tcPr>
          <w:p w14:paraId="66D1D5E6" w14:textId="77777777" w:rsidR="00DE583D" w:rsidRPr="000C5825" w:rsidRDefault="00DE583D" w:rsidP="0052799A">
            <w:pPr>
              <w:jc w:val="center"/>
              <w:rPr>
                <w:rFonts w:cs="Baskerville"/>
                <w:sz w:val="20"/>
                <w:szCs w:val="20"/>
              </w:rPr>
            </w:pPr>
            <w:r w:rsidRPr="000C5825">
              <w:rPr>
                <w:sz w:val="20"/>
                <w:szCs w:val="20"/>
              </w:rPr>
              <w:t>0.2%</w:t>
            </w:r>
          </w:p>
        </w:tc>
        <w:tc>
          <w:tcPr>
            <w:tcW w:w="1097" w:type="dxa"/>
            <w:noWrap/>
            <w:vAlign w:val="bottom"/>
            <w:hideMark/>
          </w:tcPr>
          <w:p w14:paraId="1B07D038" w14:textId="77777777" w:rsidR="00DE583D" w:rsidRPr="000C5825" w:rsidRDefault="00DE583D" w:rsidP="0052799A">
            <w:pPr>
              <w:jc w:val="center"/>
              <w:rPr>
                <w:rFonts w:cs="Baskerville"/>
                <w:sz w:val="20"/>
                <w:szCs w:val="20"/>
              </w:rPr>
            </w:pPr>
            <w:r w:rsidRPr="000C5825">
              <w:rPr>
                <w:sz w:val="20"/>
                <w:szCs w:val="20"/>
              </w:rPr>
              <w:t>2.3%</w:t>
            </w:r>
          </w:p>
        </w:tc>
        <w:tc>
          <w:tcPr>
            <w:tcW w:w="1180" w:type="dxa"/>
            <w:noWrap/>
            <w:vAlign w:val="bottom"/>
            <w:hideMark/>
          </w:tcPr>
          <w:p w14:paraId="15CBAAE5" w14:textId="77777777" w:rsidR="00DE583D" w:rsidRPr="000C5825" w:rsidRDefault="00DE583D" w:rsidP="0052799A">
            <w:pPr>
              <w:jc w:val="center"/>
              <w:rPr>
                <w:rFonts w:cs="Baskerville"/>
                <w:sz w:val="20"/>
                <w:szCs w:val="20"/>
              </w:rPr>
            </w:pPr>
            <w:r w:rsidRPr="000C5825">
              <w:rPr>
                <w:sz w:val="20"/>
                <w:szCs w:val="20"/>
              </w:rPr>
              <w:t>0.8%</w:t>
            </w:r>
          </w:p>
        </w:tc>
      </w:tr>
      <w:tr w:rsidR="00DE583D" w:rsidRPr="00B61151" w14:paraId="13E1B719" w14:textId="77777777" w:rsidTr="00694AA7">
        <w:trPr>
          <w:trHeight w:val="300"/>
        </w:trPr>
        <w:tc>
          <w:tcPr>
            <w:tcW w:w="2512" w:type="dxa"/>
            <w:noWrap/>
            <w:hideMark/>
          </w:tcPr>
          <w:p w14:paraId="46965046" w14:textId="77777777" w:rsidR="00DE583D" w:rsidRPr="000C5825" w:rsidRDefault="00DE583D" w:rsidP="0052799A">
            <w:pPr>
              <w:rPr>
                <w:rFonts w:cs="Baskerville"/>
                <w:sz w:val="20"/>
                <w:szCs w:val="20"/>
              </w:rPr>
            </w:pPr>
            <w:r w:rsidRPr="000C5825">
              <w:rPr>
                <w:rFonts w:cs="Baskerville"/>
                <w:sz w:val="20"/>
                <w:szCs w:val="20"/>
              </w:rPr>
              <w:t>ADHD with antidepressant</w:t>
            </w:r>
          </w:p>
        </w:tc>
        <w:tc>
          <w:tcPr>
            <w:tcW w:w="1140" w:type="dxa"/>
            <w:tcBorders>
              <w:bottom w:val="single" w:sz="4" w:space="0" w:color="auto"/>
            </w:tcBorders>
            <w:noWrap/>
            <w:vAlign w:val="bottom"/>
            <w:hideMark/>
          </w:tcPr>
          <w:p w14:paraId="0F926B05" w14:textId="77777777" w:rsidR="00DE583D" w:rsidRPr="000C5825" w:rsidRDefault="00DE583D" w:rsidP="0052799A">
            <w:pPr>
              <w:jc w:val="center"/>
              <w:rPr>
                <w:rFonts w:cs="Baskerville"/>
                <w:sz w:val="20"/>
                <w:szCs w:val="20"/>
              </w:rPr>
            </w:pPr>
            <w:r w:rsidRPr="000C5825">
              <w:rPr>
                <w:sz w:val="20"/>
                <w:szCs w:val="20"/>
              </w:rPr>
              <w:t>1.4%</w:t>
            </w:r>
          </w:p>
        </w:tc>
        <w:tc>
          <w:tcPr>
            <w:tcW w:w="1140" w:type="dxa"/>
            <w:tcBorders>
              <w:bottom w:val="single" w:sz="4" w:space="0" w:color="auto"/>
            </w:tcBorders>
            <w:noWrap/>
            <w:vAlign w:val="bottom"/>
            <w:hideMark/>
          </w:tcPr>
          <w:p w14:paraId="7F204D45" w14:textId="77777777" w:rsidR="00DE583D" w:rsidRPr="000C5825" w:rsidRDefault="00DE583D" w:rsidP="0052799A">
            <w:pPr>
              <w:jc w:val="center"/>
              <w:rPr>
                <w:rFonts w:cs="Baskerville"/>
                <w:sz w:val="20"/>
                <w:szCs w:val="20"/>
              </w:rPr>
            </w:pPr>
            <w:r w:rsidRPr="000C5825">
              <w:rPr>
                <w:sz w:val="20"/>
                <w:szCs w:val="20"/>
              </w:rPr>
              <w:t>5.1%</w:t>
            </w:r>
          </w:p>
        </w:tc>
        <w:tc>
          <w:tcPr>
            <w:tcW w:w="1140" w:type="dxa"/>
            <w:tcBorders>
              <w:bottom w:val="single" w:sz="4" w:space="0" w:color="auto"/>
            </w:tcBorders>
            <w:noWrap/>
            <w:vAlign w:val="bottom"/>
            <w:hideMark/>
          </w:tcPr>
          <w:p w14:paraId="15414196" w14:textId="77777777" w:rsidR="00DE583D" w:rsidRPr="000C5825" w:rsidRDefault="00DE583D" w:rsidP="0052799A">
            <w:pPr>
              <w:jc w:val="center"/>
              <w:rPr>
                <w:rFonts w:cs="Baskerville"/>
                <w:sz w:val="20"/>
                <w:szCs w:val="20"/>
              </w:rPr>
            </w:pPr>
            <w:r w:rsidRPr="000C5825">
              <w:rPr>
                <w:sz w:val="20"/>
                <w:szCs w:val="20"/>
              </w:rPr>
              <w:t>12.1%</w:t>
            </w:r>
          </w:p>
        </w:tc>
        <w:tc>
          <w:tcPr>
            <w:tcW w:w="1097" w:type="dxa"/>
            <w:tcBorders>
              <w:bottom w:val="single" w:sz="4" w:space="0" w:color="auto"/>
            </w:tcBorders>
            <w:noWrap/>
            <w:vAlign w:val="bottom"/>
            <w:hideMark/>
          </w:tcPr>
          <w:p w14:paraId="037DD22A" w14:textId="77777777" w:rsidR="00DE583D" w:rsidRPr="000C5825" w:rsidRDefault="00DE583D" w:rsidP="0052799A">
            <w:pPr>
              <w:jc w:val="center"/>
              <w:rPr>
                <w:rFonts w:cs="Baskerville"/>
                <w:sz w:val="20"/>
                <w:szCs w:val="20"/>
              </w:rPr>
            </w:pPr>
            <w:r w:rsidRPr="000C5825">
              <w:rPr>
                <w:sz w:val="20"/>
                <w:szCs w:val="20"/>
              </w:rPr>
              <w:t>26.6%</w:t>
            </w:r>
          </w:p>
        </w:tc>
        <w:tc>
          <w:tcPr>
            <w:tcW w:w="1180" w:type="dxa"/>
            <w:noWrap/>
            <w:vAlign w:val="bottom"/>
            <w:hideMark/>
          </w:tcPr>
          <w:p w14:paraId="0CF4515B" w14:textId="77777777" w:rsidR="00DE583D" w:rsidRPr="000C5825" w:rsidRDefault="00DE583D" w:rsidP="0052799A">
            <w:pPr>
              <w:jc w:val="center"/>
              <w:rPr>
                <w:rFonts w:cs="Baskerville"/>
                <w:sz w:val="20"/>
                <w:szCs w:val="20"/>
              </w:rPr>
            </w:pPr>
            <w:r w:rsidRPr="000C5825">
              <w:rPr>
                <w:sz w:val="20"/>
                <w:szCs w:val="20"/>
              </w:rPr>
              <w:t>13.9%</w:t>
            </w:r>
          </w:p>
        </w:tc>
      </w:tr>
    </w:tbl>
    <w:p w14:paraId="2563904E" w14:textId="77777777" w:rsidR="00B24E44" w:rsidRPr="00127DAF" w:rsidRDefault="00B24E44" w:rsidP="00B24E44">
      <w:pPr>
        <w:rPr>
          <w:rFonts w:cs="Baskerville"/>
          <w:sz w:val="20"/>
          <w:szCs w:val="20"/>
        </w:rPr>
      </w:pPr>
      <w:r>
        <w:rPr>
          <w:rFonts w:cs="Baskerville"/>
          <w:sz w:val="20"/>
          <w:szCs w:val="20"/>
        </w:rPr>
        <w:t xml:space="preserve">Source: Medicare pharmacy claims database, extracted May 2015; </w:t>
      </w:r>
      <w:r w:rsidRPr="00127DAF">
        <w:rPr>
          <w:rFonts w:cs="Baskerville"/>
          <w:sz w:val="20"/>
          <w:szCs w:val="20"/>
        </w:rPr>
        <w:t>MPH = methylphenidate</w:t>
      </w:r>
    </w:p>
    <w:p w14:paraId="5B0A63EF" w14:textId="5C7D7517" w:rsidR="00B24E44" w:rsidRPr="00127DAF" w:rsidRDefault="00B24E44" w:rsidP="00B24E44">
      <w:pPr>
        <w:pStyle w:val="Tabletitle"/>
      </w:pPr>
      <w:r>
        <w:t>Table 12</w:t>
      </w:r>
      <w:r w:rsidRPr="000C5825">
        <w:t>: proportion of people</w:t>
      </w:r>
      <w:r>
        <w:t xml:space="preserve"> with s</w:t>
      </w:r>
      <w:r w:rsidRPr="00127DAF">
        <w:t xml:space="preserve">ame day dispensing </w:t>
      </w:r>
      <w:r>
        <w:t xml:space="preserve">in 2014 </w:t>
      </w:r>
      <w:r w:rsidRPr="00127DAF">
        <w:t>by age group</w:t>
      </w:r>
      <w:r>
        <w:t xml:space="preserve"> </w:t>
      </w:r>
    </w:p>
    <w:tbl>
      <w:tblPr>
        <w:tblStyle w:val="TableGrid"/>
        <w:tblW w:w="0" w:type="auto"/>
        <w:tblInd w:w="108" w:type="dxa"/>
        <w:tblLook w:val="04A0" w:firstRow="1" w:lastRow="0" w:firstColumn="1" w:lastColumn="0" w:noHBand="0" w:noVBand="1"/>
        <w:tblDescription w:val="The first column lists the different combinations of ADHD medicines that were dispensed.  Read across for the percentage of people who had same day dispensing in different age brackets.  From left to right the age brackets are 0-5 years, 6-12 years, 13-17 years and 18+ years."/>
      </w:tblPr>
      <w:tblGrid>
        <w:gridCol w:w="2512"/>
        <w:gridCol w:w="1140"/>
        <w:gridCol w:w="1140"/>
        <w:gridCol w:w="1140"/>
        <w:gridCol w:w="1097"/>
        <w:gridCol w:w="1180"/>
      </w:tblGrid>
      <w:tr w:rsidR="00B24E44" w:rsidRPr="00DE754D" w14:paraId="32764F42" w14:textId="77777777" w:rsidTr="00B24E44">
        <w:trPr>
          <w:trHeight w:val="300"/>
          <w:tblHeader/>
        </w:trPr>
        <w:tc>
          <w:tcPr>
            <w:tcW w:w="2512" w:type="dxa"/>
            <w:shd w:val="clear" w:color="auto" w:fill="D9D9D9" w:themeFill="background1" w:themeFillShade="D9"/>
            <w:noWrap/>
            <w:hideMark/>
          </w:tcPr>
          <w:p w14:paraId="7BFA9CCF" w14:textId="77777777" w:rsidR="00B24E44" w:rsidRPr="00DE754D" w:rsidRDefault="00B24E44" w:rsidP="0034436B">
            <w:pPr>
              <w:jc w:val="center"/>
              <w:rPr>
                <w:rFonts w:cs="Baskerville"/>
                <w:b/>
                <w:sz w:val="20"/>
                <w:szCs w:val="20"/>
              </w:rPr>
            </w:pPr>
            <w:r w:rsidRPr="00DE754D">
              <w:rPr>
                <w:rFonts w:cs="Baskerville"/>
                <w:b/>
                <w:sz w:val="20"/>
                <w:szCs w:val="20"/>
              </w:rPr>
              <w:t>Same day dispensing</w:t>
            </w:r>
          </w:p>
        </w:tc>
        <w:tc>
          <w:tcPr>
            <w:tcW w:w="1140" w:type="dxa"/>
            <w:tcBorders>
              <w:bottom w:val="single" w:sz="4" w:space="0" w:color="auto"/>
            </w:tcBorders>
            <w:shd w:val="clear" w:color="auto" w:fill="D9D9D9" w:themeFill="background1" w:themeFillShade="D9"/>
            <w:noWrap/>
            <w:hideMark/>
          </w:tcPr>
          <w:p w14:paraId="585EBC31" w14:textId="77777777" w:rsidR="00B24E44" w:rsidRPr="00DE754D" w:rsidRDefault="00B24E44" w:rsidP="0034436B">
            <w:pPr>
              <w:jc w:val="center"/>
              <w:rPr>
                <w:rFonts w:cs="Baskerville"/>
                <w:b/>
                <w:sz w:val="20"/>
                <w:szCs w:val="20"/>
              </w:rPr>
            </w:pPr>
            <w:r w:rsidRPr="00DE754D">
              <w:rPr>
                <w:rFonts w:cs="Baskerville"/>
                <w:b/>
                <w:sz w:val="20"/>
                <w:szCs w:val="20"/>
              </w:rPr>
              <w:t>0-5 years</w:t>
            </w:r>
          </w:p>
        </w:tc>
        <w:tc>
          <w:tcPr>
            <w:tcW w:w="1140" w:type="dxa"/>
            <w:tcBorders>
              <w:bottom w:val="single" w:sz="4" w:space="0" w:color="auto"/>
            </w:tcBorders>
            <w:shd w:val="clear" w:color="auto" w:fill="D9D9D9" w:themeFill="background1" w:themeFillShade="D9"/>
            <w:noWrap/>
            <w:hideMark/>
          </w:tcPr>
          <w:p w14:paraId="45667B8B" w14:textId="77777777" w:rsidR="00B24E44" w:rsidRPr="00DE754D" w:rsidRDefault="00B24E44" w:rsidP="0034436B">
            <w:pPr>
              <w:jc w:val="center"/>
              <w:rPr>
                <w:rFonts w:cs="Baskerville"/>
                <w:b/>
                <w:sz w:val="20"/>
                <w:szCs w:val="20"/>
              </w:rPr>
            </w:pPr>
            <w:r w:rsidRPr="00DE754D">
              <w:rPr>
                <w:rFonts w:cs="Baskerville"/>
                <w:b/>
                <w:sz w:val="20"/>
                <w:szCs w:val="20"/>
              </w:rPr>
              <w:t>6-12 years</w:t>
            </w:r>
          </w:p>
        </w:tc>
        <w:tc>
          <w:tcPr>
            <w:tcW w:w="1140" w:type="dxa"/>
            <w:tcBorders>
              <w:bottom w:val="single" w:sz="4" w:space="0" w:color="auto"/>
            </w:tcBorders>
            <w:shd w:val="clear" w:color="auto" w:fill="D9D9D9" w:themeFill="background1" w:themeFillShade="D9"/>
            <w:noWrap/>
            <w:hideMark/>
          </w:tcPr>
          <w:p w14:paraId="079E51E0" w14:textId="77777777" w:rsidR="00B24E44" w:rsidRPr="00DE754D" w:rsidRDefault="00B24E44" w:rsidP="0034436B">
            <w:pPr>
              <w:jc w:val="center"/>
              <w:rPr>
                <w:rFonts w:cs="Baskerville"/>
                <w:b/>
                <w:sz w:val="20"/>
                <w:szCs w:val="20"/>
              </w:rPr>
            </w:pPr>
            <w:r w:rsidRPr="00DE754D">
              <w:rPr>
                <w:rFonts w:cs="Baskerville"/>
                <w:b/>
                <w:sz w:val="20"/>
                <w:szCs w:val="20"/>
              </w:rPr>
              <w:t>13-17 years</w:t>
            </w:r>
          </w:p>
        </w:tc>
        <w:tc>
          <w:tcPr>
            <w:tcW w:w="1097" w:type="dxa"/>
            <w:tcBorders>
              <w:bottom w:val="single" w:sz="4" w:space="0" w:color="auto"/>
            </w:tcBorders>
            <w:shd w:val="clear" w:color="auto" w:fill="D9D9D9" w:themeFill="background1" w:themeFillShade="D9"/>
            <w:noWrap/>
            <w:hideMark/>
          </w:tcPr>
          <w:p w14:paraId="5FB7B1B3" w14:textId="77777777" w:rsidR="00B24E44" w:rsidRPr="00DE754D" w:rsidRDefault="00B24E44" w:rsidP="0034436B">
            <w:pPr>
              <w:jc w:val="center"/>
              <w:rPr>
                <w:rFonts w:cs="Baskerville"/>
                <w:b/>
                <w:sz w:val="20"/>
                <w:szCs w:val="20"/>
              </w:rPr>
            </w:pPr>
            <w:r w:rsidRPr="00DE754D">
              <w:rPr>
                <w:rFonts w:cs="Baskerville"/>
                <w:b/>
                <w:sz w:val="20"/>
                <w:szCs w:val="20"/>
              </w:rPr>
              <w:t>18+ years</w:t>
            </w:r>
          </w:p>
        </w:tc>
        <w:tc>
          <w:tcPr>
            <w:tcW w:w="1180" w:type="dxa"/>
            <w:shd w:val="clear" w:color="auto" w:fill="D9D9D9" w:themeFill="background1" w:themeFillShade="D9"/>
            <w:noWrap/>
            <w:hideMark/>
          </w:tcPr>
          <w:p w14:paraId="25290A21" w14:textId="77777777" w:rsidR="00B24E44" w:rsidRPr="00DE754D" w:rsidRDefault="00B24E44" w:rsidP="0034436B">
            <w:pPr>
              <w:jc w:val="center"/>
              <w:rPr>
                <w:rFonts w:cs="Baskerville"/>
                <w:b/>
                <w:sz w:val="20"/>
                <w:szCs w:val="20"/>
              </w:rPr>
            </w:pPr>
            <w:r w:rsidRPr="00DE754D">
              <w:rPr>
                <w:rFonts w:cs="Baskerville"/>
                <w:b/>
                <w:sz w:val="20"/>
                <w:szCs w:val="20"/>
              </w:rPr>
              <w:t>Total</w:t>
            </w:r>
          </w:p>
        </w:tc>
      </w:tr>
      <w:tr w:rsidR="00B24E44" w:rsidRPr="00B61151" w14:paraId="1835C0FC" w14:textId="77777777" w:rsidTr="0034436B">
        <w:trPr>
          <w:trHeight w:val="300"/>
        </w:trPr>
        <w:tc>
          <w:tcPr>
            <w:tcW w:w="2512" w:type="dxa"/>
            <w:noWrap/>
          </w:tcPr>
          <w:p w14:paraId="24D921A6" w14:textId="77777777" w:rsidR="00B24E44" w:rsidRPr="000C5825" w:rsidRDefault="00B24E44" w:rsidP="0034436B">
            <w:pPr>
              <w:rPr>
                <w:rFonts w:cs="Baskerville"/>
                <w:sz w:val="20"/>
                <w:szCs w:val="20"/>
              </w:rPr>
            </w:pPr>
            <w:r w:rsidRPr="000C5825">
              <w:rPr>
                <w:rFonts w:cs="Baskerville"/>
                <w:sz w:val="20"/>
                <w:szCs w:val="20"/>
              </w:rPr>
              <w:t>Multiple ADHD medications</w:t>
            </w:r>
          </w:p>
        </w:tc>
        <w:tc>
          <w:tcPr>
            <w:tcW w:w="1140" w:type="dxa"/>
            <w:noWrap/>
          </w:tcPr>
          <w:p w14:paraId="38EC9354" w14:textId="77777777" w:rsidR="00B24E44" w:rsidRPr="000C5825" w:rsidRDefault="00B24E44" w:rsidP="0034436B">
            <w:pPr>
              <w:jc w:val="center"/>
              <w:rPr>
                <w:rFonts w:cs="Baskerville"/>
                <w:sz w:val="20"/>
                <w:szCs w:val="20"/>
              </w:rPr>
            </w:pPr>
            <w:r w:rsidRPr="000C5825">
              <w:rPr>
                <w:rFonts w:cs="Baskerville"/>
                <w:sz w:val="20"/>
                <w:szCs w:val="20"/>
              </w:rPr>
              <w:t>0.1%</w:t>
            </w:r>
          </w:p>
        </w:tc>
        <w:tc>
          <w:tcPr>
            <w:tcW w:w="1140" w:type="dxa"/>
            <w:noWrap/>
          </w:tcPr>
          <w:p w14:paraId="66DCD5EE" w14:textId="77777777" w:rsidR="00B24E44" w:rsidRPr="000C5825" w:rsidRDefault="00B24E44" w:rsidP="0034436B">
            <w:pPr>
              <w:jc w:val="center"/>
              <w:rPr>
                <w:rFonts w:cs="Baskerville"/>
                <w:sz w:val="20"/>
                <w:szCs w:val="20"/>
              </w:rPr>
            </w:pPr>
            <w:r w:rsidRPr="000C5825">
              <w:rPr>
                <w:rFonts w:cs="Baskerville"/>
                <w:sz w:val="20"/>
                <w:szCs w:val="20"/>
              </w:rPr>
              <w:t>0.3%</w:t>
            </w:r>
          </w:p>
        </w:tc>
        <w:tc>
          <w:tcPr>
            <w:tcW w:w="1140" w:type="dxa"/>
            <w:noWrap/>
          </w:tcPr>
          <w:p w14:paraId="4107F230" w14:textId="77777777" w:rsidR="00B24E44" w:rsidRPr="000C5825" w:rsidRDefault="00B24E44" w:rsidP="0034436B">
            <w:pPr>
              <w:jc w:val="center"/>
              <w:rPr>
                <w:rFonts w:cs="Baskerville"/>
                <w:sz w:val="20"/>
                <w:szCs w:val="20"/>
              </w:rPr>
            </w:pPr>
            <w:r w:rsidRPr="000C5825">
              <w:rPr>
                <w:rFonts w:cs="Baskerville"/>
                <w:sz w:val="20"/>
                <w:szCs w:val="20"/>
              </w:rPr>
              <w:t>0.3%</w:t>
            </w:r>
          </w:p>
        </w:tc>
        <w:tc>
          <w:tcPr>
            <w:tcW w:w="1097" w:type="dxa"/>
            <w:noWrap/>
          </w:tcPr>
          <w:p w14:paraId="68E2F666" w14:textId="77777777" w:rsidR="00B24E44" w:rsidRPr="000C5825" w:rsidRDefault="00B24E44" w:rsidP="0034436B">
            <w:pPr>
              <w:jc w:val="center"/>
              <w:rPr>
                <w:rFonts w:cs="Baskerville"/>
                <w:sz w:val="20"/>
                <w:szCs w:val="20"/>
              </w:rPr>
            </w:pPr>
            <w:r w:rsidRPr="000C5825">
              <w:rPr>
                <w:rFonts w:cs="Baskerville"/>
                <w:sz w:val="20"/>
                <w:szCs w:val="20"/>
              </w:rPr>
              <w:t>0.3%</w:t>
            </w:r>
          </w:p>
        </w:tc>
        <w:tc>
          <w:tcPr>
            <w:tcW w:w="1180" w:type="dxa"/>
            <w:noWrap/>
          </w:tcPr>
          <w:p w14:paraId="66139486" w14:textId="77777777" w:rsidR="00B24E44" w:rsidRPr="000C5825" w:rsidRDefault="00B24E44" w:rsidP="0034436B">
            <w:pPr>
              <w:jc w:val="center"/>
              <w:rPr>
                <w:rFonts w:cs="Baskerville"/>
                <w:sz w:val="20"/>
                <w:szCs w:val="20"/>
              </w:rPr>
            </w:pPr>
            <w:r w:rsidRPr="000C5825">
              <w:rPr>
                <w:rFonts w:cs="Baskerville"/>
                <w:sz w:val="20"/>
                <w:szCs w:val="20"/>
              </w:rPr>
              <w:t>0.3%</w:t>
            </w:r>
          </w:p>
        </w:tc>
      </w:tr>
      <w:tr w:rsidR="00B24E44" w:rsidRPr="00B61151" w14:paraId="0EC03B7A" w14:textId="77777777" w:rsidTr="0034436B">
        <w:trPr>
          <w:trHeight w:val="300"/>
        </w:trPr>
        <w:tc>
          <w:tcPr>
            <w:tcW w:w="2512" w:type="dxa"/>
            <w:noWrap/>
          </w:tcPr>
          <w:p w14:paraId="61393107" w14:textId="77777777" w:rsidR="00B24E44" w:rsidRPr="000C5825" w:rsidRDefault="00B24E44" w:rsidP="0034436B">
            <w:pPr>
              <w:rPr>
                <w:rFonts w:cs="Baskerville"/>
                <w:sz w:val="20"/>
                <w:szCs w:val="20"/>
              </w:rPr>
            </w:pPr>
            <w:r w:rsidRPr="000C5825">
              <w:rPr>
                <w:rFonts w:cs="Baskerville"/>
                <w:sz w:val="20"/>
                <w:szCs w:val="20"/>
              </w:rPr>
              <w:t>Multiple forms of MPH</w:t>
            </w:r>
          </w:p>
        </w:tc>
        <w:tc>
          <w:tcPr>
            <w:tcW w:w="1140" w:type="dxa"/>
            <w:noWrap/>
          </w:tcPr>
          <w:p w14:paraId="6A1ABD32" w14:textId="77777777" w:rsidR="00B24E44" w:rsidRPr="000C5825" w:rsidRDefault="00B24E44" w:rsidP="0034436B">
            <w:pPr>
              <w:jc w:val="center"/>
              <w:rPr>
                <w:rFonts w:cs="Baskerville"/>
                <w:sz w:val="20"/>
                <w:szCs w:val="20"/>
              </w:rPr>
            </w:pPr>
            <w:r w:rsidRPr="000C5825">
              <w:rPr>
                <w:rFonts w:cs="Baskerville"/>
                <w:sz w:val="20"/>
                <w:szCs w:val="20"/>
              </w:rPr>
              <w:t>0.7%</w:t>
            </w:r>
          </w:p>
        </w:tc>
        <w:tc>
          <w:tcPr>
            <w:tcW w:w="1140" w:type="dxa"/>
            <w:noWrap/>
          </w:tcPr>
          <w:p w14:paraId="1ED91756" w14:textId="77777777" w:rsidR="00B24E44" w:rsidRPr="000C5825" w:rsidRDefault="00B24E44" w:rsidP="0034436B">
            <w:pPr>
              <w:jc w:val="center"/>
              <w:rPr>
                <w:rFonts w:cs="Baskerville"/>
                <w:sz w:val="20"/>
                <w:szCs w:val="20"/>
              </w:rPr>
            </w:pPr>
            <w:r w:rsidRPr="000C5825">
              <w:rPr>
                <w:rFonts w:cs="Baskerville"/>
                <w:sz w:val="20"/>
                <w:szCs w:val="20"/>
              </w:rPr>
              <w:t>7.9%</w:t>
            </w:r>
          </w:p>
        </w:tc>
        <w:tc>
          <w:tcPr>
            <w:tcW w:w="1140" w:type="dxa"/>
            <w:noWrap/>
          </w:tcPr>
          <w:p w14:paraId="0960EE80" w14:textId="77777777" w:rsidR="00B24E44" w:rsidRPr="000C5825" w:rsidRDefault="00B24E44" w:rsidP="0034436B">
            <w:pPr>
              <w:jc w:val="center"/>
              <w:rPr>
                <w:rFonts w:cs="Baskerville"/>
                <w:sz w:val="20"/>
                <w:szCs w:val="20"/>
              </w:rPr>
            </w:pPr>
            <w:r w:rsidRPr="000C5825">
              <w:rPr>
                <w:rFonts w:cs="Baskerville"/>
                <w:sz w:val="20"/>
                <w:szCs w:val="20"/>
              </w:rPr>
              <w:t>9.8%</w:t>
            </w:r>
          </w:p>
        </w:tc>
        <w:tc>
          <w:tcPr>
            <w:tcW w:w="1097" w:type="dxa"/>
            <w:noWrap/>
          </w:tcPr>
          <w:p w14:paraId="66AA5713" w14:textId="77777777" w:rsidR="00B24E44" w:rsidRPr="000C5825" w:rsidRDefault="00B24E44" w:rsidP="0034436B">
            <w:pPr>
              <w:jc w:val="center"/>
              <w:rPr>
                <w:rFonts w:cs="Baskerville"/>
                <w:sz w:val="20"/>
                <w:szCs w:val="20"/>
              </w:rPr>
            </w:pPr>
            <w:r w:rsidRPr="000C5825">
              <w:rPr>
                <w:rFonts w:cs="Baskerville"/>
                <w:sz w:val="20"/>
                <w:szCs w:val="20"/>
              </w:rPr>
              <w:t>2.8%</w:t>
            </w:r>
          </w:p>
        </w:tc>
        <w:tc>
          <w:tcPr>
            <w:tcW w:w="1180" w:type="dxa"/>
            <w:noWrap/>
          </w:tcPr>
          <w:p w14:paraId="2FDB650C" w14:textId="77777777" w:rsidR="00B24E44" w:rsidRPr="000C5825" w:rsidRDefault="00B24E44" w:rsidP="0034436B">
            <w:pPr>
              <w:jc w:val="center"/>
              <w:rPr>
                <w:rFonts w:cs="Baskerville"/>
                <w:sz w:val="20"/>
                <w:szCs w:val="20"/>
              </w:rPr>
            </w:pPr>
            <w:r w:rsidRPr="000C5825">
              <w:rPr>
                <w:rFonts w:cs="Baskerville"/>
                <w:sz w:val="20"/>
                <w:szCs w:val="20"/>
              </w:rPr>
              <w:t>6.4%</w:t>
            </w:r>
          </w:p>
        </w:tc>
      </w:tr>
      <w:tr w:rsidR="00B24E44" w:rsidRPr="00B61151" w14:paraId="3918FB69" w14:textId="77777777" w:rsidTr="0034436B">
        <w:trPr>
          <w:trHeight w:val="300"/>
        </w:trPr>
        <w:tc>
          <w:tcPr>
            <w:tcW w:w="2512" w:type="dxa"/>
            <w:noWrap/>
          </w:tcPr>
          <w:p w14:paraId="7FB6810C" w14:textId="77777777" w:rsidR="00B24E44" w:rsidRPr="000C5825" w:rsidRDefault="00B24E44" w:rsidP="0034436B">
            <w:pPr>
              <w:rPr>
                <w:rFonts w:cs="Baskerville"/>
                <w:sz w:val="20"/>
                <w:szCs w:val="20"/>
              </w:rPr>
            </w:pPr>
            <w:r w:rsidRPr="000C5825">
              <w:rPr>
                <w:rFonts w:cs="Baskerville"/>
                <w:sz w:val="20"/>
                <w:szCs w:val="20"/>
              </w:rPr>
              <w:t>ADHD with antipsychotic</w:t>
            </w:r>
          </w:p>
        </w:tc>
        <w:tc>
          <w:tcPr>
            <w:tcW w:w="1140" w:type="dxa"/>
            <w:noWrap/>
          </w:tcPr>
          <w:p w14:paraId="17819F60" w14:textId="77777777" w:rsidR="00B24E44" w:rsidRPr="000C5825" w:rsidRDefault="00B24E44" w:rsidP="0034436B">
            <w:pPr>
              <w:jc w:val="center"/>
              <w:rPr>
                <w:rFonts w:cs="Baskerville"/>
                <w:sz w:val="20"/>
                <w:szCs w:val="20"/>
              </w:rPr>
            </w:pPr>
            <w:r w:rsidRPr="000C5825">
              <w:rPr>
                <w:rFonts w:cs="Baskerville"/>
                <w:sz w:val="20"/>
                <w:szCs w:val="20"/>
              </w:rPr>
              <w:t>3.8%</w:t>
            </w:r>
          </w:p>
        </w:tc>
        <w:tc>
          <w:tcPr>
            <w:tcW w:w="1140" w:type="dxa"/>
            <w:noWrap/>
          </w:tcPr>
          <w:p w14:paraId="62CBDCA5" w14:textId="77777777" w:rsidR="00B24E44" w:rsidRPr="000C5825" w:rsidRDefault="00B24E44" w:rsidP="0034436B">
            <w:pPr>
              <w:jc w:val="center"/>
              <w:rPr>
                <w:rFonts w:cs="Baskerville"/>
                <w:sz w:val="20"/>
                <w:szCs w:val="20"/>
              </w:rPr>
            </w:pPr>
            <w:r w:rsidRPr="000C5825">
              <w:rPr>
                <w:rFonts w:cs="Baskerville"/>
                <w:sz w:val="20"/>
                <w:szCs w:val="20"/>
              </w:rPr>
              <w:t>5.3%</w:t>
            </w:r>
          </w:p>
        </w:tc>
        <w:tc>
          <w:tcPr>
            <w:tcW w:w="1140" w:type="dxa"/>
            <w:noWrap/>
          </w:tcPr>
          <w:p w14:paraId="41DC9DAD" w14:textId="77777777" w:rsidR="00B24E44" w:rsidRPr="000C5825" w:rsidRDefault="00B24E44" w:rsidP="0034436B">
            <w:pPr>
              <w:jc w:val="center"/>
              <w:rPr>
                <w:rFonts w:cs="Baskerville"/>
                <w:sz w:val="20"/>
                <w:szCs w:val="20"/>
              </w:rPr>
            </w:pPr>
            <w:r w:rsidRPr="000C5825">
              <w:rPr>
                <w:rFonts w:cs="Baskerville"/>
                <w:sz w:val="20"/>
                <w:szCs w:val="20"/>
              </w:rPr>
              <w:t>6.7%</w:t>
            </w:r>
          </w:p>
        </w:tc>
        <w:tc>
          <w:tcPr>
            <w:tcW w:w="1097" w:type="dxa"/>
            <w:noWrap/>
          </w:tcPr>
          <w:p w14:paraId="4799D9BA" w14:textId="77777777" w:rsidR="00B24E44" w:rsidRPr="000C5825" w:rsidRDefault="00B24E44" w:rsidP="0034436B">
            <w:pPr>
              <w:jc w:val="center"/>
              <w:rPr>
                <w:rFonts w:cs="Baskerville"/>
                <w:sz w:val="20"/>
                <w:szCs w:val="20"/>
              </w:rPr>
            </w:pPr>
            <w:r w:rsidRPr="000C5825">
              <w:rPr>
                <w:rFonts w:cs="Baskerville"/>
                <w:sz w:val="20"/>
                <w:szCs w:val="20"/>
              </w:rPr>
              <w:t>6.7%</w:t>
            </w:r>
          </w:p>
        </w:tc>
        <w:tc>
          <w:tcPr>
            <w:tcW w:w="1180" w:type="dxa"/>
            <w:noWrap/>
          </w:tcPr>
          <w:p w14:paraId="74429347" w14:textId="77777777" w:rsidR="00B24E44" w:rsidRPr="000C5825" w:rsidRDefault="00B24E44" w:rsidP="0034436B">
            <w:pPr>
              <w:jc w:val="center"/>
              <w:rPr>
                <w:rFonts w:cs="Baskerville"/>
                <w:sz w:val="20"/>
                <w:szCs w:val="20"/>
              </w:rPr>
            </w:pPr>
            <w:r w:rsidRPr="000C5825">
              <w:rPr>
                <w:rFonts w:cs="Baskerville"/>
                <w:sz w:val="20"/>
                <w:szCs w:val="20"/>
              </w:rPr>
              <w:t>6.0%</w:t>
            </w:r>
          </w:p>
        </w:tc>
      </w:tr>
      <w:tr w:rsidR="00B24E44" w:rsidRPr="00B61151" w14:paraId="183B057A" w14:textId="77777777" w:rsidTr="0034436B">
        <w:trPr>
          <w:trHeight w:val="300"/>
        </w:trPr>
        <w:tc>
          <w:tcPr>
            <w:tcW w:w="2512" w:type="dxa"/>
            <w:noWrap/>
          </w:tcPr>
          <w:p w14:paraId="0E71C549" w14:textId="77777777" w:rsidR="00B24E44" w:rsidRPr="000C5825" w:rsidRDefault="00B24E44" w:rsidP="0034436B">
            <w:pPr>
              <w:rPr>
                <w:rFonts w:cs="Baskerville"/>
                <w:sz w:val="20"/>
                <w:szCs w:val="20"/>
              </w:rPr>
            </w:pPr>
            <w:r w:rsidRPr="000C5825">
              <w:rPr>
                <w:rFonts w:cs="Baskerville"/>
                <w:sz w:val="20"/>
                <w:szCs w:val="20"/>
              </w:rPr>
              <w:t>ADHD with anxiolytic</w:t>
            </w:r>
          </w:p>
        </w:tc>
        <w:tc>
          <w:tcPr>
            <w:tcW w:w="1140" w:type="dxa"/>
            <w:noWrap/>
          </w:tcPr>
          <w:p w14:paraId="3DAA48B4" w14:textId="77777777" w:rsidR="00B24E44" w:rsidRPr="000C5825" w:rsidRDefault="00B24E44" w:rsidP="0034436B">
            <w:pPr>
              <w:jc w:val="center"/>
              <w:rPr>
                <w:rFonts w:cs="Baskerville"/>
                <w:sz w:val="20"/>
                <w:szCs w:val="20"/>
              </w:rPr>
            </w:pPr>
            <w:r w:rsidRPr="000C5825">
              <w:rPr>
                <w:rFonts w:cs="Baskerville"/>
                <w:sz w:val="20"/>
                <w:szCs w:val="20"/>
              </w:rPr>
              <w:t>0.0%</w:t>
            </w:r>
          </w:p>
        </w:tc>
        <w:tc>
          <w:tcPr>
            <w:tcW w:w="1140" w:type="dxa"/>
            <w:noWrap/>
          </w:tcPr>
          <w:p w14:paraId="48B3EA4C" w14:textId="77777777" w:rsidR="00B24E44" w:rsidRPr="000C5825" w:rsidRDefault="00B24E44" w:rsidP="0034436B">
            <w:pPr>
              <w:jc w:val="center"/>
              <w:rPr>
                <w:rFonts w:cs="Baskerville"/>
                <w:sz w:val="20"/>
                <w:szCs w:val="20"/>
              </w:rPr>
            </w:pPr>
            <w:r w:rsidRPr="000C5825">
              <w:rPr>
                <w:rFonts w:cs="Baskerville"/>
                <w:sz w:val="20"/>
                <w:szCs w:val="20"/>
              </w:rPr>
              <w:t>0.1%</w:t>
            </w:r>
          </w:p>
        </w:tc>
        <w:tc>
          <w:tcPr>
            <w:tcW w:w="1140" w:type="dxa"/>
            <w:noWrap/>
          </w:tcPr>
          <w:p w14:paraId="39303555" w14:textId="77777777" w:rsidR="00B24E44" w:rsidRPr="000C5825" w:rsidRDefault="00B24E44" w:rsidP="0034436B">
            <w:pPr>
              <w:jc w:val="center"/>
              <w:rPr>
                <w:rFonts w:cs="Baskerville"/>
                <w:sz w:val="20"/>
                <w:szCs w:val="20"/>
              </w:rPr>
            </w:pPr>
            <w:r w:rsidRPr="000C5825">
              <w:rPr>
                <w:rFonts w:cs="Baskerville"/>
                <w:sz w:val="20"/>
                <w:szCs w:val="20"/>
              </w:rPr>
              <w:t>0.2%</w:t>
            </w:r>
          </w:p>
        </w:tc>
        <w:tc>
          <w:tcPr>
            <w:tcW w:w="1097" w:type="dxa"/>
            <w:noWrap/>
          </w:tcPr>
          <w:p w14:paraId="097AE1E9" w14:textId="77777777" w:rsidR="00B24E44" w:rsidRPr="000C5825" w:rsidRDefault="00B24E44" w:rsidP="0034436B">
            <w:pPr>
              <w:jc w:val="center"/>
              <w:rPr>
                <w:rFonts w:cs="Baskerville"/>
                <w:sz w:val="20"/>
                <w:szCs w:val="20"/>
              </w:rPr>
            </w:pPr>
            <w:r w:rsidRPr="000C5825">
              <w:rPr>
                <w:rFonts w:cs="Baskerville"/>
                <w:sz w:val="20"/>
                <w:szCs w:val="20"/>
              </w:rPr>
              <w:t>6.1%</w:t>
            </w:r>
          </w:p>
        </w:tc>
        <w:tc>
          <w:tcPr>
            <w:tcW w:w="1180" w:type="dxa"/>
            <w:noWrap/>
          </w:tcPr>
          <w:p w14:paraId="4A396DED" w14:textId="77777777" w:rsidR="00B24E44" w:rsidRPr="000C5825" w:rsidRDefault="00B24E44" w:rsidP="0034436B">
            <w:pPr>
              <w:jc w:val="center"/>
              <w:rPr>
                <w:rFonts w:cs="Baskerville"/>
                <w:sz w:val="20"/>
                <w:szCs w:val="20"/>
              </w:rPr>
            </w:pPr>
            <w:r w:rsidRPr="000C5825">
              <w:rPr>
                <w:rFonts w:cs="Baskerville"/>
                <w:sz w:val="20"/>
                <w:szCs w:val="20"/>
              </w:rPr>
              <w:t>2.2%</w:t>
            </w:r>
          </w:p>
        </w:tc>
      </w:tr>
      <w:tr w:rsidR="00B24E44" w:rsidRPr="00B61151" w14:paraId="52DB8A2D" w14:textId="77777777" w:rsidTr="0034436B">
        <w:trPr>
          <w:trHeight w:val="300"/>
        </w:trPr>
        <w:tc>
          <w:tcPr>
            <w:tcW w:w="2512" w:type="dxa"/>
            <w:noWrap/>
          </w:tcPr>
          <w:p w14:paraId="2B4DCDC6" w14:textId="77777777" w:rsidR="00B24E44" w:rsidRPr="000C5825" w:rsidRDefault="00B24E44" w:rsidP="0034436B">
            <w:pPr>
              <w:rPr>
                <w:rFonts w:cs="Baskerville"/>
                <w:sz w:val="20"/>
                <w:szCs w:val="20"/>
              </w:rPr>
            </w:pPr>
            <w:r w:rsidRPr="000C5825">
              <w:rPr>
                <w:rFonts w:cs="Baskerville"/>
                <w:sz w:val="20"/>
                <w:szCs w:val="20"/>
              </w:rPr>
              <w:t>ADHD with sedative</w:t>
            </w:r>
          </w:p>
        </w:tc>
        <w:tc>
          <w:tcPr>
            <w:tcW w:w="1140" w:type="dxa"/>
            <w:noWrap/>
          </w:tcPr>
          <w:p w14:paraId="62DBDE19" w14:textId="77777777" w:rsidR="00B24E44" w:rsidRPr="000C5825" w:rsidRDefault="00B24E44" w:rsidP="0034436B">
            <w:pPr>
              <w:jc w:val="center"/>
              <w:rPr>
                <w:rFonts w:cs="Baskerville"/>
                <w:sz w:val="20"/>
                <w:szCs w:val="20"/>
              </w:rPr>
            </w:pPr>
            <w:r w:rsidRPr="000C5825">
              <w:rPr>
                <w:rFonts w:cs="Baskerville"/>
                <w:sz w:val="20"/>
                <w:szCs w:val="20"/>
              </w:rPr>
              <w:t>0.0%</w:t>
            </w:r>
          </w:p>
        </w:tc>
        <w:tc>
          <w:tcPr>
            <w:tcW w:w="1140" w:type="dxa"/>
            <w:noWrap/>
          </w:tcPr>
          <w:p w14:paraId="27E455A0" w14:textId="77777777" w:rsidR="00B24E44" w:rsidRPr="000C5825" w:rsidRDefault="00B24E44" w:rsidP="0034436B">
            <w:pPr>
              <w:jc w:val="center"/>
              <w:rPr>
                <w:rFonts w:cs="Baskerville"/>
                <w:sz w:val="20"/>
                <w:szCs w:val="20"/>
              </w:rPr>
            </w:pPr>
            <w:r w:rsidRPr="000C5825">
              <w:rPr>
                <w:rFonts w:cs="Baskerville"/>
                <w:sz w:val="20"/>
                <w:szCs w:val="20"/>
              </w:rPr>
              <w:t>0.0%</w:t>
            </w:r>
          </w:p>
        </w:tc>
        <w:tc>
          <w:tcPr>
            <w:tcW w:w="1140" w:type="dxa"/>
            <w:noWrap/>
          </w:tcPr>
          <w:p w14:paraId="7DB5AE38" w14:textId="77777777" w:rsidR="00B24E44" w:rsidRPr="000C5825" w:rsidRDefault="00B24E44" w:rsidP="0034436B">
            <w:pPr>
              <w:jc w:val="center"/>
              <w:rPr>
                <w:rFonts w:cs="Baskerville"/>
                <w:sz w:val="20"/>
                <w:szCs w:val="20"/>
              </w:rPr>
            </w:pPr>
            <w:r w:rsidRPr="000C5825">
              <w:rPr>
                <w:rFonts w:cs="Baskerville"/>
                <w:sz w:val="20"/>
                <w:szCs w:val="20"/>
              </w:rPr>
              <w:t>0.1%</w:t>
            </w:r>
          </w:p>
        </w:tc>
        <w:tc>
          <w:tcPr>
            <w:tcW w:w="1097" w:type="dxa"/>
            <w:noWrap/>
          </w:tcPr>
          <w:p w14:paraId="3DE9850B" w14:textId="77777777" w:rsidR="00B24E44" w:rsidRPr="000C5825" w:rsidRDefault="00B24E44" w:rsidP="0034436B">
            <w:pPr>
              <w:jc w:val="center"/>
              <w:rPr>
                <w:rFonts w:cs="Baskerville"/>
                <w:sz w:val="20"/>
                <w:szCs w:val="20"/>
              </w:rPr>
            </w:pPr>
            <w:r w:rsidRPr="000C5825">
              <w:rPr>
                <w:rFonts w:cs="Baskerville"/>
                <w:sz w:val="20"/>
                <w:szCs w:val="20"/>
              </w:rPr>
              <w:t>2.4%</w:t>
            </w:r>
          </w:p>
        </w:tc>
        <w:tc>
          <w:tcPr>
            <w:tcW w:w="1180" w:type="dxa"/>
            <w:noWrap/>
          </w:tcPr>
          <w:p w14:paraId="42A1C3A6" w14:textId="77777777" w:rsidR="00B24E44" w:rsidRPr="000C5825" w:rsidRDefault="00B24E44" w:rsidP="0034436B">
            <w:pPr>
              <w:jc w:val="center"/>
              <w:rPr>
                <w:rFonts w:cs="Baskerville"/>
                <w:sz w:val="20"/>
                <w:szCs w:val="20"/>
              </w:rPr>
            </w:pPr>
            <w:r w:rsidRPr="000C5825">
              <w:rPr>
                <w:rFonts w:cs="Baskerville"/>
                <w:sz w:val="20"/>
                <w:szCs w:val="20"/>
              </w:rPr>
              <w:t>0.8%</w:t>
            </w:r>
          </w:p>
        </w:tc>
      </w:tr>
      <w:tr w:rsidR="00B24E44" w:rsidRPr="00B61151" w14:paraId="25D7FECC" w14:textId="77777777" w:rsidTr="0034436B">
        <w:trPr>
          <w:trHeight w:val="300"/>
        </w:trPr>
        <w:tc>
          <w:tcPr>
            <w:tcW w:w="2512" w:type="dxa"/>
            <w:noWrap/>
          </w:tcPr>
          <w:p w14:paraId="4B50B624" w14:textId="77777777" w:rsidR="00B24E44" w:rsidRPr="000C5825" w:rsidRDefault="00B24E44" w:rsidP="0034436B">
            <w:pPr>
              <w:rPr>
                <w:rFonts w:cs="Baskerville"/>
                <w:sz w:val="20"/>
                <w:szCs w:val="20"/>
              </w:rPr>
            </w:pPr>
            <w:r w:rsidRPr="000C5825">
              <w:rPr>
                <w:rFonts w:cs="Baskerville"/>
                <w:sz w:val="20"/>
                <w:szCs w:val="20"/>
              </w:rPr>
              <w:t>ADHD with antidepressant</w:t>
            </w:r>
          </w:p>
        </w:tc>
        <w:tc>
          <w:tcPr>
            <w:tcW w:w="1140" w:type="dxa"/>
            <w:noWrap/>
          </w:tcPr>
          <w:p w14:paraId="72685C17" w14:textId="77777777" w:rsidR="00B24E44" w:rsidRPr="000C5825" w:rsidRDefault="00B24E44" w:rsidP="0034436B">
            <w:pPr>
              <w:jc w:val="center"/>
              <w:rPr>
                <w:rFonts w:cs="Baskerville"/>
                <w:sz w:val="20"/>
                <w:szCs w:val="20"/>
              </w:rPr>
            </w:pPr>
            <w:r w:rsidRPr="000C5825">
              <w:rPr>
                <w:rFonts w:cs="Baskerville"/>
                <w:sz w:val="20"/>
                <w:szCs w:val="20"/>
              </w:rPr>
              <w:t>2.0%</w:t>
            </w:r>
          </w:p>
        </w:tc>
        <w:tc>
          <w:tcPr>
            <w:tcW w:w="1140" w:type="dxa"/>
            <w:noWrap/>
          </w:tcPr>
          <w:p w14:paraId="28A1D678" w14:textId="77777777" w:rsidR="00B24E44" w:rsidRPr="000C5825" w:rsidRDefault="00B24E44" w:rsidP="0034436B">
            <w:pPr>
              <w:jc w:val="center"/>
              <w:rPr>
                <w:rFonts w:cs="Baskerville"/>
                <w:sz w:val="20"/>
                <w:szCs w:val="20"/>
              </w:rPr>
            </w:pPr>
            <w:r w:rsidRPr="000C5825">
              <w:rPr>
                <w:rFonts w:cs="Baskerville"/>
                <w:sz w:val="20"/>
                <w:szCs w:val="20"/>
              </w:rPr>
              <w:t>5.4%</w:t>
            </w:r>
          </w:p>
        </w:tc>
        <w:tc>
          <w:tcPr>
            <w:tcW w:w="1140" w:type="dxa"/>
            <w:noWrap/>
          </w:tcPr>
          <w:p w14:paraId="63AD73A9" w14:textId="77777777" w:rsidR="00B24E44" w:rsidRPr="000C5825" w:rsidRDefault="00B24E44" w:rsidP="0034436B">
            <w:pPr>
              <w:jc w:val="center"/>
              <w:rPr>
                <w:rFonts w:cs="Baskerville"/>
                <w:sz w:val="20"/>
                <w:szCs w:val="20"/>
              </w:rPr>
            </w:pPr>
            <w:r w:rsidRPr="000C5825">
              <w:rPr>
                <w:rFonts w:cs="Baskerville"/>
                <w:sz w:val="20"/>
                <w:szCs w:val="20"/>
              </w:rPr>
              <w:t>13.0%</w:t>
            </w:r>
          </w:p>
        </w:tc>
        <w:tc>
          <w:tcPr>
            <w:tcW w:w="1097" w:type="dxa"/>
            <w:noWrap/>
          </w:tcPr>
          <w:p w14:paraId="103B11D5" w14:textId="77777777" w:rsidR="00B24E44" w:rsidRPr="000C5825" w:rsidRDefault="00B24E44" w:rsidP="0034436B">
            <w:pPr>
              <w:jc w:val="center"/>
              <w:rPr>
                <w:rFonts w:cs="Baskerville"/>
                <w:sz w:val="20"/>
                <w:szCs w:val="20"/>
              </w:rPr>
            </w:pPr>
            <w:r w:rsidRPr="000C5825">
              <w:rPr>
                <w:rFonts w:cs="Baskerville"/>
                <w:sz w:val="20"/>
                <w:szCs w:val="20"/>
              </w:rPr>
              <w:t>27.1%</w:t>
            </w:r>
          </w:p>
        </w:tc>
        <w:tc>
          <w:tcPr>
            <w:tcW w:w="1180" w:type="dxa"/>
            <w:noWrap/>
          </w:tcPr>
          <w:p w14:paraId="4527E063" w14:textId="77777777" w:rsidR="00B24E44" w:rsidRPr="000C5825" w:rsidRDefault="00B24E44" w:rsidP="0034436B">
            <w:pPr>
              <w:jc w:val="center"/>
              <w:rPr>
                <w:rFonts w:cs="Baskerville"/>
                <w:sz w:val="20"/>
                <w:szCs w:val="20"/>
              </w:rPr>
            </w:pPr>
            <w:r w:rsidRPr="000C5825">
              <w:rPr>
                <w:rFonts w:cs="Baskerville"/>
                <w:sz w:val="20"/>
                <w:szCs w:val="20"/>
              </w:rPr>
              <w:t>14.4%</w:t>
            </w:r>
          </w:p>
        </w:tc>
      </w:tr>
    </w:tbl>
    <w:p w14:paraId="6A56A0DD" w14:textId="77777777" w:rsidR="00B24E44" w:rsidRPr="00127DAF" w:rsidRDefault="00B24E44" w:rsidP="00B24E44">
      <w:pPr>
        <w:rPr>
          <w:rFonts w:cs="Baskerville"/>
          <w:sz w:val="20"/>
          <w:szCs w:val="20"/>
        </w:rPr>
      </w:pPr>
      <w:r>
        <w:rPr>
          <w:rFonts w:cs="Baskerville"/>
          <w:sz w:val="20"/>
          <w:szCs w:val="20"/>
        </w:rPr>
        <w:t xml:space="preserve">Source: Medicare pharmacy claims database, extracted May 2015; </w:t>
      </w:r>
      <w:r w:rsidRPr="00127DAF">
        <w:rPr>
          <w:rFonts w:cs="Baskerville"/>
          <w:sz w:val="20"/>
          <w:szCs w:val="20"/>
        </w:rPr>
        <w:t>MPH = methylphenidate</w:t>
      </w:r>
    </w:p>
    <w:p w14:paraId="3B5E00CC" w14:textId="2B7B895F" w:rsidR="00DE583D" w:rsidRDefault="00DE583D" w:rsidP="00DE583D">
      <w:pPr>
        <w:rPr>
          <w:rFonts w:ascii="Calibri" w:eastAsia="MS Mincho" w:hAnsi="Calibri" w:cs="Times New Roman"/>
        </w:rPr>
      </w:pPr>
      <w:r>
        <w:rPr>
          <w:rFonts w:ascii="Calibri" w:eastAsia="MS Mincho" w:hAnsi="Calibri" w:cs="Times New Roman"/>
        </w:rPr>
        <w:t xml:space="preserve">A very small proportion of people were supplied multiple ADHD </w:t>
      </w:r>
      <w:r w:rsidRPr="005500B4">
        <w:rPr>
          <w:rFonts w:ascii="Calibri" w:eastAsia="MS Mincho" w:hAnsi="Calibri" w:cs="Times New Roman"/>
        </w:rPr>
        <w:t>medicines (two or more of dexamphetamine, methylphenidate or atomoxetine)</w:t>
      </w:r>
      <w:r>
        <w:rPr>
          <w:rFonts w:ascii="Calibri" w:eastAsia="MS Mincho" w:hAnsi="Calibri" w:cs="Times New Roman"/>
        </w:rPr>
        <w:t xml:space="preserve"> on the same day. Multiple forms of methylphenidate were more commonly supplied on the same day to adolescents compared with other age groups.</w:t>
      </w:r>
    </w:p>
    <w:p w14:paraId="20517205" w14:textId="77777777" w:rsidR="00DE583D" w:rsidRPr="00B833C5" w:rsidRDefault="00DE583D" w:rsidP="00DE583D">
      <w:pPr>
        <w:rPr>
          <w:rFonts w:ascii="Calibri" w:eastAsia="MS Mincho" w:hAnsi="Calibri" w:cs="Times New Roman"/>
        </w:rPr>
      </w:pPr>
      <w:r>
        <w:rPr>
          <w:rFonts w:ascii="Calibri" w:eastAsia="MS Mincho" w:hAnsi="Calibri" w:cs="Times New Roman"/>
        </w:rPr>
        <w:t>Rates of co-supply of an ADHD medicine with an antidepressant were higher than rates of co-supply of an ADHD medicine with anxiolytics, sedatives or antipsychotics. The proportion of people who received a same day supply of ADHD medicine with antidepressant increased with increasing age, being highest in adults.</w:t>
      </w:r>
    </w:p>
    <w:p w14:paraId="6F8FF079" w14:textId="77777777" w:rsidR="00DE583D" w:rsidRDefault="00DE583D" w:rsidP="00D60536">
      <w:pPr>
        <w:pStyle w:val="Heading4"/>
      </w:pPr>
      <w:r>
        <w:t>Prescribers</w:t>
      </w:r>
    </w:p>
    <w:p w14:paraId="000936D1" w14:textId="19544FB0" w:rsidR="00DE583D" w:rsidRDefault="00DE583D" w:rsidP="00DE583D">
      <w:pPr>
        <w:autoSpaceDE w:val="0"/>
        <w:autoSpaceDN w:val="0"/>
        <w:adjustRightInd w:val="0"/>
        <w:spacing w:after="0"/>
        <w:rPr>
          <w:rFonts w:ascii="Calibri" w:eastAsia="MS Mincho" w:hAnsi="Calibri" w:cs="Times New Roman"/>
        </w:rPr>
      </w:pPr>
      <w:r>
        <w:rPr>
          <w:rFonts w:ascii="Calibri" w:eastAsia="MS Mincho" w:hAnsi="Calibri" w:cs="Times New Roman"/>
        </w:rPr>
        <w:t xml:space="preserve">The diagnosis and management of ADHD may involve multidisciplinary care. The </w:t>
      </w:r>
      <w:r w:rsidR="00F5061E">
        <w:rPr>
          <w:rFonts w:ascii="Calibri" w:eastAsia="MS Mincho" w:hAnsi="Calibri" w:cs="Times New Roman"/>
        </w:rPr>
        <w:t xml:space="preserve">NHMRC </w:t>
      </w:r>
      <w:r>
        <w:rPr>
          <w:rFonts w:ascii="Calibri" w:eastAsia="MS Mincho" w:hAnsi="Calibri" w:cs="Times New Roman"/>
        </w:rPr>
        <w:t>C</w:t>
      </w:r>
      <w:r w:rsidR="00F5061E">
        <w:rPr>
          <w:rFonts w:ascii="Calibri" w:eastAsia="MS Mincho" w:hAnsi="Calibri" w:cs="Times New Roman"/>
        </w:rPr>
        <w:t xml:space="preserve">linical </w:t>
      </w:r>
      <w:r>
        <w:rPr>
          <w:rFonts w:ascii="Calibri" w:eastAsia="MS Mincho" w:hAnsi="Calibri" w:cs="Times New Roman"/>
        </w:rPr>
        <w:t>P</w:t>
      </w:r>
      <w:r w:rsidR="00F5061E">
        <w:rPr>
          <w:rFonts w:ascii="Calibri" w:eastAsia="MS Mincho" w:hAnsi="Calibri" w:cs="Times New Roman"/>
        </w:rPr>
        <w:t xml:space="preserve">ractice </w:t>
      </w:r>
      <w:r>
        <w:rPr>
          <w:rFonts w:ascii="Calibri" w:eastAsia="MS Mincho" w:hAnsi="Calibri" w:cs="Times New Roman"/>
        </w:rPr>
        <w:t>P</w:t>
      </w:r>
      <w:r w:rsidR="00F5061E">
        <w:rPr>
          <w:rFonts w:ascii="Calibri" w:eastAsia="MS Mincho" w:hAnsi="Calibri" w:cs="Times New Roman"/>
        </w:rPr>
        <w:t>oint</w:t>
      </w:r>
      <w:r>
        <w:rPr>
          <w:rFonts w:ascii="Calibri" w:eastAsia="MS Mincho" w:hAnsi="Calibri" w:cs="Times New Roman"/>
        </w:rPr>
        <w:t xml:space="preserve">s recommend diagnosis (and management) by a </w:t>
      </w:r>
      <w:r w:rsidRPr="001F1BE0">
        <w:rPr>
          <w:rFonts w:ascii="Calibri" w:eastAsia="MS Mincho" w:hAnsi="Calibri" w:cs="Times New Roman"/>
        </w:rPr>
        <w:t>specialist paediatrician, child/adolescent psychiatrist or clinical or neuro-psychologist</w:t>
      </w:r>
      <w:r>
        <w:rPr>
          <w:rFonts w:ascii="Calibri" w:eastAsia="MS Mincho" w:hAnsi="Calibri" w:cs="Times New Roman"/>
        </w:rPr>
        <w:t>;</w:t>
      </w:r>
      <w:r w:rsidRPr="001F1BE0">
        <w:rPr>
          <w:rFonts w:ascii="Calibri" w:eastAsia="MS Mincho" w:hAnsi="Calibri" w:cs="Times New Roman"/>
        </w:rPr>
        <w:t xml:space="preserve"> supported when</w:t>
      </w:r>
      <w:r>
        <w:rPr>
          <w:rFonts w:ascii="Calibri" w:eastAsia="MS Mincho" w:hAnsi="Calibri" w:cs="Times New Roman"/>
        </w:rPr>
        <w:t xml:space="preserve"> </w:t>
      </w:r>
      <w:r w:rsidRPr="001F1BE0">
        <w:rPr>
          <w:rFonts w:ascii="Calibri" w:eastAsia="MS Mincho" w:hAnsi="Calibri" w:cs="Times New Roman"/>
        </w:rPr>
        <w:t>necessary by other allied health clinicians</w:t>
      </w:r>
      <w:r>
        <w:rPr>
          <w:rFonts w:ascii="Calibri" w:eastAsia="MS Mincho" w:hAnsi="Calibri" w:cs="Times New Roman"/>
        </w:rPr>
        <w:t>.</w:t>
      </w:r>
      <w:r w:rsidRPr="008513A1">
        <w:rPr>
          <w:rFonts w:ascii="Calibri" w:eastAsia="MS Mincho" w:hAnsi="Calibri" w:cs="Times New Roman"/>
          <w:vertAlign w:val="superscript"/>
        </w:rPr>
        <w:fldChar w:fldCharType="begin"/>
      </w:r>
      <w:r w:rsidRPr="008513A1">
        <w:rPr>
          <w:rFonts w:ascii="Calibri" w:eastAsia="MS Mincho" w:hAnsi="Calibri" w:cs="Times New Roman"/>
          <w:vertAlign w:val="superscript"/>
        </w:rPr>
        <w:instrText xml:space="preserve"> NOTEREF _Ref418676855 \h </w:instrText>
      </w:r>
      <w:r>
        <w:rPr>
          <w:rFonts w:ascii="Calibri" w:eastAsia="MS Mincho" w:hAnsi="Calibri" w:cs="Times New Roman"/>
          <w:vertAlign w:val="superscript"/>
        </w:rPr>
        <w:instrText xml:space="preserve"> \* MERGEFORMAT </w:instrText>
      </w:r>
      <w:r w:rsidRPr="008513A1">
        <w:rPr>
          <w:rFonts w:ascii="Calibri" w:eastAsia="MS Mincho" w:hAnsi="Calibri" w:cs="Times New Roman"/>
          <w:vertAlign w:val="superscript"/>
        </w:rPr>
      </w:r>
      <w:r w:rsidRPr="008513A1">
        <w:rPr>
          <w:rFonts w:ascii="Calibri" w:eastAsia="MS Mincho" w:hAnsi="Calibri" w:cs="Times New Roman"/>
          <w:vertAlign w:val="superscript"/>
        </w:rPr>
        <w:fldChar w:fldCharType="separate"/>
      </w:r>
      <w:r w:rsidR="00C1646A">
        <w:rPr>
          <w:rFonts w:ascii="Calibri" w:eastAsia="MS Mincho" w:hAnsi="Calibri" w:cs="Times New Roman"/>
          <w:vertAlign w:val="superscript"/>
        </w:rPr>
        <w:t>iii</w:t>
      </w:r>
      <w:r w:rsidRPr="008513A1">
        <w:rPr>
          <w:rFonts w:ascii="Calibri" w:eastAsia="MS Mincho" w:hAnsi="Calibri" w:cs="Times New Roman"/>
          <w:vertAlign w:val="superscript"/>
        </w:rPr>
        <w:fldChar w:fldCharType="end"/>
      </w:r>
      <w:r>
        <w:rPr>
          <w:rFonts w:ascii="Calibri" w:eastAsia="MS Mincho" w:hAnsi="Calibri" w:cs="Times New Roman"/>
        </w:rPr>
        <w:t xml:space="preserve"> The role of the general practitioner is providing ongoing surveillance and support, which may involve overseeing the mental health care plan.</w:t>
      </w:r>
      <w:r w:rsidRPr="008513A1">
        <w:rPr>
          <w:rFonts w:ascii="Calibri" w:eastAsia="MS Mincho" w:hAnsi="Calibri" w:cs="Times New Roman"/>
          <w:vertAlign w:val="superscript"/>
        </w:rPr>
        <w:fldChar w:fldCharType="begin"/>
      </w:r>
      <w:r w:rsidRPr="008513A1">
        <w:rPr>
          <w:rFonts w:ascii="Calibri" w:eastAsia="MS Mincho" w:hAnsi="Calibri" w:cs="Times New Roman"/>
          <w:vertAlign w:val="superscript"/>
        </w:rPr>
        <w:instrText xml:space="preserve"> NOTEREF _Ref418676855 \h </w:instrText>
      </w:r>
      <w:r>
        <w:rPr>
          <w:rFonts w:ascii="Calibri" w:eastAsia="MS Mincho" w:hAnsi="Calibri" w:cs="Times New Roman"/>
          <w:vertAlign w:val="superscript"/>
        </w:rPr>
        <w:instrText xml:space="preserve"> \* MERGEFORMAT </w:instrText>
      </w:r>
      <w:r w:rsidRPr="008513A1">
        <w:rPr>
          <w:rFonts w:ascii="Calibri" w:eastAsia="MS Mincho" w:hAnsi="Calibri" w:cs="Times New Roman"/>
          <w:vertAlign w:val="superscript"/>
        </w:rPr>
      </w:r>
      <w:r w:rsidRPr="008513A1">
        <w:rPr>
          <w:rFonts w:ascii="Calibri" w:eastAsia="MS Mincho" w:hAnsi="Calibri" w:cs="Times New Roman"/>
          <w:vertAlign w:val="superscript"/>
        </w:rPr>
        <w:fldChar w:fldCharType="separate"/>
      </w:r>
      <w:r w:rsidR="00C1646A">
        <w:rPr>
          <w:rFonts w:ascii="Calibri" w:eastAsia="MS Mincho" w:hAnsi="Calibri" w:cs="Times New Roman"/>
          <w:vertAlign w:val="superscript"/>
        </w:rPr>
        <w:t>iii</w:t>
      </w:r>
      <w:r w:rsidRPr="008513A1">
        <w:rPr>
          <w:rFonts w:ascii="Calibri" w:eastAsia="MS Mincho" w:hAnsi="Calibri" w:cs="Times New Roman"/>
          <w:vertAlign w:val="superscript"/>
        </w:rPr>
        <w:fldChar w:fldCharType="end"/>
      </w:r>
      <w:r>
        <w:rPr>
          <w:rFonts w:ascii="Calibri" w:eastAsia="MS Mincho" w:hAnsi="Calibri" w:cs="Times New Roman"/>
          <w:vertAlign w:val="superscript"/>
        </w:rPr>
        <w:t>;</w:t>
      </w:r>
      <w:r>
        <w:rPr>
          <w:rFonts w:ascii="Calibri" w:eastAsia="MS Mincho" w:hAnsi="Calibri" w:cs="Times New Roman"/>
          <w:vertAlign w:val="superscript"/>
        </w:rPr>
        <w:fldChar w:fldCharType="begin"/>
      </w:r>
      <w:r>
        <w:rPr>
          <w:rFonts w:ascii="Calibri" w:eastAsia="MS Mincho" w:hAnsi="Calibri" w:cs="Times New Roman"/>
          <w:vertAlign w:val="superscript"/>
        </w:rPr>
        <w:instrText xml:space="preserve"> NOTEREF _Ref418697845 \h </w:instrText>
      </w:r>
      <w:r>
        <w:rPr>
          <w:rFonts w:ascii="Calibri" w:eastAsia="MS Mincho" w:hAnsi="Calibri" w:cs="Times New Roman"/>
          <w:vertAlign w:val="superscript"/>
        </w:rPr>
      </w:r>
      <w:r>
        <w:rPr>
          <w:rFonts w:ascii="Calibri" w:eastAsia="MS Mincho" w:hAnsi="Calibri" w:cs="Times New Roman"/>
          <w:vertAlign w:val="superscript"/>
        </w:rPr>
        <w:fldChar w:fldCharType="separate"/>
      </w:r>
      <w:r w:rsidR="00C1646A">
        <w:rPr>
          <w:rFonts w:ascii="Calibri" w:eastAsia="MS Mincho" w:hAnsi="Calibri" w:cs="Times New Roman"/>
          <w:vertAlign w:val="superscript"/>
        </w:rPr>
        <w:t>v</w:t>
      </w:r>
      <w:r>
        <w:rPr>
          <w:rFonts w:ascii="Calibri" w:eastAsia="MS Mincho" w:hAnsi="Calibri" w:cs="Times New Roman"/>
          <w:vertAlign w:val="superscript"/>
        </w:rPr>
        <w:fldChar w:fldCharType="end"/>
      </w:r>
      <w:r>
        <w:rPr>
          <w:rFonts w:ascii="Calibri" w:eastAsia="MS Mincho" w:hAnsi="Calibri" w:cs="Times New Roman"/>
        </w:rPr>
        <w:t xml:space="preserve"> </w:t>
      </w:r>
    </w:p>
    <w:p w14:paraId="7C888FC4" w14:textId="77777777" w:rsidR="00DE583D" w:rsidRDefault="00DE583D" w:rsidP="00DE583D">
      <w:pPr>
        <w:autoSpaceDE w:val="0"/>
        <w:autoSpaceDN w:val="0"/>
        <w:adjustRightInd w:val="0"/>
        <w:spacing w:after="0"/>
        <w:rPr>
          <w:rFonts w:ascii="Calibri" w:eastAsia="MS Mincho" w:hAnsi="Calibri" w:cs="Times New Roman"/>
        </w:rPr>
      </w:pPr>
    </w:p>
    <w:p w14:paraId="1E0059FA" w14:textId="77777777" w:rsidR="00DE583D" w:rsidRDefault="00DE583D" w:rsidP="00DE583D">
      <w:pPr>
        <w:rPr>
          <w:rFonts w:ascii="Calibri" w:eastAsia="MS Mincho" w:hAnsi="Calibri" w:cs="Times New Roman"/>
        </w:rPr>
      </w:pPr>
      <w:r>
        <w:rPr>
          <w:rFonts w:ascii="Calibri" w:eastAsia="MS Mincho" w:hAnsi="Calibri" w:cs="Times New Roman"/>
        </w:rPr>
        <w:t>Any medical practitioner can prescribe PBS ADHD medicines, as long as prescribing is also in accordance with State/territory law. Nurse practitioners can prescribe continuing therapy for all ADHD medicines except atomoxetine</w:t>
      </w:r>
      <w:r w:rsidRPr="00B438DB">
        <w:rPr>
          <w:rFonts w:ascii="Calibri" w:eastAsia="MS Mincho" w:hAnsi="Calibri" w:cs="Times New Roman"/>
        </w:rPr>
        <w:t xml:space="preserve"> </w:t>
      </w:r>
      <w:r>
        <w:rPr>
          <w:rFonts w:ascii="Calibri" w:eastAsia="MS Mincho" w:hAnsi="Calibri" w:cs="Times New Roman"/>
        </w:rPr>
        <w:t xml:space="preserve">providing they also comply with State/territory law. </w:t>
      </w:r>
    </w:p>
    <w:p w14:paraId="0E889208" w14:textId="0F1CF4E7" w:rsidR="00DE583D" w:rsidRDefault="00DE583D" w:rsidP="00DE583D">
      <w:pPr>
        <w:rPr>
          <w:rFonts w:ascii="Calibri" w:eastAsia="MS Mincho" w:hAnsi="Calibri" w:cs="Times New Roman"/>
        </w:rPr>
      </w:pPr>
      <w:r>
        <w:rPr>
          <w:rFonts w:ascii="Calibri" w:eastAsia="MS Mincho" w:hAnsi="Calibri" w:cs="Times New Roman"/>
        </w:rPr>
        <w:t>The PBS restriction for atomoxetine requires that the diagnosis by a paediatrician or psychiatrist according to the DSM-</w:t>
      </w:r>
      <w:r w:rsidR="009520DC">
        <w:rPr>
          <w:rFonts w:ascii="Calibri" w:eastAsia="MS Mincho" w:hAnsi="Calibri" w:cs="Times New Roman"/>
        </w:rPr>
        <w:t>5</w:t>
      </w:r>
      <w:r>
        <w:rPr>
          <w:rFonts w:ascii="Calibri" w:eastAsia="MS Mincho" w:hAnsi="Calibri" w:cs="Times New Roman"/>
        </w:rPr>
        <w:t xml:space="preserve"> criteria.</w:t>
      </w:r>
    </w:p>
    <w:p w14:paraId="2856F7F4" w14:textId="45A1A20E" w:rsidR="00DE583D" w:rsidRDefault="00DE583D" w:rsidP="00DE583D">
      <w:pPr>
        <w:rPr>
          <w:rFonts w:ascii="Calibri" w:eastAsia="MS Mincho" w:hAnsi="Calibri" w:cs="Times New Roman"/>
        </w:rPr>
      </w:pPr>
      <w:r>
        <w:rPr>
          <w:rFonts w:ascii="Calibri" w:eastAsia="MS Mincho" w:hAnsi="Calibri" w:cs="Times New Roman"/>
        </w:rPr>
        <w:t xml:space="preserve">Table </w:t>
      </w:r>
      <w:r w:rsidR="00676D5F">
        <w:rPr>
          <w:rFonts w:ascii="Calibri" w:eastAsia="MS Mincho" w:hAnsi="Calibri" w:cs="Times New Roman"/>
        </w:rPr>
        <w:t>13</w:t>
      </w:r>
      <w:r w:rsidR="00666792">
        <w:rPr>
          <w:rFonts w:ascii="Calibri" w:eastAsia="MS Mincho" w:hAnsi="Calibri" w:cs="Times New Roman"/>
        </w:rPr>
        <w:t xml:space="preserve"> and 14 show</w:t>
      </w:r>
      <w:r>
        <w:rPr>
          <w:rFonts w:ascii="Calibri" w:eastAsia="MS Mincho" w:hAnsi="Calibri" w:cs="Times New Roman"/>
        </w:rPr>
        <w:t xml:space="preserve"> the proportion of first ever prescriptions (new patients), first prescription for a particular medicine, and all prescriptions supplied by medicine and prescriber type in 2014.</w:t>
      </w:r>
    </w:p>
    <w:p w14:paraId="2B730437" w14:textId="7C04E8CF" w:rsidR="00DE583D" w:rsidRPr="0068248A" w:rsidRDefault="00DE583D" w:rsidP="00D60536">
      <w:pPr>
        <w:pStyle w:val="Tabletitle"/>
      </w:pPr>
      <w:r w:rsidRPr="0068248A">
        <w:t xml:space="preserve">Table </w:t>
      </w:r>
      <w:r w:rsidR="00676D5F">
        <w:t>13</w:t>
      </w:r>
      <w:r w:rsidRPr="0068248A">
        <w:t xml:space="preserve">: </w:t>
      </w:r>
      <w:r>
        <w:t>Use of ADHD medicine by prescriber type (%)</w:t>
      </w:r>
      <w:r w:rsidR="00095CF2">
        <w:t xml:space="preserve"> for new patients (first prescription for any ADHD medicine)</w:t>
      </w:r>
    </w:p>
    <w:tbl>
      <w:tblPr>
        <w:tblStyle w:val="TableGrid1"/>
        <w:tblW w:w="8931" w:type="dxa"/>
        <w:tblLayout w:type="fixed"/>
        <w:tblLook w:val="04A0" w:firstRow="1" w:lastRow="0" w:firstColumn="1" w:lastColumn="0" w:noHBand="0" w:noVBand="1"/>
        <w:tblCaption w:val="Table 13 lists the different ADHD medicines in the first columnm"/>
        <w:tblDescription w:val="read across the row for the percentage use by prescriber type"/>
      </w:tblPr>
      <w:tblGrid>
        <w:gridCol w:w="2453"/>
        <w:gridCol w:w="1620"/>
        <w:gridCol w:w="1440"/>
        <w:gridCol w:w="900"/>
        <w:gridCol w:w="1440"/>
        <w:gridCol w:w="1078"/>
      </w:tblGrid>
      <w:tr w:rsidR="00DE583D" w:rsidRPr="00C1646A" w14:paraId="3AE42302" w14:textId="77777777" w:rsidTr="0023488E">
        <w:trPr>
          <w:trHeight w:val="297"/>
          <w:tblHeader/>
        </w:trPr>
        <w:tc>
          <w:tcPr>
            <w:tcW w:w="2453" w:type="dxa"/>
            <w:shd w:val="clear" w:color="auto" w:fill="D9D9D9" w:themeFill="background1" w:themeFillShade="D9"/>
            <w:noWrap/>
            <w:hideMark/>
          </w:tcPr>
          <w:p w14:paraId="76756AC6" w14:textId="23E2C41F" w:rsidR="00DE583D" w:rsidRPr="005F5BA0" w:rsidRDefault="00C1646A" w:rsidP="00C1646A">
            <w:pPr>
              <w:rPr>
                <w:rFonts w:ascii="Calibri" w:eastAsia="Times New Roman" w:hAnsi="Calibri" w:cs="Times New Roman"/>
                <w:b/>
                <w:sz w:val="20"/>
                <w:szCs w:val="20"/>
              </w:rPr>
            </w:pPr>
            <w:r w:rsidRPr="005F5BA0">
              <w:rPr>
                <w:rFonts w:ascii="Calibri" w:eastAsia="Times New Roman" w:hAnsi="Calibri" w:cs="Times New Roman"/>
                <w:b/>
                <w:sz w:val="20"/>
                <w:szCs w:val="20"/>
              </w:rPr>
              <w:t>Prescriber Type</w:t>
            </w:r>
          </w:p>
        </w:tc>
        <w:tc>
          <w:tcPr>
            <w:tcW w:w="1620" w:type="dxa"/>
            <w:shd w:val="clear" w:color="auto" w:fill="D9D9D9" w:themeFill="background1" w:themeFillShade="D9"/>
            <w:noWrap/>
          </w:tcPr>
          <w:p w14:paraId="118E21FF" w14:textId="77777777" w:rsidR="00DE583D" w:rsidRPr="005F5BA0" w:rsidRDefault="00DE583D" w:rsidP="0052799A">
            <w:pPr>
              <w:rPr>
                <w:rFonts w:ascii="Calibri" w:eastAsia="Times New Roman" w:hAnsi="Calibri" w:cs="Times New Roman"/>
                <w:b/>
                <w:sz w:val="20"/>
                <w:szCs w:val="20"/>
              </w:rPr>
            </w:pPr>
            <w:r w:rsidRPr="005F5BA0">
              <w:rPr>
                <w:rFonts w:ascii="Calibri" w:eastAsia="Times New Roman" w:hAnsi="Calibri" w:cs="Times New Roman"/>
                <w:b/>
                <w:sz w:val="20"/>
                <w:szCs w:val="20"/>
              </w:rPr>
              <w:t>Paediatrician</w:t>
            </w:r>
          </w:p>
        </w:tc>
        <w:tc>
          <w:tcPr>
            <w:tcW w:w="1440" w:type="dxa"/>
            <w:shd w:val="clear" w:color="auto" w:fill="D9D9D9" w:themeFill="background1" w:themeFillShade="D9"/>
            <w:noWrap/>
          </w:tcPr>
          <w:p w14:paraId="14BAF50D" w14:textId="77777777" w:rsidR="00DE583D" w:rsidRPr="005F5BA0" w:rsidRDefault="00DE583D" w:rsidP="0052799A">
            <w:pPr>
              <w:rPr>
                <w:rFonts w:ascii="Calibri" w:eastAsia="Times New Roman" w:hAnsi="Calibri" w:cs="Times New Roman"/>
                <w:b/>
                <w:sz w:val="20"/>
                <w:szCs w:val="20"/>
              </w:rPr>
            </w:pPr>
            <w:r w:rsidRPr="005F5BA0">
              <w:rPr>
                <w:rFonts w:ascii="Calibri" w:eastAsia="Times New Roman" w:hAnsi="Calibri" w:cs="Times New Roman"/>
                <w:b/>
                <w:sz w:val="20"/>
                <w:szCs w:val="20"/>
              </w:rPr>
              <w:t>Psychiatrist</w:t>
            </w:r>
          </w:p>
        </w:tc>
        <w:tc>
          <w:tcPr>
            <w:tcW w:w="900" w:type="dxa"/>
            <w:shd w:val="clear" w:color="auto" w:fill="D9D9D9" w:themeFill="background1" w:themeFillShade="D9"/>
            <w:noWrap/>
          </w:tcPr>
          <w:p w14:paraId="6357BD27" w14:textId="77777777" w:rsidR="00DE583D" w:rsidRPr="005F5BA0" w:rsidRDefault="00DE583D" w:rsidP="0052799A">
            <w:pPr>
              <w:rPr>
                <w:rFonts w:ascii="Calibri" w:eastAsia="Times New Roman" w:hAnsi="Calibri" w:cs="Times New Roman"/>
                <w:b/>
                <w:sz w:val="20"/>
                <w:szCs w:val="20"/>
              </w:rPr>
            </w:pPr>
            <w:r w:rsidRPr="005F5BA0">
              <w:rPr>
                <w:rFonts w:ascii="Calibri" w:eastAsia="Times New Roman" w:hAnsi="Calibri" w:cs="Times New Roman"/>
                <w:b/>
                <w:sz w:val="20"/>
                <w:szCs w:val="20"/>
              </w:rPr>
              <w:t>GP</w:t>
            </w:r>
          </w:p>
        </w:tc>
        <w:tc>
          <w:tcPr>
            <w:tcW w:w="1440" w:type="dxa"/>
            <w:shd w:val="clear" w:color="auto" w:fill="D9D9D9" w:themeFill="background1" w:themeFillShade="D9"/>
            <w:noWrap/>
          </w:tcPr>
          <w:p w14:paraId="38005B4F" w14:textId="77777777" w:rsidR="00DE583D" w:rsidRPr="005F5BA0" w:rsidRDefault="00DE583D" w:rsidP="0052799A">
            <w:pPr>
              <w:rPr>
                <w:rFonts w:ascii="Calibri" w:eastAsia="Times New Roman" w:hAnsi="Calibri" w:cs="Times New Roman"/>
                <w:b/>
                <w:sz w:val="20"/>
                <w:szCs w:val="20"/>
              </w:rPr>
            </w:pPr>
            <w:r w:rsidRPr="005F5BA0">
              <w:rPr>
                <w:rFonts w:ascii="Calibri" w:eastAsia="Times New Roman" w:hAnsi="Calibri" w:cs="Times New Roman"/>
                <w:b/>
                <w:sz w:val="20"/>
                <w:szCs w:val="20"/>
              </w:rPr>
              <w:t>Nurse practitioner</w:t>
            </w:r>
          </w:p>
        </w:tc>
        <w:tc>
          <w:tcPr>
            <w:tcW w:w="1078" w:type="dxa"/>
            <w:shd w:val="clear" w:color="auto" w:fill="D9D9D9" w:themeFill="background1" w:themeFillShade="D9"/>
            <w:noWrap/>
          </w:tcPr>
          <w:p w14:paraId="00BBACE3" w14:textId="77777777" w:rsidR="00DE583D" w:rsidRPr="005F5BA0" w:rsidRDefault="00DE583D" w:rsidP="0052799A">
            <w:pPr>
              <w:rPr>
                <w:rFonts w:ascii="Calibri" w:eastAsia="Times New Roman" w:hAnsi="Calibri" w:cs="Times New Roman"/>
                <w:b/>
                <w:sz w:val="20"/>
                <w:szCs w:val="20"/>
              </w:rPr>
            </w:pPr>
            <w:r w:rsidRPr="005F5BA0">
              <w:rPr>
                <w:rFonts w:ascii="Calibri" w:eastAsia="Times New Roman" w:hAnsi="Calibri" w:cs="Times New Roman"/>
                <w:b/>
                <w:sz w:val="20"/>
                <w:szCs w:val="20"/>
              </w:rPr>
              <w:t>Other</w:t>
            </w:r>
          </w:p>
        </w:tc>
      </w:tr>
      <w:tr w:rsidR="00DE583D" w:rsidRPr="005A1475" w14:paraId="7BD19F24" w14:textId="77777777" w:rsidTr="005F5BA0">
        <w:trPr>
          <w:trHeight w:val="297"/>
        </w:trPr>
        <w:tc>
          <w:tcPr>
            <w:tcW w:w="2453" w:type="dxa"/>
            <w:noWrap/>
          </w:tcPr>
          <w:p w14:paraId="793285B1" w14:textId="77777777" w:rsidR="00DE583D" w:rsidRPr="005F5BA0" w:rsidRDefault="00DE583D" w:rsidP="0052799A">
            <w:pPr>
              <w:rPr>
                <w:rFonts w:ascii="Calibri" w:eastAsia="Times New Roman" w:hAnsi="Calibri" w:cs="Times New Roman"/>
                <w:sz w:val="20"/>
                <w:szCs w:val="20"/>
              </w:rPr>
            </w:pPr>
            <w:r w:rsidRPr="005F5BA0">
              <w:rPr>
                <w:rFonts w:ascii="Calibri" w:eastAsia="Times New Roman" w:hAnsi="Calibri" w:cs="Times New Roman"/>
                <w:sz w:val="20"/>
                <w:szCs w:val="20"/>
              </w:rPr>
              <w:t>Dexamphetamine</w:t>
            </w:r>
          </w:p>
        </w:tc>
        <w:tc>
          <w:tcPr>
            <w:tcW w:w="1620" w:type="dxa"/>
            <w:noWrap/>
            <w:vAlign w:val="center"/>
          </w:tcPr>
          <w:p w14:paraId="223FD555"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22%</w:t>
            </w:r>
          </w:p>
        </w:tc>
        <w:tc>
          <w:tcPr>
            <w:tcW w:w="1440" w:type="dxa"/>
            <w:noWrap/>
            <w:vAlign w:val="center"/>
          </w:tcPr>
          <w:p w14:paraId="05E7E54A"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59%</w:t>
            </w:r>
          </w:p>
        </w:tc>
        <w:tc>
          <w:tcPr>
            <w:tcW w:w="900" w:type="dxa"/>
            <w:noWrap/>
            <w:vAlign w:val="center"/>
          </w:tcPr>
          <w:p w14:paraId="2C53FF55"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10%</w:t>
            </w:r>
          </w:p>
        </w:tc>
        <w:tc>
          <w:tcPr>
            <w:tcW w:w="1440" w:type="dxa"/>
            <w:noWrap/>
            <w:vAlign w:val="center"/>
          </w:tcPr>
          <w:p w14:paraId="2D77233E"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0%</w:t>
            </w:r>
          </w:p>
        </w:tc>
        <w:tc>
          <w:tcPr>
            <w:tcW w:w="1078" w:type="dxa"/>
            <w:noWrap/>
            <w:vAlign w:val="center"/>
          </w:tcPr>
          <w:p w14:paraId="4E8FC050"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9%</w:t>
            </w:r>
          </w:p>
        </w:tc>
      </w:tr>
      <w:tr w:rsidR="00DE583D" w:rsidRPr="005A1475" w14:paraId="62EF24E5" w14:textId="77777777" w:rsidTr="005F5BA0">
        <w:trPr>
          <w:trHeight w:val="297"/>
        </w:trPr>
        <w:tc>
          <w:tcPr>
            <w:tcW w:w="2453" w:type="dxa"/>
            <w:noWrap/>
          </w:tcPr>
          <w:p w14:paraId="33D31F5D" w14:textId="77777777" w:rsidR="00DE583D" w:rsidRPr="005F5BA0" w:rsidRDefault="00DE583D" w:rsidP="0052799A">
            <w:pPr>
              <w:rPr>
                <w:rFonts w:ascii="Calibri" w:eastAsia="Times New Roman" w:hAnsi="Calibri" w:cs="Times New Roman"/>
                <w:sz w:val="20"/>
                <w:szCs w:val="20"/>
              </w:rPr>
            </w:pPr>
            <w:r w:rsidRPr="005F5BA0">
              <w:rPr>
                <w:rFonts w:ascii="Calibri" w:eastAsia="Times New Roman" w:hAnsi="Calibri" w:cs="Times New Roman"/>
                <w:sz w:val="20"/>
                <w:szCs w:val="20"/>
              </w:rPr>
              <w:t>Methylphenidate IR</w:t>
            </w:r>
          </w:p>
        </w:tc>
        <w:tc>
          <w:tcPr>
            <w:tcW w:w="1620" w:type="dxa"/>
            <w:noWrap/>
            <w:vAlign w:val="center"/>
          </w:tcPr>
          <w:p w14:paraId="45671338"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69%</w:t>
            </w:r>
          </w:p>
        </w:tc>
        <w:tc>
          <w:tcPr>
            <w:tcW w:w="1440" w:type="dxa"/>
            <w:noWrap/>
            <w:vAlign w:val="center"/>
          </w:tcPr>
          <w:p w14:paraId="1E591C6B"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23%</w:t>
            </w:r>
          </w:p>
        </w:tc>
        <w:tc>
          <w:tcPr>
            <w:tcW w:w="900" w:type="dxa"/>
            <w:noWrap/>
            <w:vAlign w:val="center"/>
          </w:tcPr>
          <w:p w14:paraId="5BA3FCE0"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5%</w:t>
            </w:r>
          </w:p>
        </w:tc>
        <w:tc>
          <w:tcPr>
            <w:tcW w:w="1440" w:type="dxa"/>
            <w:noWrap/>
            <w:vAlign w:val="center"/>
          </w:tcPr>
          <w:p w14:paraId="3D290C92"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0%</w:t>
            </w:r>
          </w:p>
        </w:tc>
        <w:tc>
          <w:tcPr>
            <w:tcW w:w="1078" w:type="dxa"/>
            <w:noWrap/>
            <w:vAlign w:val="center"/>
          </w:tcPr>
          <w:p w14:paraId="6AD405CB"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3%</w:t>
            </w:r>
          </w:p>
        </w:tc>
      </w:tr>
      <w:tr w:rsidR="00DE583D" w:rsidRPr="005A1475" w14:paraId="11375607" w14:textId="77777777" w:rsidTr="005F5BA0">
        <w:trPr>
          <w:trHeight w:val="297"/>
        </w:trPr>
        <w:tc>
          <w:tcPr>
            <w:tcW w:w="2453" w:type="dxa"/>
            <w:noWrap/>
          </w:tcPr>
          <w:p w14:paraId="0B675177" w14:textId="77777777" w:rsidR="00DE583D" w:rsidRPr="005F5BA0" w:rsidRDefault="00DE583D" w:rsidP="0052799A">
            <w:pPr>
              <w:rPr>
                <w:rFonts w:ascii="Calibri" w:eastAsia="Times New Roman" w:hAnsi="Calibri" w:cs="Times New Roman"/>
                <w:sz w:val="20"/>
                <w:szCs w:val="20"/>
              </w:rPr>
            </w:pPr>
            <w:r w:rsidRPr="005F5BA0">
              <w:rPr>
                <w:rFonts w:ascii="Calibri" w:eastAsia="Times New Roman" w:hAnsi="Calibri" w:cs="Times New Roman"/>
                <w:sz w:val="20"/>
                <w:szCs w:val="20"/>
              </w:rPr>
              <w:t>Methylphenidate MR (8 hour coverage)</w:t>
            </w:r>
          </w:p>
        </w:tc>
        <w:tc>
          <w:tcPr>
            <w:tcW w:w="1620" w:type="dxa"/>
            <w:noWrap/>
            <w:vAlign w:val="center"/>
          </w:tcPr>
          <w:p w14:paraId="15AD07C4"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66%</w:t>
            </w:r>
          </w:p>
        </w:tc>
        <w:tc>
          <w:tcPr>
            <w:tcW w:w="1440" w:type="dxa"/>
            <w:noWrap/>
            <w:vAlign w:val="center"/>
          </w:tcPr>
          <w:p w14:paraId="2A0FB343"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19%</w:t>
            </w:r>
          </w:p>
        </w:tc>
        <w:tc>
          <w:tcPr>
            <w:tcW w:w="900" w:type="dxa"/>
            <w:noWrap/>
            <w:vAlign w:val="center"/>
          </w:tcPr>
          <w:p w14:paraId="375CC8A3"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12%</w:t>
            </w:r>
          </w:p>
        </w:tc>
        <w:tc>
          <w:tcPr>
            <w:tcW w:w="1440" w:type="dxa"/>
            <w:noWrap/>
            <w:vAlign w:val="center"/>
          </w:tcPr>
          <w:p w14:paraId="7D89F100"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0%</w:t>
            </w:r>
          </w:p>
        </w:tc>
        <w:tc>
          <w:tcPr>
            <w:tcW w:w="1078" w:type="dxa"/>
            <w:noWrap/>
            <w:vAlign w:val="center"/>
          </w:tcPr>
          <w:p w14:paraId="2FEF7A66"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3%</w:t>
            </w:r>
          </w:p>
        </w:tc>
      </w:tr>
      <w:tr w:rsidR="00DE583D" w:rsidRPr="005A1475" w14:paraId="71461F4E" w14:textId="77777777" w:rsidTr="005F5BA0">
        <w:trPr>
          <w:trHeight w:val="297"/>
        </w:trPr>
        <w:tc>
          <w:tcPr>
            <w:tcW w:w="2453" w:type="dxa"/>
            <w:noWrap/>
          </w:tcPr>
          <w:p w14:paraId="12EBFC26" w14:textId="77777777" w:rsidR="00DE583D" w:rsidRPr="005F5BA0" w:rsidRDefault="00DE583D" w:rsidP="0052799A">
            <w:pPr>
              <w:rPr>
                <w:rFonts w:ascii="Calibri" w:eastAsia="Times New Roman" w:hAnsi="Calibri" w:cs="Times New Roman"/>
                <w:sz w:val="20"/>
                <w:szCs w:val="20"/>
              </w:rPr>
            </w:pPr>
            <w:r w:rsidRPr="005F5BA0">
              <w:rPr>
                <w:rFonts w:ascii="Calibri" w:eastAsia="Times New Roman" w:hAnsi="Calibri" w:cs="Times New Roman"/>
                <w:sz w:val="20"/>
                <w:szCs w:val="20"/>
              </w:rPr>
              <w:t>Methylphenidate MR (12 hour coverage)</w:t>
            </w:r>
          </w:p>
        </w:tc>
        <w:tc>
          <w:tcPr>
            <w:tcW w:w="1620" w:type="dxa"/>
            <w:noWrap/>
            <w:vAlign w:val="center"/>
          </w:tcPr>
          <w:p w14:paraId="0234FABA"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57%</w:t>
            </w:r>
          </w:p>
        </w:tc>
        <w:tc>
          <w:tcPr>
            <w:tcW w:w="1440" w:type="dxa"/>
            <w:noWrap/>
            <w:vAlign w:val="center"/>
          </w:tcPr>
          <w:p w14:paraId="45835888"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27%</w:t>
            </w:r>
          </w:p>
        </w:tc>
        <w:tc>
          <w:tcPr>
            <w:tcW w:w="900" w:type="dxa"/>
            <w:noWrap/>
            <w:vAlign w:val="center"/>
          </w:tcPr>
          <w:p w14:paraId="5AE844A1"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12%</w:t>
            </w:r>
          </w:p>
        </w:tc>
        <w:tc>
          <w:tcPr>
            <w:tcW w:w="1440" w:type="dxa"/>
            <w:noWrap/>
            <w:vAlign w:val="center"/>
          </w:tcPr>
          <w:p w14:paraId="1B9DC28F"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0%</w:t>
            </w:r>
          </w:p>
        </w:tc>
        <w:tc>
          <w:tcPr>
            <w:tcW w:w="1078" w:type="dxa"/>
            <w:noWrap/>
            <w:vAlign w:val="center"/>
          </w:tcPr>
          <w:p w14:paraId="0E3DBB46"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3%</w:t>
            </w:r>
          </w:p>
        </w:tc>
      </w:tr>
      <w:tr w:rsidR="00DE583D" w:rsidRPr="005A1475" w14:paraId="0C0BFC0E" w14:textId="77777777" w:rsidTr="005F5BA0">
        <w:trPr>
          <w:trHeight w:val="297"/>
        </w:trPr>
        <w:tc>
          <w:tcPr>
            <w:tcW w:w="2453" w:type="dxa"/>
            <w:noWrap/>
          </w:tcPr>
          <w:p w14:paraId="2A2BD9FD" w14:textId="77777777" w:rsidR="00DE583D" w:rsidRPr="005F5BA0" w:rsidRDefault="00DE583D" w:rsidP="0052799A">
            <w:pPr>
              <w:rPr>
                <w:rFonts w:ascii="Calibri" w:eastAsia="Times New Roman" w:hAnsi="Calibri" w:cs="Times New Roman"/>
                <w:sz w:val="20"/>
                <w:szCs w:val="20"/>
              </w:rPr>
            </w:pPr>
            <w:r w:rsidRPr="005F5BA0">
              <w:rPr>
                <w:rFonts w:ascii="Calibri" w:eastAsia="Times New Roman" w:hAnsi="Calibri" w:cs="Times New Roman"/>
                <w:sz w:val="20"/>
                <w:szCs w:val="20"/>
              </w:rPr>
              <w:t>Atomoxetine</w:t>
            </w:r>
          </w:p>
        </w:tc>
        <w:tc>
          <w:tcPr>
            <w:tcW w:w="1620" w:type="dxa"/>
            <w:noWrap/>
            <w:vAlign w:val="center"/>
          </w:tcPr>
          <w:p w14:paraId="6F5692E7"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45%</w:t>
            </w:r>
          </w:p>
        </w:tc>
        <w:tc>
          <w:tcPr>
            <w:tcW w:w="1440" w:type="dxa"/>
            <w:noWrap/>
            <w:vAlign w:val="center"/>
          </w:tcPr>
          <w:p w14:paraId="674E9982"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38%</w:t>
            </w:r>
          </w:p>
        </w:tc>
        <w:tc>
          <w:tcPr>
            <w:tcW w:w="900" w:type="dxa"/>
            <w:noWrap/>
            <w:vAlign w:val="center"/>
          </w:tcPr>
          <w:p w14:paraId="4D63F827"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12%</w:t>
            </w:r>
          </w:p>
        </w:tc>
        <w:tc>
          <w:tcPr>
            <w:tcW w:w="1440" w:type="dxa"/>
            <w:noWrap/>
            <w:vAlign w:val="center"/>
          </w:tcPr>
          <w:p w14:paraId="0F33C78A"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0%</w:t>
            </w:r>
          </w:p>
        </w:tc>
        <w:tc>
          <w:tcPr>
            <w:tcW w:w="1078" w:type="dxa"/>
            <w:noWrap/>
            <w:vAlign w:val="center"/>
          </w:tcPr>
          <w:p w14:paraId="507AA4AA" w14:textId="77777777" w:rsidR="00DE583D" w:rsidRPr="005F5BA0" w:rsidRDefault="00DE583D" w:rsidP="005F5BA0">
            <w:pPr>
              <w:jc w:val="center"/>
              <w:rPr>
                <w:rFonts w:ascii="Calibri" w:eastAsia="Times New Roman" w:hAnsi="Calibri" w:cs="Times New Roman"/>
                <w:sz w:val="20"/>
                <w:szCs w:val="20"/>
              </w:rPr>
            </w:pPr>
            <w:r w:rsidRPr="005F5BA0">
              <w:rPr>
                <w:sz w:val="20"/>
                <w:szCs w:val="20"/>
              </w:rPr>
              <w:t>4%</w:t>
            </w:r>
          </w:p>
        </w:tc>
      </w:tr>
    </w:tbl>
    <w:p w14:paraId="7A88A2E8" w14:textId="77777777" w:rsidR="00676D5F" w:rsidRPr="000C5825" w:rsidRDefault="00676D5F" w:rsidP="00676D5F">
      <w:pPr>
        <w:rPr>
          <w:sz w:val="20"/>
        </w:rPr>
      </w:pPr>
      <w:r w:rsidRPr="000C5825">
        <w:rPr>
          <w:sz w:val="20"/>
        </w:rPr>
        <w:t>Source: Medicare pharmacy claims database, extracted May 2015</w:t>
      </w:r>
    </w:p>
    <w:p w14:paraId="043C5AC4" w14:textId="3E9FC804" w:rsidR="00676D5F" w:rsidRPr="0068248A" w:rsidRDefault="00676D5F" w:rsidP="00676D5F">
      <w:pPr>
        <w:pStyle w:val="Tabletitle"/>
      </w:pPr>
      <w:r w:rsidRPr="0068248A">
        <w:t xml:space="preserve">Table </w:t>
      </w:r>
      <w:r>
        <w:t>14</w:t>
      </w:r>
      <w:r w:rsidRPr="0068248A">
        <w:t xml:space="preserve">: </w:t>
      </w:r>
      <w:r>
        <w:t>Use of ADHD medicine by prescriber type (%)</w:t>
      </w:r>
    </w:p>
    <w:tbl>
      <w:tblPr>
        <w:tblStyle w:val="TableGrid1"/>
        <w:tblW w:w="8931" w:type="dxa"/>
        <w:tblLayout w:type="fixed"/>
        <w:tblLook w:val="04A0" w:firstRow="1" w:lastRow="0" w:firstColumn="1" w:lastColumn="0" w:noHBand="0" w:noVBand="1"/>
        <w:tblCaption w:val="Table 14 lists the different ADHD medicines in the first columnm"/>
        <w:tblDescription w:val="read across the row for the percentage use by prescriber type"/>
      </w:tblPr>
      <w:tblGrid>
        <w:gridCol w:w="2453"/>
        <w:gridCol w:w="1620"/>
        <w:gridCol w:w="1440"/>
        <w:gridCol w:w="900"/>
        <w:gridCol w:w="1440"/>
        <w:gridCol w:w="1078"/>
      </w:tblGrid>
      <w:tr w:rsidR="00095CF2" w:rsidRPr="00C1646A" w14:paraId="4236375E" w14:textId="77777777" w:rsidTr="0023488E">
        <w:trPr>
          <w:trHeight w:val="297"/>
          <w:tblHeader/>
        </w:trPr>
        <w:tc>
          <w:tcPr>
            <w:tcW w:w="2453" w:type="dxa"/>
            <w:shd w:val="clear" w:color="auto" w:fill="D9D9D9" w:themeFill="background1" w:themeFillShade="D9"/>
            <w:noWrap/>
            <w:hideMark/>
          </w:tcPr>
          <w:p w14:paraId="71958EA7" w14:textId="5B6D907B" w:rsidR="00095CF2" w:rsidRPr="00A608F5" w:rsidRDefault="00C1646A" w:rsidP="0034436B">
            <w:pPr>
              <w:rPr>
                <w:rFonts w:ascii="Calibri" w:eastAsia="Times New Roman" w:hAnsi="Calibri" w:cs="Times New Roman"/>
                <w:b/>
                <w:sz w:val="20"/>
                <w:szCs w:val="20"/>
              </w:rPr>
            </w:pPr>
            <w:r w:rsidRPr="00A608F5">
              <w:rPr>
                <w:rFonts w:ascii="Calibri" w:eastAsia="Times New Roman" w:hAnsi="Calibri" w:cs="Times New Roman"/>
                <w:b/>
                <w:sz w:val="20"/>
                <w:szCs w:val="20"/>
              </w:rPr>
              <w:t>Prescriber Type</w:t>
            </w:r>
          </w:p>
        </w:tc>
        <w:tc>
          <w:tcPr>
            <w:tcW w:w="1620" w:type="dxa"/>
            <w:shd w:val="clear" w:color="auto" w:fill="D9D9D9" w:themeFill="background1" w:themeFillShade="D9"/>
            <w:noWrap/>
          </w:tcPr>
          <w:p w14:paraId="118E7F80" w14:textId="77777777" w:rsidR="00095CF2" w:rsidRPr="00A608F5" w:rsidRDefault="00095CF2" w:rsidP="0034436B">
            <w:pPr>
              <w:rPr>
                <w:rFonts w:ascii="Calibri" w:eastAsia="Times New Roman" w:hAnsi="Calibri" w:cs="Times New Roman"/>
                <w:b/>
                <w:sz w:val="20"/>
                <w:szCs w:val="20"/>
              </w:rPr>
            </w:pPr>
            <w:r w:rsidRPr="00A608F5">
              <w:rPr>
                <w:rFonts w:ascii="Calibri" w:eastAsia="Times New Roman" w:hAnsi="Calibri" w:cs="Times New Roman"/>
                <w:b/>
                <w:sz w:val="20"/>
                <w:szCs w:val="20"/>
              </w:rPr>
              <w:t>Paediatrician</w:t>
            </w:r>
          </w:p>
        </w:tc>
        <w:tc>
          <w:tcPr>
            <w:tcW w:w="1440" w:type="dxa"/>
            <w:shd w:val="clear" w:color="auto" w:fill="D9D9D9" w:themeFill="background1" w:themeFillShade="D9"/>
            <w:noWrap/>
          </w:tcPr>
          <w:p w14:paraId="22BE1B75" w14:textId="77777777" w:rsidR="00095CF2" w:rsidRPr="00A608F5" w:rsidRDefault="00095CF2" w:rsidP="0034436B">
            <w:pPr>
              <w:rPr>
                <w:rFonts w:ascii="Calibri" w:eastAsia="Times New Roman" w:hAnsi="Calibri" w:cs="Times New Roman"/>
                <w:b/>
                <w:sz w:val="20"/>
                <w:szCs w:val="20"/>
              </w:rPr>
            </w:pPr>
            <w:r w:rsidRPr="00A608F5">
              <w:rPr>
                <w:rFonts w:ascii="Calibri" w:eastAsia="Times New Roman" w:hAnsi="Calibri" w:cs="Times New Roman"/>
                <w:b/>
                <w:sz w:val="20"/>
                <w:szCs w:val="20"/>
              </w:rPr>
              <w:t>Psychiatrist</w:t>
            </w:r>
          </w:p>
        </w:tc>
        <w:tc>
          <w:tcPr>
            <w:tcW w:w="900" w:type="dxa"/>
            <w:shd w:val="clear" w:color="auto" w:fill="D9D9D9" w:themeFill="background1" w:themeFillShade="D9"/>
            <w:noWrap/>
          </w:tcPr>
          <w:p w14:paraId="723015B1" w14:textId="77777777" w:rsidR="00095CF2" w:rsidRPr="00A608F5" w:rsidRDefault="00095CF2" w:rsidP="0034436B">
            <w:pPr>
              <w:rPr>
                <w:rFonts w:ascii="Calibri" w:eastAsia="Times New Roman" w:hAnsi="Calibri" w:cs="Times New Roman"/>
                <w:b/>
                <w:sz w:val="20"/>
                <w:szCs w:val="20"/>
              </w:rPr>
            </w:pPr>
            <w:r w:rsidRPr="00A608F5">
              <w:rPr>
                <w:rFonts w:ascii="Calibri" w:eastAsia="Times New Roman" w:hAnsi="Calibri" w:cs="Times New Roman"/>
                <w:b/>
                <w:sz w:val="20"/>
                <w:szCs w:val="20"/>
              </w:rPr>
              <w:t>GP</w:t>
            </w:r>
          </w:p>
        </w:tc>
        <w:tc>
          <w:tcPr>
            <w:tcW w:w="1440" w:type="dxa"/>
            <w:shd w:val="clear" w:color="auto" w:fill="D9D9D9" w:themeFill="background1" w:themeFillShade="D9"/>
            <w:noWrap/>
          </w:tcPr>
          <w:p w14:paraId="39BD1E5D" w14:textId="77777777" w:rsidR="00095CF2" w:rsidRPr="00A608F5" w:rsidRDefault="00095CF2" w:rsidP="0034436B">
            <w:pPr>
              <w:rPr>
                <w:rFonts w:ascii="Calibri" w:eastAsia="Times New Roman" w:hAnsi="Calibri" w:cs="Times New Roman"/>
                <w:b/>
                <w:sz w:val="20"/>
                <w:szCs w:val="20"/>
              </w:rPr>
            </w:pPr>
            <w:r w:rsidRPr="00A608F5">
              <w:rPr>
                <w:rFonts w:ascii="Calibri" w:eastAsia="Times New Roman" w:hAnsi="Calibri" w:cs="Times New Roman"/>
                <w:b/>
                <w:sz w:val="20"/>
                <w:szCs w:val="20"/>
              </w:rPr>
              <w:t>Nurse practitioner</w:t>
            </w:r>
          </w:p>
        </w:tc>
        <w:tc>
          <w:tcPr>
            <w:tcW w:w="1078" w:type="dxa"/>
            <w:shd w:val="clear" w:color="auto" w:fill="D9D9D9" w:themeFill="background1" w:themeFillShade="D9"/>
            <w:noWrap/>
          </w:tcPr>
          <w:p w14:paraId="2742A164" w14:textId="77777777" w:rsidR="00095CF2" w:rsidRPr="00A608F5" w:rsidRDefault="00095CF2" w:rsidP="0034436B">
            <w:pPr>
              <w:rPr>
                <w:rFonts w:ascii="Calibri" w:eastAsia="Times New Roman" w:hAnsi="Calibri" w:cs="Times New Roman"/>
                <w:b/>
                <w:sz w:val="20"/>
                <w:szCs w:val="20"/>
              </w:rPr>
            </w:pPr>
            <w:r w:rsidRPr="00A608F5">
              <w:rPr>
                <w:rFonts w:ascii="Calibri" w:eastAsia="Times New Roman" w:hAnsi="Calibri" w:cs="Times New Roman"/>
                <w:b/>
                <w:sz w:val="20"/>
                <w:szCs w:val="20"/>
              </w:rPr>
              <w:t>Other</w:t>
            </w:r>
          </w:p>
        </w:tc>
      </w:tr>
      <w:tr w:rsidR="00676D5F" w:rsidRPr="005A1475" w14:paraId="60CBAFF2" w14:textId="77777777" w:rsidTr="00D32F02">
        <w:trPr>
          <w:trHeight w:val="297"/>
        </w:trPr>
        <w:tc>
          <w:tcPr>
            <w:tcW w:w="2453" w:type="dxa"/>
            <w:noWrap/>
          </w:tcPr>
          <w:p w14:paraId="0582965D" w14:textId="77777777" w:rsidR="00676D5F" w:rsidRPr="00A608F5" w:rsidRDefault="00676D5F" w:rsidP="0034436B">
            <w:pPr>
              <w:rPr>
                <w:rFonts w:ascii="Calibri" w:eastAsia="Times New Roman" w:hAnsi="Calibri" w:cs="Times New Roman"/>
                <w:sz w:val="20"/>
                <w:szCs w:val="20"/>
              </w:rPr>
            </w:pPr>
            <w:r w:rsidRPr="00A608F5">
              <w:rPr>
                <w:rFonts w:ascii="Calibri" w:eastAsia="Times New Roman" w:hAnsi="Calibri" w:cs="Times New Roman"/>
                <w:sz w:val="20"/>
                <w:szCs w:val="20"/>
              </w:rPr>
              <w:t>Dexamphetamine</w:t>
            </w:r>
          </w:p>
        </w:tc>
        <w:tc>
          <w:tcPr>
            <w:tcW w:w="1620" w:type="dxa"/>
            <w:noWrap/>
            <w:vAlign w:val="center"/>
          </w:tcPr>
          <w:p w14:paraId="7DCF1F16" w14:textId="77777777" w:rsidR="00676D5F" w:rsidRPr="00A608F5" w:rsidRDefault="00676D5F" w:rsidP="00D32F02">
            <w:pPr>
              <w:jc w:val="center"/>
              <w:rPr>
                <w:sz w:val="20"/>
                <w:szCs w:val="20"/>
              </w:rPr>
            </w:pPr>
            <w:r w:rsidRPr="00A608F5">
              <w:rPr>
                <w:sz w:val="20"/>
                <w:szCs w:val="20"/>
              </w:rPr>
              <w:t>19%</w:t>
            </w:r>
          </w:p>
        </w:tc>
        <w:tc>
          <w:tcPr>
            <w:tcW w:w="1440" w:type="dxa"/>
            <w:noWrap/>
            <w:vAlign w:val="center"/>
          </w:tcPr>
          <w:p w14:paraId="0DE87CC4" w14:textId="77777777" w:rsidR="00676D5F" w:rsidRPr="00A608F5" w:rsidRDefault="00676D5F" w:rsidP="00D32F02">
            <w:pPr>
              <w:jc w:val="center"/>
              <w:rPr>
                <w:sz w:val="20"/>
                <w:szCs w:val="20"/>
              </w:rPr>
            </w:pPr>
            <w:r w:rsidRPr="00A608F5">
              <w:rPr>
                <w:sz w:val="20"/>
                <w:szCs w:val="20"/>
              </w:rPr>
              <w:t>49%</w:t>
            </w:r>
          </w:p>
        </w:tc>
        <w:tc>
          <w:tcPr>
            <w:tcW w:w="900" w:type="dxa"/>
            <w:noWrap/>
            <w:vAlign w:val="center"/>
          </w:tcPr>
          <w:p w14:paraId="2B0722BA" w14:textId="77777777" w:rsidR="00676D5F" w:rsidRPr="00A608F5" w:rsidRDefault="00676D5F" w:rsidP="00D32F02">
            <w:pPr>
              <w:jc w:val="center"/>
              <w:rPr>
                <w:sz w:val="20"/>
                <w:szCs w:val="20"/>
              </w:rPr>
            </w:pPr>
            <w:r w:rsidRPr="00A608F5">
              <w:rPr>
                <w:sz w:val="20"/>
                <w:szCs w:val="20"/>
              </w:rPr>
              <w:t>25%</w:t>
            </w:r>
          </w:p>
        </w:tc>
        <w:tc>
          <w:tcPr>
            <w:tcW w:w="1440" w:type="dxa"/>
            <w:noWrap/>
            <w:vAlign w:val="center"/>
          </w:tcPr>
          <w:p w14:paraId="4BCC03E6" w14:textId="77777777" w:rsidR="00676D5F" w:rsidRPr="00A608F5" w:rsidRDefault="00676D5F" w:rsidP="00D32F02">
            <w:pPr>
              <w:jc w:val="center"/>
              <w:rPr>
                <w:sz w:val="20"/>
                <w:szCs w:val="20"/>
              </w:rPr>
            </w:pPr>
            <w:r w:rsidRPr="00A608F5">
              <w:rPr>
                <w:sz w:val="20"/>
                <w:szCs w:val="20"/>
              </w:rPr>
              <w:t>0%</w:t>
            </w:r>
          </w:p>
        </w:tc>
        <w:tc>
          <w:tcPr>
            <w:tcW w:w="1078" w:type="dxa"/>
            <w:noWrap/>
            <w:vAlign w:val="center"/>
          </w:tcPr>
          <w:p w14:paraId="6CBE6F96" w14:textId="77777777" w:rsidR="00676D5F" w:rsidRPr="00A608F5" w:rsidRDefault="00676D5F" w:rsidP="00D32F02">
            <w:pPr>
              <w:jc w:val="center"/>
              <w:rPr>
                <w:sz w:val="20"/>
                <w:szCs w:val="20"/>
              </w:rPr>
            </w:pPr>
            <w:r w:rsidRPr="00A608F5">
              <w:rPr>
                <w:sz w:val="20"/>
                <w:szCs w:val="20"/>
              </w:rPr>
              <w:t>7%</w:t>
            </w:r>
          </w:p>
        </w:tc>
      </w:tr>
      <w:tr w:rsidR="00676D5F" w:rsidRPr="005A1475" w14:paraId="1B6EBF90" w14:textId="77777777" w:rsidTr="00D32F02">
        <w:trPr>
          <w:trHeight w:val="297"/>
        </w:trPr>
        <w:tc>
          <w:tcPr>
            <w:tcW w:w="2453" w:type="dxa"/>
            <w:noWrap/>
          </w:tcPr>
          <w:p w14:paraId="0129CAAF" w14:textId="77777777" w:rsidR="00676D5F" w:rsidRPr="00A608F5" w:rsidRDefault="00676D5F" w:rsidP="0034436B">
            <w:pPr>
              <w:rPr>
                <w:rFonts w:ascii="Calibri" w:eastAsia="Times New Roman" w:hAnsi="Calibri" w:cs="Times New Roman"/>
                <w:sz w:val="20"/>
                <w:szCs w:val="20"/>
              </w:rPr>
            </w:pPr>
            <w:r w:rsidRPr="00A608F5">
              <w:rPr>
                <w:rFonts w:ascii="Calibri" w:eastAsia="Times New Roman" w:hAnsi="Calibri" w:cs="Times New Roman"/>
                <w:sz w:val="20"/>
                <w:szCs w:val="20"/>
              </w:rPr>
              <w:t>Methylphenidate IR</w:t>
            </w:r>
          </w:p>
        </w:tc>
        <w:tc>
          <w:tcPr>
            <w:tcW w:w="1620" w:type="dxa"/>
            <w:noWrap/>
            <w:vAlign w:val="center"/>
          </w:tcPr>
          <w:p w14:paraId="3B51410A" w14:textId="77777777" w:rsidR="00676D5F" w:rsidRPr="00A608F5" w:rsidRDefault="00676D5F" w:rsidP="00D32F02">
            <w:pPr>
              <w:jc w:val="center"/>
              <w:rPr>
                <w:sz w:val="20"/>
                <w:szCs w:val="20"/>
              </w:rPr>
            </w:pPr>
            <w:r w:rsidRPr="00A608F5">
              <w:rPr>
                <w:sz w:val="20"/>
                <w:szCs w:val="20"/>
              </w:rPr>
              <w:t>60%</w:t>
            </w:r>
          </w:p>
        </w:tc>
        <w:tc>
          <w:tcPr>
            <w:tcW w:w="1440" w:type="dxa"/>
            <w:noWrap/>
            <w:vAlign w:val="center"/>
          </w:tcPr>
          <w:p w14:paraId="3738EF95" w14:textId="77777777" w:rsidR="00676D5F" w:rsidRPr="00A608F5" w:rsidRDefault="00676D5F" w:rsidP="00D32F02">
            <w:pPr>
              <w:jc w:val="center"/>
              <w:rPr>
                <w:sz w:val="20"/>
                <w:szCs w:val="20"/>
              </w:rPr>
            </w:pPr>
            <w:r w:rsidRPr="00A608F5">
              <w:rPr>
                <w:sz w:val="20"/>
                <w:szCs w:val="20"/>
              </w:rPr>
              <w:t>21%</w:t>
            </w:r>
          </w:p>
        </w:tc>
        <w:tc>
          <w:tcPr>
            <w:tcW w:w="900" w:type="dxa"/>
            <w:noWrap/>
            <w:vAlign w:val="center"/>
          </w:tcPr>
          <w:p w14:paraId="1E4BE8FE" w14:textId="77777777" w:rsidR="00676D5F" w:rsidRPr="00A608F5" w:rsidRDefault="00676D5F" w:rsidP="00D32F02">
            <w:pPr>
              <w:jc w:val="center"/>
              <w:rPr>
                <w:sz w:val="20"/>
                <w:szCs w:val="20"/>
              </w:rPr>
            </w:pPr>
            <w:r w:rsidRPr="00A608F5">
              <w:rPr>
                <w:sz w:val="20"/>
                <w:szCs w:val="20"/>
              </w:rPr>
              <w:t>15%</w:t>
            </w:r>
          </w:p>
        </w:tc>
        <w:tc>
          <w:tcPr>
            <w:tcW w:w="1440" w:type="dxa"/>
            <w:noWrap/>
            <w:vAlign w:val="center"/>
          </w:tcPr>
          <w:p w14:paraId="61362526" w14:textId="77777777" w:rsidR="00676D5F" w:rsidRPr="00A608F5" w:rsidRDefault="00676D5F" w:rsidP="00D32F02">
            <w:pPr>
              <w:jc w:val="center"/>
              <w:rPr>
                <w:sz w:val="20"/>
                <w:szCs w:val="20"/>
              </w:rPr>
            </w:pPr>
            <w:r w:rsidRPr="00A608F5">
              <w:rPr>
                <w:sz w:val="20"/>
                <w:szCs w:val="20"/>
              </w:rPr>
              <w:t>0%</w:t>
            </w:r>
          </w:p>
        </w:tc>
        <w:tc>
          <w:tcPr>
            <w:tcW w:w="1078" w:type="dxa"/>
            <w:noWrap/>
            <w:vAlign w:val="center"/>
          </w:tcPr>
          <w:p w14:paraId="753C0A94" w14:textId="77777777" w:rsidR="00676D5F" w:rsidRPr="00A608F5" w:rsidRDefault="00676D5F" w:rsidP="00D32F02">
            <w:pPr>
              <w:jc w:val="center"/>
              <w:rPr>
                <w:sz w:val="20"/>
                <w:szCs w:val="20"/>
              </w:rPr>
            </w:pPr>
            <w:r w:rsidRPr="00A608F5">
              <w:rPr>
                <w:sz w:val="20"/>
                <w:szCs w:val="20"/>
              </w:rPr>
              <w:t>3%</w:t>
            </w:r>
          </w:p>
        </w:tc>
      </w:tr>
      <w:tr w:rsidR="00676D5F" w:rsidRPr="005A1475" w14:paraId="3E5004D7" w14:textId="77777777" w:rsidTr="00D32F02">
        <w:trPr>
          <w:trHeight w:val="297"/>
        </w:trPr>
        <w:tc>
          <w:tcPr>
            <w:tcW w:w="2453" w:type="dxa"/>
            <w:noWrap/>
          </w:tcPr>
          <w:p w14:paraId="02B7AB18" w14:textId="77777777" w:rsidR="00676D5F" w:rsidRPr="00A608F5" w:rsidRDefault="00676D5F" w:rsidP="0034436B">
            <w:pPr>
              <w:rPr>
                <w:rFonts w:ascii="Calibri" w:eastAsia="Times New Roman" w:hAnsi="Calibri" w:cs="Times New Roman"/>
                <w:sz w:val="20"/>
                <w:szCs w:val="20"/>
              </w:rPr>
            </w:pPr>
            <w:r w:rsidRPr="00A608F5">
              <w:rPr>
                <w:rFonts w:ascii="Calibri" w:eastAsia="Times New Roman" w:hAnsi="Calibri" w:cs="Times New Roman"/>
                <w:sz w:val="20"/>
                <w:szCs w:val="20"/>
              </w:rPr>
              <w:t>Methylphenidate MR (8 hour coverage)</w:t>
            </w:r>
          </w:p>
        </w:tc>
        <w:tc>
          <w:tcPr>
            <w:tcW w:w="1620" w:type="dxa"/>
            <w:noWrap/>
            <w:vAlign w:val="center"/>
          </w:tcPr>
          <w:p w14:paraId="5B2B5889" w14:textId="77777777" w:rsidR="00676D5F" w:rsidRPr="00A608F5" w:rsidRDefault="00676D5F" w:rsidP="00D32F02">
            <w:pPr>
              <w:jc w:val="center"/>
              <w:rPr>
                <w:sz w:val="20"/>
                <w:szCs w:val="20"/>
              </w:rPr>
            </w:pPr>
            <w:r w:rsidRPr="00A608F5">
              <w:rPr>
                <w:sz w:val="20"/>
                <w:szCs w:val="20"/>
              </w:rPr>
              <w:t>70%</w:t>
            </w:r>
          </w:p>
        </w:tc>
        <w:tc>
          <w:tcPr>
            <w:tcW w:w="1440" w:type="dxa"/>
            <w:noWrap/>
            <w:vAlign w:val="center"/>
          </w:tcPr>
          <w:p w14:paraId="28F06F0B" w14:textId="77777777" w:rsidR="00676D5F" w:rsidRPr="00A608F5" w:rsidRDefault="00676D5F" w:rsidP="00D32F02">
            <w:pPr>
              <w:jc w:val="center"/>
              <w:rPr>
                <w:sz w:val="20"/>
                <w:szCs w:val="20"/>
              </w:rPr>
            </w:pPr>
            <w:r w:rsidRPr="00A608F5">
              <w:rPr>
                <w:sz w:val="20"/>
                <w:szCs w:val="20"/>
              </w:rPr>
              <w:t>11%</w:t>
            </w:r>
          </w:p>
        </w:tc>
        <w:tc>
          <w:tcPr>
            <w:tcW w:w="900" w:type="dxa"/>
            <w:noWrap/>
            <w:vAlign w:val="center"/>
          </w:tcPr>
          <w:p w14:paraId="2AE0B95C" w14:textId="77777777" w:rsidR="00676D5F" w:rsidRPr="00A608F5" w:rsidRDefault="00676D5F" w:rsidP="00D32F02">
            <w:pPr>
              <w:jc w:val="center"/>
              <w:rPr>
                <w:sz w:val="20"/>
                <w:szCs w:val="20"/>
              </w:rPr>
            </w:pPr>
            <w:r w:rsidRPr="00A608F5">
              <w:rPr>
                <w:sz w:val="20"/>
                <w:szCs w:val="20"/>
              </w:rPr>
              <w:t>16%</w:t>
            </w:r>
          </w:p>
        </w:tc>
        <w:tc>
          <w:tcPr>
            <w:tcW w:w="1440" w:type="dxa"/>
            <w:noWrap/>
            <w:vAlign w:val="center"/>
          </w:tcPr>
          <w:p w14:paraId="0A33D963" w14:textId="77777777" w:rsidR="00676D5F" w:rsidRPr="00A608F5" w:rsidRDefault="00676D5F" w:rsidP="00D32F02">
            <w:pPr>
              <w:jc w:val="center"/>
              <w:rPr>
                <w:sz w:val="20"/>
                <w:szCs w:val="20"/>
              </w:rPr>
            </w:pPr>
            <w:r w:rsidRPr="00A608F5">
              <w:rPr>
                <w:sz w:val="20"/>
                <w:szCs w:val="20"/>
              </w:rPr>
              <w:t>0%</w:t>
            </w:r>
          </w:p>
        </w:tc>
        <w:tc>
          <w:tcPr>
            <w:tcW w:w="1078" w:type="dxa"/>
            <w:noWrap/>
            <w:vAlign w:val="center"/>
          </w:tcPr>
          <w:p w14:paraId="02277213" w14:textId="77777777" w:rsidR="00676D5F" w:rsidRPr="00A608F5" w:rsidRDefault="00676D5F" w:rsidP="00D32F02">
            <w:pPr>
              <w:jc w:val="center"/>
              <w:rPr>
                <w:sz w:val="20"/>
                <w:szCs w:val="20"/>
              </w:rPr>
            </w:pPr>
            <w:r w:rsidRPr="00A608F5">
              <w:rPr>
                <w:sz w:val="20"/>
                <w:szCs w:val="20"/>
              </w:rPr>
              <w:t>3%</w:t>
            </w:r>
          </w:p>
        </w:tc>
      </w:tr>
      <w:tr w:rsidR="00676D5F" w:rsidRPr="005A1475" w14:paraId="467AECCD" w14:textId="77777777" w:rsidTr="00D32F02">
        <w:trPr>
          <w:trHeight w:val="297"/>
        </w:trPr>
        <w:tc>
          <w:tcPr>
            <w:tcW w:w="2453" w:type="dxa"/>
            <w:noWrap/>
          </w:tcPr>
          <w:p w14:paraId="1ED67FF4" w14:textId="77777777" w:rsidR="00676D5F" w:rsidRPr="00A608F5" w:rsidRDefault="00676D5F" w:rsidP="0034436B">
            <w:pPr>
              <w:rPr>
                <w:rFonts w:ascii="Calibri" w:eastAsia="Times New Roman" w:hAnsi="Calibri" w:cs="Times New Roman"/>
                <w:sz w:val="20"/>
                <w:szCs w:val="20"/>
              </w:rPr>
            </w:pPr>
            <w:r w:rsidRPr="00A608F5">
              <w:rPr>
                <w:rFonts w:ascii="Calibri" w:eastAsia="Times New Roman" w:hAnsi="Calibri" w:cs="Times New Roman"/>
                <w:sz w:val="20"/>
                <w:szCs w:val="20"/>
              </w:rPr>
              <w:t>Methylphenidate MR (12 hour coverage)</w:t>
            </w:r>
          </w:p>
        </w:tc>
        <w:tc>
          <w:tcPr>
            <w:tcW w:w="1620" w:type="dxa"/>
            <w:noWrap/>
            <w:vAlign w:val="center"/>
          </w:tcPr>
          <w:p w14:paraId="25F787F0" w14:textId="77777777" w:rsidR="00676D5F" w:rsidRPr="00A608F5" w:rsidRDefault="00676D5F" w:rsidP="00D32F02">
            <w:pPr>
              <w:jc w:val="center"/>
              <w:rPr>
                <w:sz w:val="20"/>
                <w:szCs w:val="20"/>
              </w:rPr>
            </w:pPr>
            <w:r w:rsidRPr="00A608F5">
              <w:rPr>
                <w:sz w:val="20"/>
                <w:szCs w:val="20"/>
              </w:rPr>
              <w:t>65%</w:t>
            </w:r>
          </w:p>
        </w:tc>
        <w:tc>
          <w:tcPr>
            <w:tcW w:w="1440" w:type="dxa"/>
            <w:noWrap/>
            <w:vAlign w:val="center"/>
          </w:tcPr>
          <w:p w14:paraId="2426C2ED" w14:textId="77777777" w:rsidR="00676D5F" w:rsidRPr="00A608F5" w:rsidRDefault="00676D5F" w:rsidP="00D32F02">
            <w:pPr>
              <w:jc w:val="center"/>
              <w:rPr>
                <w:sz w:val="20"/>
                <w:szCs w:val="20"/>
              </w:rPr>
            </w:pPr>
            <w:r w:rsidRPr="00A608F5">
              <w:rPr>
                <w:sz w:val="20"/>
                <w:szCs w:val="20"/>
              </w:rPr>
              <w:t>13%</w:t>
            </w:r>
          </w:p>
        </w:tc>
        <w:tc>
          <w:tcPr>
            <w:tcW w:w="900" w:type="dxa"/>
            <w:noWrap/>
            <w:vAlign w:val="center"/>
          </w:tcPr>
          <w:p w14:paraId="7E10D589" w14:textId="77777777" w:rsidR="00676D5F" w:rsidRPr="00A608F5" w:rsidRDefault="00676D5F" w:rsidP="00D32F02">
            <w:pPr>
              <w:jc w:val="center"/>
              <w:rPr>
                <w:sz w:val="20"/>
                <w:szCs w:val="20"/>
              </w:rPr>
            </w:pPr>
            <w:r w:rsidRPr="00A608F5">
              <w:rPr>
                <w:sz w:val="20"/>
                <w:szCs w:val="20"/>
              </w:rPr>
              <w:t>18%</w:t>
            </w:r>
          </w:p>
        </w:tc>
        <w:tc>
          <w:tcPr>
            <w:tcW w:w="1440" w:type="dxa"/>
            <w:noWrap/>
            <w:vAlign w:val="center"/>
          </w:tcPr>
          <w:p w14:paraId="66DCE7FF" w14:textId="77777777" w:rsidR="00676D5F" w:rsidRPr="00A608F5" w:rsidRDefault="00676D5F" w:rsidP="00D32F02">
            <w:pPr>
              <w:jc w:val="center"/>
              <w:rPr>
                <w:sz w:val="20"/>
                <w:szCs w:val="20"/>
              </w:rPr>
            </w:pPr>
            <w:r w:rsidRPr="00A608F5">
              <w:rPr>
                <w:sz w:val="20"/>
                <w:szCs w:val="20"/>
              </w:rPr>
              <w:t>0%</w:t>
            </w:r>
          </w:p>
        </w:tc>
        <w:tc>
          <w:tcPr>
            <w:tcW w:w="1078" w:type="dxa"/>
            <w:noWrap/>
            <w:vAlign w:val="center"/>
          </w:tcPr>
          <w:p w14:paraId="43BD0BCF" w14:textId="77777777" w:rsidR="00676D5F" w:rsidRPr="00A608F5" w:rsidRDefault="00676D5F" w:rsidP="00D32F02">
            <w:pPr>
              <w:jc w:val="center"/>
              <w:rPr>
                <w:sz w:val="20"/>
                <w:szCs w:val="20"/>
              </w:rPr>
            </w:pPr>
            <w:r w:rsidRPr="00A608F5">
              <w:rPr>
                <w:sz w:val="20"/>
                <w:szCs w:val="20"/>
              </w:rPr>
              <w:t>3%</w:t>
            </w:r>
          </w:p>
        </w:tc>
      </w:tr>
      <w:tr w:rsidR="00676D5F" w:rsidRPr="005A1475" w14:paraId="6E998C13" w14:textId="77777777" w:rsidTr="00D32F02">
        <w:trPr>
          <w:trHeight w:val="297"/>
        </w:trPr>
        <w:tc>
          <w:tcPr>
            <w:tcW w:w="2453" w:type="dxa"/>
            <w:noWrap/>
          </w:tcPr>
          <w:p w14:paraId="74DB3DD3" w14:textId="77777777" w:rsidR="00676D5F" w:rsidRPr="00A608F5" w:rsidRDefault="00676D5F" w:rsidP="0034436B">
            <w:pPr>
              <w:rPr>
                <w:rFonts w:ascii="Calibri" w:eastAsia="Times New Roman" w:hAnsi="Calibri" w:cs="Times New Roman"/>
                <w:sz w:val="20"/>
                <w:szCs w:val="20"/>
              </w:rPr>
            </w:pPr>
            <w:r w:rsidRPr="00A608F5">
              <w:rPr>
                <w:rFonts w:ascii="Calibri" w:eastAsia="Times New Roman" w:hAnsi="Calibri" w:cs="Times New Roman"/>
                <w:sz w:val="20"/>
                <w:szCs w:val="20"/>
              </w:rPr>
              <w:t>Atomoxetine</w:t>
            </w:r>
          </w:p>
        </w:tc>
        <w:tc>
          <w:tcPr>
            <w:tcW w:w="1620" w:type="dxa"/>
            <w:noWrap/>
            <w:vAlign w:val="center"/>
          </w:tcPr>
          <w:p w14:paraId="19DFC130" w14:textId="77777777" w:rsidR="00676D5F" w:rsidRPr="00A608F5" w:rsidRDefault="00676D5F" w:rsidP="00D32F02">
            <w:pPr>
              <w:jc w:val="center"/>
              <w:rPr>
                <w:sz w:val="20"/>
                <w:szCs w:val="20"/>
              </w:rPr>
            </w:pPr>
            <w:r w:rsidRPr="00A608F5">
              <w:rPr>
                <w:sz w:val="20"/>
                <w:szCs w:val="20"/>
              </w:rPr>
              <w:t>50%</w:t>
            </w:r>
          </w:p>
        </w:tc>
        <w:tc>
          <w:tcPr>
            <w:tcW w:w="1440" w:type="dxa"/>
            <w:noWrap/>
            <w:vAlign w:val="center"/>
          </w:tcPr>
          <w:p w14:paraId="380319BE" w14:textId="77777777" w:rsidR="00676D5F" w:rsidRPr="00A608F5" w:rsidRDefault="00676D5F" w:rsidP="00D32F02">
            <w:pPr>
              <w:jc w:val="center"/>
              <w:rPr>
                <w:sz w:val="20"/>
                <w:szCs w:val="20"/>
              </w:rPr>
            </w:pPr>
            <w:r w:rsidRPr="00A608F5">
              <w:rPr>
                <w:sz w:val="20"/>
                <w:szCs w:val="20"/>
              </w:rPr>
              <w:t>22%</w:t>
            </w:r>
          </w:p>
        </w:tc>
        <w:tc>
          <w:tcPr>
            <w:tcW w:w="900" w:type="dxa"/>
            <w:noWrap/>
            <w:vAlign w:val="center"/>
          </w:tcPr>
          <w:p w14:paraId="69FF568D" w14:textId="77777777" w:rsidR="00676D5F" w:rsidRPr="00A608F5" w:rsidRDefault="00676D5F" w:rsidP="00D32F02">
            <w:pPr>
              <w:jc w:val="center"/>
              <w:rPr>
                <w:sz w:val="20"/>
                <w:szCs w:val="20"/>
              </w:rPr>
            </w:pPr>
            <w:r w:rsidRPr="00A608F5">
              <w:rPr>
                <w:sz w:val="20"/>
                <w:szCs w:val="20"/>
              </w:rPr>
              <w:t>25%</w:t>
            </w:r>
          </w:p>
        </w:tc>
        <w:tc>
          <w:tcPr>
            <w:tcW w:w="1440" w:type="dxa"/>
            <w:noWrap/>
            <w:vAlign w:val="center"/>
          </w:tcPr>
          <w:p w14:paraId="03A858D6" w14:textId="77777777" w:rsidR="00676D5F" w:rsidRPr="00A608F5" w:rsidRDefault="00676D5F" w:rsidP="00D32F02">
            <w:pPr>
              <w:jc w:val="center"/>
              <w:rPr>
                <w:sz w:val="20"/>
                <w:szCs w:val="20"/>
              </w:rPr>
            </w:pPr>
            <w:r w:rsidRPr="00A608F5">
              <w:rPr>
                <w:sz w:val="20"/>
                <w:szCs w:val="20"/>
              </w:rPr>
              <w:t>0%</w:t>
            </w:r>
          </w:p>
        </w:tc>
        <w:tc>
          <w:tcPr>
            <w:tcW w:w="1078" w:type="dxa"/>
            <w:noWrap/>
            <w:vAlign w:val="center"/>
          </w:tcPr>
          <w:p w14:paraId="6C64B5A6" w14:textId="77777777" w:rsidR="00676D5F" w:rsidRPr="00A608F5" w:rsidRDefault="00676D5F" w:rsidP="00D32F02">
            <w:pPr>
              <w:jc w:val="center"/>
              <w:rPr>
                <w:sz w:val="20"/>
                <w:szCs w:val="20"/>
              </w:rPr>
            </w:pPr>
            <w:r w:rsidRPr="00A608F5">
              <w:rPr>
                <w:sz w:val="20"/>
                <w:szCs w:val="20"/>
              </w:rPr>
              <w:t>3%</w:t>
            </w:r>
          </w:p>
        </w:tc>
      </w:tr>
    </w:tbl>
    <w:p w14:paraId="139FAEF7" w14:textId="77777777" w:rsidR="00676D5F" w:rsidRPr="000C5825" w:rsidRDefault="00676D5F" w:rsidP="00676D5F">
      <w:pPr>
        <w:rPr>
          <w:sz w:val="20"/>
        </w:rPr>
      </w:pPr>
      <w:r w:rsidRPr="000C5825">
        <w:rPr>
          <w:sz w:val="20"/>
        </w:rPr>
        <w:t>Source: Medicare pharmacy claims database, extracted May 2015</w:t>
      </w:r>
    </w:p>
    <w:p w14:paraId="365DF652" w14:textId="06353D71" w:rsidR="0052799A" w:rsidRDefault="00DE583D" w:rsidP="00DE583D">
      <w:pPr>
        <w:rPr>
          <w:rFonts w:ascii="Calibri" w:eastAsia="MS Mincho" w:hAnsi="Calibri" w:cs="Times New Roman"/>
        </w:rPr>
      </w:pPr>
      <w:r>
        <w:rPr>
          <w:rFonts w:ascii="Calibri" w:eastAsia="MS Mincho" w:hAnsi="Calibri" w:cs="Times New Roman"/>
        </w:rPr>
        <w:t xml:space="preserve">The initial and continuing prescriber is most likely influenced by state and territory regulations, described in detail in </w:t>
      </w:r>
      <w:r w:rsidRPr="00386D77">
        <w:rPr>
          <w:rFonts w:ascii="Calibri" w:eastAsia="MS Mincho" w:hAnsi="Calibri" w:cs="Times New Roman"/>
          <w:u w:val="single"/>
        </w:rPr>
        <w:t>Appendix A</w:t>
      </w:r>
      <w:r>
        <w:rPr>
          <w:rFonts w:ascii="Calibri" w:eastAsia="MS Mincho" w:hAnsi="Calibri" w:cs="Times New Roman"/>
        </w:rPr>
        <w:t xml:space="preserve">. </w:t>
      </w:r>
    </w:p>
    <w:p w14:paraId="4DBF7830" w14:textId="30B2EF28" w:rsidR="00DE583D" w:rsidRPr="00862E7F" w:rsidRDefault="0052799A" w:rsidP="00063EF3">
      <w:pPr>
        <w:pStyle w:val="Heading4"/>
      </w:pPr>
      <w:r>
        <w:rPr>
          <w:rFonts w:ascii="Calibri" w:eastAsia="MS Mincho" w:hAnsi="Calibri" w:cs="Times New Roman"/>
        </w:rPr>
        <w:br w:type="page"/>
      </w:r>
      <w:r w:rsidR="00DE583D" w:rsidRPr="00862E7F">
        <w:t>Utilisation by State/Territory</w:t>
      </w:r>
    </w:p>
    <w:p w14:paraId="45729F75" w14:textId="77777777" w:rsidR="00DE583D" w:rsidRDefault="00DE583D" w:rsidP="00DE583D">
      <w:r w:rsidRPr="009A2186">
        <w:t>Figure 10 shows the</w:t>
      </w:r>
      <w:r>
        <w:t xml:space="preserve"> number of people supplied ADHD medicine per 1000 population by patient state/territory.</w:t>
      </w:r>
    </w:p>
    <w:p w14:paraId="595C130F" w14:textId="77777777" w:rsidR="00DE583D" w:rsidRDefault="00DE583D" w:rsidP="00D60536">
      <w:pPr>
        <w:pStyle w:val="Figuretitle"/>
      </w:pPr>
      <w:r>
        <w:rPr>
          <w:noProof/>
          <w:lang w:val="en-AU"/>
        </w:rPr>
        <w:drawing>
          <wp:inline distT="0" distB="0" distL="0" distR="0" wp14:anchorId="2AF8FD7F" wp14:editId="7F7891E1">
            <wp:extent cx="5762846" cy="3319736"/>
            <wp:effectExtent l="0" t="0" r="9525" b="14605"/>
            <wp:docPr id="4" name="Chart 4" descr="It has data for the years 2011 to 2014 inclusive." title="Figure 10 shows the number of people granted authority approval for an ADHD medicine per 1000 population by state/territory and yea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541232" w14:textId="77777777" w:rsidR="00DE583D" w:rsidRPr="00D60536" w:rsidRDefault="00DE583D" w:rsidP="00D60536">
      <w:pPr>
        <w:pStyle w:val="Figuretitle"/>
      </w:pPr>
      <w:r w:rsidRPr="00D60536">
        <w:t>Figure 10: Number of people granted authority approval for an ADHD medicine per 1000 population by patient state/territory and year</w:t>
      </w:r>
    </w:p>
    <w:p w14:paraId="004AE9A6" w14:textId="77777777" w:rsidR="00DE583D" w:rsidRDefault="00DE583D" w:rsidP="00DE583D">
      <w:pPr>
        <w:pStyle w:val="Notes"/>
      </w:pPr>
      <w:r w:rsidRPr="009709F0">
        <w:t>Source: Medicare authority approvals database; extracted 5 May 2015.</w:t>
      </w:r>
      <w:r>
        <w:t xml:space="preserve"> These data are not age standardised.</w:t>
      </w:r>
    </w:p>
    <w:p w14:paraId="54F244D8" w14:textId="77777777" w:rsidR="00DE583D" w:rsidRDefault="00DE583D" w:rsidP="00DE583D">
      <w:pPr>
        <w:rPr>
          <w:rFonts w:ascii="Calibri" w:eastAsia="MS Mincho" w:hAnsi="Calibri" w:cs="Times New Roman"/>
        </w:rPr>
      </w:pPr>
      <w:r w:rsidRPr="008E5F21">
        <w:rPr>
          <w:rFonts w:ascii="Calibri" w:eastAsia="MS Mincho" w:hAnsi="Calibri" w:cs="Times New Roman"/>
        </w:rPr>
        <w:t xml:space="preserve">The </w:t>
      </w:r>
      <w:r w:rsidRPr="009A2186">
        <w:rPr>
          <w:rFonts w:ascii="Calibri" w:eastAsia="MS Mincho" w:hAnsi="Calibri" w:cs="Times New Roman"/>
        </w:rPr>
        <w:t>analysis in Figure 10 was not adjusted to account for differences in the age distribution across states and territories. Rates of prescribing by age group in 2014, adjusted for the age and size of the population of each state and territory, are shown in Figure 11.</w:t>
      </w:r>
      <w:r>
        <w:rPr>
          <w:rFonts w:ascii="Calibri" w:eastAsia="MS Mincho" w:hAnsi="Calibri" w:cs="Times New Roman"/>
        </w:rPr>
        <w:t xml:space="preserve">  </w:t>
      </w:r>
    </w:p>
    <w:p w14:paraId="6D47ED81" w14:textId="77777777" w:rsidR="00DE583D" w:rsidRPr="00D60536" w:rsidRDefault="00DE583D" w:rsidP="00DE583D">
      <w:pPr>
        <w:spacing w:after="0"/>
        <w:rPr>
          <w:rStyle w:val="FigurecaptionChar"/>
        </w:rPr>
      </w:pPr>
      <w:r>
        <w:rPr>
          <w:noProof/>
        </w:rPr>
        <w:drawing>
          <wp:inline distT="0" distB="0" distL="0" distR="0" wp14:anchorId="03BF92A5" wp14:editId="3873918F">
            <wp:extent cx="5762846" cy="3596182"/>
            <wp:effectExtent l="0" t="0" r="9525" b="23495"/>
            <wp:docPr id="6" name="Chart 6" title="Figure 11 shows the number of people supplied an ADHD medicine per 1000 population when age standardised in 2014 by patient state/territory and age group"/>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D60536">
        <w:rPr>
          <w:rStyle w:val="FiguretitleChar"/>
        </w:rPr>
        <w:t>Figure 11: Number of people supplied an ADHD medicine per 1000 population (age standardised) in 2014 by patient state/territory and age group</w:t>
      </w:r>
    </w:p>
    <w:p w14:paraId="7B6F70AF" w14:textId="77777777" w:rsidR="00DE583D" w:rsidRDefault="00DE583D" w:rsidP="00DE583D">
      <w:pPr>
        <w:pStyle w:val="Notes"/>
      </w:pPr>
      <w:r w:rsidRPr="009709F0">
        <w:t xml:space="preserve">Source: Medicare </w:t>
      </w:r>
      <w:r>
        <w:t xml:space="preserve">pharmacy claims </w:t>
      </w:r>
      <w:r w:rsidRPr="009709F0">
        <w:t>database; extracted 5 May 2015.</w:t>
      </w:r>
      <w:r>
        <w:t xml:space="preserve"> </w:t>
      </w:r>
    </w:p>
    <w:p w14:paraId="7D42EF51" w14:textId="77777777" w:rsidR="00DE583D" w:rsidRPr="008E5F21" w:rsidRDefault="00DE583D" w:rsidP="00DE583D">
      <w:r w:rsidRPr="008E5F21">
        <w:t xml:space="preserve">When the size and age distribution of the states and territories is taken into account, </w:t>
      </w:r>
      <w:r>
        <w:t>the rates of ADHD medicine supply differ. The rate of ADHD medicine supply to 6-12 year olds was highest in the ACT (39.26 per 1000 population), followed by Queensland (37.59/1000 population) and NSW (35.13/1000 population). The rate of ADHD medicine supply in adolescents was highest in NSW (29.11/1000 population), followed by the ACT (28.72/1000 population). For children under 6, the rate of ADHD medicine supply was low, ranging from 1.05/1000 population in the Northern Territory to 2.53/1000 population in Tasmania. For adults, the rate of supply of ADHD medicine was highest in Western Australia (5.23 per 1000 population), with the next highest being the ACT (3.06/1000 population).</w:t>
      </w:r>
    </w:p>
    <w:p w14:paraId="0BE3FF79" w14:textId="77777777" w:rsidR="00DE583D" w:rsidRDefault="00DE583D" w:rsidP="00DE583D">
      <w:r w:rsidRPr="009A2186">
        <w:t>Figure 12 shows</w:t>
      </w:r>
      <w:r>
        <w:t xml:space="preserve"> the number of people supplied ADHD medicine per 1000 population in 2014 by patient state/territory and medicine. There are differences in the pattern of use of ADHD medicines across the states and territories; for example, the number of patients supplied dexamphetamine in WA is higher per 1000 population compared with the other states and territories. A previous DUSC analysis (October 2012) showed that use of dexamphetamine in WA was predominantly in 20-30 year olds. </w:t>
      </w:r>
    </w:p>
    <w:p w14:paraId="44CC80FA" w14:textId="77777777" w:rsidR="00DE583D" w:rsidRPr="00207F14" w:rsidRDefault="00DE583D" w:rsidP="00DE583D">
      <w:pPr>
        <w:pStyle w:val="Heading5"/>
      </w:pPr>
      <w:r w:rsidRPr="00207F14">
        <w:rPr>
          <w:noProof/>
        </w:rPr>
        <w:drawing>
          <wp:inline distT="0" distB="0" distL="0" distR="0" wp14:anchorId="52AFC5B5" wp14:editId="590340FF">
            <wp:extent cx="5762846" cy="3816808"/>
            <wp:effectExtent l="0" t="0" r="9525" b="12700"/>
            <wp:docPr id="14" name="Chart 14" title="Figure 12 shows the number of people supplied an ADHD medicine per 1000 population in 2014 by patient state/territory and medic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7CBD40" w14:textId="77777777" w:rsidR="00DE583D" w:rsidRPr="000C5825" w:rsidRDefault="00DE583D" w:rsidP="00D60536">
      <w:pPr>
        <w:pStyle w:val="Figuretitle"/>
      </w:pPr>
      <w:r w:rsidRPr="000C5825">
        <w:t>Figure 12: Number of people supplied an ADHD medicine per 1000 population in 2014 by patient state/territory and medicine.</w:t>
      </w:r>
    </w:p>
    <w:p w14:paraId="7075368F" w14:textId="77777777" w:rsidR="00DE583D" w:rsidRPr="000C5825" w:rsidRDefault="00DE583D" w:rsidP="00DE583D">
      <w:pPr>
        <w:pStyle w:val="Notes"/>
      </w:pPr>
      <w:r w:rsidRPr="000C5825">
        <w:t>Source: Medicare pharmacy claims database; extracted 29 April 2015. These data are not age standardised.</w:t>
      </w:r>
    </w:p>
    <w:p w14:paraId="4F8723A6" w14:textId="3B792516" w:rsidR="00736041" w:rsidRPr="00D60536" w:rsidRDefault="001B5D37" w:rsidP="000D733F">
      <w:pPr>
        <w:pStyle w:val="Heading3"/>
      </w:pPr>
      <w:r w:rsidRPr="00D60536">
        <w:t xml:space="preserve">Analysis </w:t>
      </w:r>
      <w:r w:rsidR="00481108" w:rsidRPr="00D60536">
        <w:t xml:space="preserve">of </w:t>
      </w:r>
      <w:r w:rsidR="0063631C" w:rsidRPr="00D60536">
        <w:t>e</w:t>
      </w:r>
      <w:r w:rsidR="00736041" w:rsidRPr="00D60536">
        <w:t>xpenditure</w:t>
      </w:r>
    </w:p>
    <w:p w14:paraId="160FBB66" w14:textId="511A7E49" w:rsidR="00DE583D" w:rsidRPr="000C5825" w:rsidRDefault="00DE583D" w:rsidP="00DE583D">
      <w:pPr>
        <w:rPr>
          <w:rFonts w:ascii="Calibri" w:eastAsia="MS Mincho" w:hAnsi="Calibri" w:cs="Times New Roman"/>
        </w:rPr>
      </w:pPr>
      <w:r w:rsidRPr="000C5825">
        <w:rPr>
          <w:rFonts w:ascii="Calibri" w:eastAsia="MS Mincho" w:hAnsi="Calibri" w:cs="Times New Roman"/>
        </w:rPr>
        <w:t>Table 1</w:t>
      </w:r>
      <w:r w:rsidR="00F53FC4">
        <w:rPr>
          <w:rFonts w:ascii="Calibri" w:eastAsia="MS Mincho" w:hAnsi="Calibri" w:cs="Times New Roman"/>
        </w:rPr>
        <w:t>5</w:t>
      </w:r>
      <w:r w:rsidRPr="000C5825">
        <w:rPr>
          <w:rFonts w:ascii="Calibri" w:eastAsia="MS Mincho" w:hAnsi="Calibri" w:cs="Times New Roman"/>
        </w:rPr>
        <w:t xml:space="preserve"> shows the benefits paid by Government for PBS subsidised prescriptions for each ADHD medicine by the year of supply, between 2010 and 2014, and the percentage growth form the previous year. Benefits paid for</w:t>
      </w:r>
      <w:r>
        <w:rPr>
          <w:rFonts w:ascii="Calibri" w:eastAsia="MS Mincho" w:hAnsi="Calibri" w:cs="Times New Roman"/>
        </w:rPr>
        <w:t xml:space="preserve"> ADHD medicines grew between 4-7</w:t>
      </w:r>
      <w:r w:rsidRPr="000C5825">
        <w:rPr>
          <w:rFonts w:ascii="Calibri" w:eastAsia="MS Mincho" w:hAnsi="Calibri" w:cs="Times New Roman"/>
        </w:rPr>
        <w:t>% in each year of this period. In 2014, just over $30 million in benefits was paid for ADHD medicines. The highest cost medicine in 2014 was methylphenidate-MR (Concerta®) at $13.9 million.</w:t>
      </w:r>
    </w:p>
    <w:p w14:paraId="1B6323C9" w14:textId="77777777" w:rsidR="00694AA7" w:rsidRDefault="00694AA7">
      <w:pPr>
        <w:spacing w:line="276" w:lineRule="auto"/>
        <w:rPr>
          <w:rFonts w:eastAsiaTheme="majorEastAsia" w:cstheme="majorBidi"/>
          <w:b/>
          <w:bCs/>
        </w:rPr>
      </w:pPr>
      <w:r>
        <w:br w:type="page"/>
      </w:r>
    </w:p>
    <w:p w14:paraId="7494E5FC" w14:textId="3ABE9D63" w:rsidR="00DE583D" w:rsidRPr="00D60536" w:rsidRDefault="00DE583D" w:rsidP="00D60536">
      <w:pPr>
        <w:pStyle w:val="Tabletitle"/>
      </w:pPr>
      <w:r w:rsidRPr="00D60536">
        <w:t>Table 1</w:t>
      </w:r>
      <w:r w:rsidR="00F53FC4">
        <w:t>5</w:t>
      </w:r>
      <w:r w:rsidRPr="00D60536">
        <w:t>: PBS benefits paid for ADHD medicines</w:t>
      </w:r>
    </w:p>
    <w:tbl>
      <w:tblPr>
        <w:tblStyle w:val="TableGrid"/>
        <w:tblW w:w="0" w:type="auto"/>
        <w:tblLook w:val="04A0" w:firstRow="1" w:lastRow="0" w:firstColumn="1" w:lastColumn="0" w:noHBand="0" w:noVBand="1"/>
        <w:tblCaption w:val="Table 15 lists the different ADHD medicines in the first column, read across the row for the amount of PBS benefits paid in the years 2010 to 2014"/>
      </w:tblPr>
      <w:tblGrid>
        <w:gridCol w:w="1700"/>
        <w:gridCol w:w="1481"/>
        <w:gridCol w:w="1482"/>
        <w:gridCol w:w="1481"/>
        <w:gridCol w:w="1482"/>
        <w:gridCol w:w="1482"/>
      </w:tblGrid>
      <w:tr w:rsidR="00DE583D" w:rsidRPr="00FC0754" w14:paraId="3BC0F38D" w14:textId="77777777" w:rsidTr="00D414F6">
        <w:trPr>
          <w:tblHeader/>
        </w:trPr>
        <w:tc>
          <w:tcPr>
            <w:tcW w:w="1700" w:type="dxa"/>
            <w:tcBorders>
              <w:top w:val="nil"/>
              <w:left w:val="nil"/>
            </w:tcBorders>
          </w:tcPr>
          <w:p w14:paraId="0F47DBA7" w14:textId="7949A529" w:rsidR="00DE583D" w:rsidRDefault="00DE583D" w:rsidP="00F71E10">
            <w:pPr>
              <w:pStyle w:val="Tableheading"/>
              <w:jc w:val="left"/>
            </w:pPr>
          </w:p>
        </w:tc>
        <w:tc>
          <w:tcPr>
            <w:tcW w:w="1481" w:type="dxa"/>
            <w:shd w:val="clear" w:color="auto" w:fill="D9D9D9" w:themeFill="background1" w:themeFillShade="D9"/>
          </w:tcPr>
          <w:p w14:paraId="52C246BF" w14:textId="77777777" w:rsidR="00DE583D" w:rsidRPr="00FC0754" w:rsidRDefault="00DE583D" w:rsidP="0052799A">
            <w:pPr>
              <w:pStyle w:val="Tableheading"/>
              <w:rPr>
                <w:sz w:val="20"/>
                <w:szCs w:val="20"/>
              </w:rPr>
            </w:pPr>
            <w:r w:rsidRPr="00FC0754">
              <w:rPr>
                <w:sz w:val="20"/>
                <w:szCs w:val="20"/>
              </w:rPr>
              <w:t>2010</w:t>
            </w:r>
          </w:p>
        </w:tc>
        <w:tc>
          <w:tcPr>
            <w:tcW w:w="1482" w:type="dxa"/>
            <w:shd w:val="clear" w:color="auto" w:fill="D9D9D9" w:themeFill="background1" w:themeFillShade="D9"/>
          </w:tcPr>
          <w:p w14:paraId="0220E641" w14:textId="77777777" w:rsidR="00DE583D" w:rsidRPr="00FC0754" w:rsidRDefault="00DE583D" w:rsidP="0052799A">
            <w:pPr>
              <w:pStyle w:val="Tableheading"/>
              <w:rPr>
                <w:sz w:val="20"/>
                <w:szCs w:val="20"/>
              </w:rPr>
            </w:pPr>
            <w:r w:rsidRPr="00FC0754">
              <w:rPr>
                <w:sz w:val="20"/>
                <w:szCs w:val="20"/>
              </w:rPr>
              <w:t>2011</w:t>
            </w:r>
          </w:p>
        </w:tc>
        <w:tc>
          <w:tcPr>
            <w:tcW w:w="1481" w:type="dxa"/>
            <w:shd w:val="clear" w:color="auto" w:fill="D9D9D9" w:themeFill="background1" w:themeFillShade="D9"/>
          </w:tcPr>
          <w:p w14:paraId="432E0F6C" w14:textId="77777777" w:rsidR="00DE583D" w:rsidRPr="00FC0754" w:rsidRDefault="00DE583D" w:rsidP="0052799A">
            <w:pPr>
              <w:pStyle w:val="Tableheading"/>
              <w:rPr>
                <w:sz w:val="20"/>
                <w:szCs w:val="20"/>
              </w:rPr>
            </w:pPr>
            <w:r w:rsidRPr="00FC0754">
              <w:rPr>
                <w:sz w:val="20"/>
                <w:szCs w:val="20"/>
              </w:rPr>
              <w:t>2012</w:t>
            </w:r>
          </w:p>
        </w:tc>
        <w:tc>
          <w:tcPr>
            <w:tcW w:w="1482" w:type="dxa"/>
            <w:shd w:val="clear" w:color="auto" w:fill="D9D9D9" w:themeFill="background1" w:themeFillShade="D9"/>
          </w:tcPr>
          <w:p w14:paraId="59128AD6" w14:textId="77777777" w:rsidR="00DE583D" w:rsidRPr="00FC0754" w:rsidRDefault="00DE583D" w:rsidP="0052799A">
            <w:pPr>
              <w:pStyle w:val="Tableheading"/>
              <w:rPr>
                <w:sz w:val="20"/>
                <w:szCs w:val="20"/>
              </w:rPr>
            </w:pPr>
            <w:r w:rsidRPr="00FC0754">
              <w:rPr>
                <w:sz w:val="20"/>
                <w:szCs w:val="20"/>
              </w:rPr>
              <w:t>2013</w:t>
            </w:r>
          </w:p>
        </w:tc>
        <w:tc>
          <w:tcPr>
            <w:tcW w:w="1482" w:type="dxa"/>
            <w:shd w:val="clear" w:color="auto" w:fill="D9D9D9" w:themeFill="background1" w:themeFillShade="D9"/>
          </w:tcPr>
          <w:p w14:paraId="3765141A" w14:textId="77777777" w:rsidR="00DE583D" w:rsidRPr="00FC0754" w:rsidRDefault="00DE583D" w:rsidP="0052799A">
            <w:pPr>
              <w:pStyle w:val="Tableheading"/>
              <w:rPr>
                <w:sz w:val="20"/>
                <w:szCs w:val="20"/>
              </w:rPr>
            </w:pPr>
            <w:r w:rsidRPr="00FC0754">
              <w:rPr>
                <w:sz w:val="20"/>
                <w:szCs w:val="20"/>
              </w:rPr>
              <w:t>2014</w:t>
            </w:r>
          </w:p>
        </w:tc>
      </w:tr>
      <w:tr w:rsidR="00DE583D" w14:paraId="1A0DF6EA" w14:textId="77777777" w:rsidTr="0052799A">
        <w:tc>
          <w:tcPr>
            <w:tcW w:w="1700" w:type="dxa"/>
            <w:shd w:val="clear" w:color="auto" w:fill="D9D9D9" w:themeFill="background1" w:themeFillShade="D9"/>
          </w:tcPr>
          <w:p w14:paraId="744C3459" w14:textId="77777777" w:rsidR="00DE583D" w:rsidRPr="00FC0754" w:rsidRDefault="00DE583D" w:rsidP="0052799A">
            <w:pPr>
              <w:pStyle w:val="Tableheading"/>
              <w:rPr>
                <w:sz w:val="20"/>
                <w:szCs w:val="20"/>
              </w:rPr>
            </w:pPr>
            <w:r w:rsidRPr="00FC0754">
              <w:rPr>
                <w:sz w:val="20"/>
                <w:szCs w:val="20"/>
              </w:rPr>
              <w:t>Dexamphetamine</w:t>
            </w:r>
          </w:p>
        </w:tc>
        <w:tc>
          <w:tcPr>
            <w:tcW w:w="1481" w:type="dxa"/>
            <w:vAlign w:val="bottom"/>
          </w:tcPr>
          <w:p w14:paraId="2A812927" w14:textId="07E14513" w:rsidR="00DE583D" w:rsidRDefault="00DE583D" w:rsidP="0052799A">
            <w:pPr>
              <w:pStyle w:val="Tablewriting"/>
              <w:jc w:val="right"/>
            </w:pPr>
            <w:r w:rsidRPr="00CE3D44">
              <w:rPr>
                <w:rFonts w:ascii="Calibri" w:eastAsia="Times New Roman" w:hAnsi="Calibri" w:cs="Times New Roman"/>
              </w:rPr>
              <w:t>$2,298,508</w:t>
            </w:r>
          </w:p>
        </w:tc>
        <w:tc>
          <w:tcPr>
            <w:tcW w:w="1482" w:type="dxa"/>
            <w:vAlign w:val="bottom"/>
          </w:tcPr>
          <w:p w14:paraId="38148985" w14:textId="68239DD3"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2,245,767</w:t>
            </w:r>
          </w:p>
        </w:tc>
        <w:tc>
          <w:tcPr>
            <w:tcW w:w="1481" w:type="dxa"/>
            <w:vAlign w:val="bottom"/>
          </w:tcPr>
          <w:p w14:paraId="06EC90AE" w14:textId="338EC9D2"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2,256,961</w:t>
            </w:r>
          </w:p>
        </w:tc>
        <w:tc>
          <w:tcPr>
            <w:tcW w:w="1482" w:type="dxa"/>
            <w:vAlign w:val="bottom"/>
          </w:tcPr>
          <w:p w14:paraId="3C772320" w14:textId="396AA323"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2,337,024</w:t>
            </w:r>
          </w:p>
        </w:tc>
        <w:tc>
          <w:tcPr>
            <w:tcW w:w="1482" w:type="dxa"/>
            <w:vAlign w:val="bottom"/>
          </w:tcPr>
          <w:p w14:paraId="418B5A24" w14:textId="4B013661"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2,423,152</w:t>
            </w:r>
          </w:p>
        </w:tc>
      </w:tr>
      <w:tr w:rsidR="00DE583D" w14:paraId="57D37F88" w14:textId="77777777" w:rsidTr="0052799A">
        <w:tc>
          <w:tcPr>
            <w:tcW w:w="1700" w:type="dxa"/>
            <w:shd w:val="clear" w:color="auto" w:fill="D9D9D9" w:themeFill="background1" w:themeFillShade="D9"/>
          </w:tcPr>
          <w:p w14:paraId="24C62EB3" w14:textId="77777777" w:rsidR="00DE583D" w:rsidRPr="00FC0754" w:rsidRDefault="00DE583D" w:rsidP="0052799A">
            <w:pPr>
              <w:pStyle w:val="Tableheading"/>
              <w:rPr>
                <w:sz w:val="20"/>
                <w:szCs w:val="20"/>
              </w:rPr>
            </w:pPr>
            <w:r w:rsidRPr="00FC0754">
              <w:rPr>
                <w:sz w:val="20"/>
                <w:szCs w:val="20"/>
              </w:rPr>
              <w:t>Methylphenidate IR (Ritalin 10)</w:t>
            </w:r>
          </w:p>
        </w:tc>
        <w:tc>
          <w:tcPr>
            <w:tcW w:w="1481" w:type="dxa"/>
            <w:vAlign w:val="bottom"/>
          </w:tcPr>
          <w:p w14:paraId="61FA4BA3" w14:textId="088FF7B7"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949,241</w:t>
            </w:r>
          </w:p>
        </w:tc>
        <w:tc>
          <w:tcPr>
            <w:tcW w:w="1482" w:type="dxa"/>
            <w:vAlign w:val="bottom"/>
          </w:tcPr>
          <w:p w14:paraId="5A349869" w14:textId="161EDE1B" w:rsidR="00DE583D" w:rsidRPr="00092F60" w:rsidRDefault="00DE583D" w:rsidP="0052799A">
            <w:pPr>
              <w:pStyle w:val="Tablewriting"/>
              <w:jc w:val="right"/>
              <w:rPr>
                <w:rFonts w:ascii="Calibri" w:eastAsia="Times New Roman" w:hAnsi="Calibri" w:cs="Times New Roman"/>
              </w:rPr>
            </w:pPr>
            <w:r w:rsidRPr="00092F60">
              <w:rPr>
                <w:rFonts w:ascii="Calibri" w:eastAsia="Times New Roman" w:hAnsi="Calibri" w:cs="Times New Roman"/>
              </w:rPr>
              <w:t>$986,006</w:t>
            </w:r>
          </w:p>
        </w:tc>
        <w:tc>
          <w:tcPr>
            <w:tcW w:w="1481" w:type="dxa"/>
            <w:vAlign w:val="bottom"/>
          </w:tcPr>
          <w:p w14:paraId="2EC7D913" w14:textId="4B811EFE" w:rsidR="00DE583D" w:rsidRDefault="00DE583D" w:rsidP="0052799A">
            <w:pPr>
              <w:pStyle w:val="Tablewriting"/>
              <w:jc w:val="right"/>
            </w:pPr>
            <w:r>
              <w:rPr>
                <w:rFonts w:ascii="Calibri" w:eastAsia="Times New Roman" w:hAnsi="Calibri" w:cs="Times New Roman"/>
              </w:rPr>
              <w:t>$1,081,447</w:t>
            </w:r>
          </w:p>
        </w:tc>
        <w:tc>
          <w:tcPr>
            <w:tcW w:w="1482" w:type="dxa"/>
            <w:vAlign w:val="bottom"/>
          </w:tcPr>
          <w:p w14:paraId="43DF7B14" w14:textId="322B6860" w:rsidR="00DE583D" w:rsidRDefault="00DE583D" w:rsidP="0052799A">
            <w:pPr>
              <w:pStyle w:val="Tablewriting"/>
              <w:jc w:val="right"/>
            </w:pPr>
            <w:r>
              <w:rPr>
                <w:rFonts w:ascii="Calibri" w:eastAsia="Times New Roman" w:hAnsi="Calibri" w:cs="Times New Roman"/>
                <w:sz w:val="22"/>
                <w:szCs w:val="22"/>
              </w:rPr>
              <w:t>$</w:t>
            </w:r>
            <w:r w:rsidRPr="00CE3D44">
              <w:rPr>
                <w:rFonts w:ascii="Calibri" w:eastAsia="Times New Roman" w:hAnsi="Calibri" w:cs="Times New Roman"/>
                <w:sz w:val="22"/>
                <w:szCs w:val="22"/>
              </w:rPr>
              <w:t xml:space="preserve">1,183,084 </w:t>
            </w:r>
          </w:p>
        </w:tc>
        <w:tc>
          <w:tcPr>
            <w:tcW w:w="1482" w:type="dxa"/>
            <w:vAlign w:val="bottom"/>
          </w:tcPr>
          <w:p w14:paraId="6F818B8C" w14:textId="787BBC7E"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1,273,698</w:t>
            </w:r>
          </w:p>
        </w:tc>
      </w:tr>
      <w:tr w:rsidR="00DE583D" w14:paraId="506C701B" w14:textId="77777777" w:rsidTr="0052799A">
        <w:tc>
          <w:tcPr>
            <w:tcW w:w="1700" w:type="dxa"/>
            <w:shd w:val="clear" w:color="auto" w:fill="D9D9D9" w:themeFill="background1" w:themeFillShade="D9"/>
          </w:tcPr>
          <w:p w14:paraId="67D0600B" w14:textId="77777777" w:rsidR="00DE583D" w:rsidRPr="00FC0754" w:rsidRDefault="00DE583D" w:rsidP="0052799A">
            <w:pPr>
              <w:pStyle w:val="Tableheading"/>
              <w:rPr>
                <w:sz w:val="20"/>
                <w:szCs w:val="20"/>
              </w:rPr>
            </w:pPr>
            <w:r w:rsidRPr="00FC0754">
              <w:rPr>
                <w:sz w:val="20"/>
                <w:szCs w:val="20"/>
              </w:rPr>
              <w:t>Methylphenidate MR (Ritalin LA)</w:t>
            </w:r>
          </w:p>
        </w:tc>
        <w:tc>
          <w:tcPr>
            <w:tcW w:w="1481" w:type="dxa"/>
            <w:vAlign w:val="bottom"/>
          </w:tcPr>
          <w:p w14:paraId="40016574" w14:textId="5E4B12E6"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3,193,694</w:t>
            </w:r>
          </w:p>
        </w:tc>
        <w:tc>
          <w:tcPr>
            <w:tcW w:w="1482" w:type="dxa"/>
            <w:vAlign w:val="bottom"/>
          </w:tcPr>
          <w:p w14:paraId="109DFCB8" w14:textId="69058FE4"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3,655,083</w:t>
            </w:r>
          </w:p>
        </w:tc>
        <w:tc>
          <w:tcPr>
            <w:tcW w:w="1481" w:type="dxa"/>
            <w:vAlign w:val="bottom"/>
          </w:tcPr>
          <w:p w14:paraId="17F4CFB3" w14:textId="037A372B"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4,166,122</w:t>
            </w:r>
          </w:p>
        </w:tc>
        <w:tc>
          <w:tcPr>
            <w:tcW w:w="1482" w:type="dxa"/>
            <w:vAlign w:val="bottom"/>
          </w:tcPr>
          <w:p w14:paraId="25D0C9FD" w14:textId="464FFE6C" w:rsidR="00DE583D" w:rsidRDefault="00DE583D" w:rsidP="0052799A">
            <w:pPr>
              <w:pStyle w:val="Tablewriting"/>
              <w:jc w:val="right"/>
            </w:pPr>
            <w:r>
              <w:rPr>
                <w:rFonts w:ascii="Calibri" w:eastAsia="Times New Roman" w:hAnsi="Calibri" w:cs="Times New Roman"/>
              </w:rPr>
              <w:t xml:space="preserve"> $4,63</w:t>
            </w:r>
            <w:r w:rsidRPr="00CE3D44">
              <w:rPr>
                <w:rFonts w:ascii="Calibri" w:eastAsia="Times New Roman" w:hAnsi="Calibri" w:cs="Times New Roman"/>
              </w:rPr>
              <w:t>0,933</w:t>
            </w:r>
          </w:p>
        </w:tc>
        <w:tc>
          <w:tcPr>
            <w:tcW w:w="1482" w:type="dxa"/>
            <w:vAlign w:val="bottom"/>
          </w:tcPr>
          <w:p w14:paraId="55E1BF15" w14:textId="3DFB3219" w:rsidR="00DE583D" w:rsidRDefault="00DE583D" w:rsidP="0052799A">
            <w:pPr>
              <w:pStyle w:val="Tablewriting"/>
              <w:jc w:val="right"/>
            </w:pPr>
            <w:r>
              <w:rPr>
                <w:rFonts w:ascii="Calibri" w:eastAsia="Times New Roman" w:hAnsi="Calibri" w:cs="Times New Roman"/>
              </w:rPr>
              <w:t>$4,976,765</w:t>
            </w:r>
          </w:p>
        </w:tc>
      </w:tr>
      <w:tr w:rsidR="00DE583D" w14:paraId="3CFD10A0" w14:textId="77777777" w:rsidTr="0052799A">
        <w:tc>
          <w:tcPr>
            <w:tcW w:w="1700" w:type="dxa"/>
            <w:shd w:val="clear" w:color="auto" w:fill="D9D9D9" w:themeFill="background1" w:themeFillShade="D9"/>
          </w:tcPr>
          <w:p w14:paraId="6B158FBA" w14:textId="77777777" w:rsidR="00DE583D" w:rsidRPr="00FC0754" w:rsidRDefault="00DE583D" w:rsidP="0052799A">
            <w:pPr>
              <w:pStyle w:val="Tableheading"/>
              <w:rPr>
                <w:sz w:val="20"/>
                <w:szCs w:val="20"/>
              </w:rPr>
            </w:pPr>
            <w:r w:rsidRPr="00FC0754">
              <w:rPr>
                <w:sz w:val="20"/>
                <w:szCs w:val="20"/>
              </w:rPr>
              <w:t>Methylphenidate MR (Concerta)</w:t>
            </w:r>
          </w:p>
        </w:tc>
        <w:tc>
          <w:tcPr>
            <w:tcW w:w="1481" w:type="dxa"/>
            <w:vAlign w:val="bottom"/>
          </w:tcPr>
          <w:p w14:paraId="3537BD32" w14:textId="7770C13F"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11,248,598</w:t>
            </w:r>
          </w:p>
        </w:tc>
        <w:tc>
          <w:tcPr>
            <w:tcW w:w="1482" w:type="dxa"/>
            <w:vAlign w:val="bottom"/>
          </w:tcPr>
          <w:p w14:paraId="3661ECEC" w14:textId="655C764A"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11,328,786</w:t>
            </w:r>
          </w:p>
        </w:tc>
        <w:tc>
          <w:tcPr>
            <w:tcW w:w="1481" w:type="dxa"/>
            <w:vAlign w:val="bottom"/>
          </w:tcPr>
          <w:p w14:paraId="65CAF7B1" w14:textId="5F1824A9"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12,192,958</w:t>
            </w:r>
          </w:p>
        </w:tc>
        <w:tc>
          <w:tcPr>
            <w:tcW w:w="1482" w:type="dxa"/>
            <w:vAlign w:val="bottom"/>
          </w:tcPr>
          <w:p w14:paraId="368D38F6" w14:textId="503F8B30" w:rsidR="00DE583D" w:rsidRPr="00092F60" w:rsidRDefault="00DE583D" w:rsidP="0052799A">
            <w:pPr>
              <w:pStyle w:val="Tablewriting"/>
              <w:jc w:val="right"/>
              <w:rPr>
                <w:rFonts w:ascii="Calibri" w:eastAsia="Times New Roman" w:hAnsi="Calibri" w:cs="Times New Roman"/>
              </w:rPr>
            </w:pPr>
            <w:r w:rsidRPr="00092F60">
              <w:rPr>
                <w:rFonts w:ascii="Calibri" w:eastAsia="Times New Roman" w:hAnsi="Calibri" w:cs="Times New Roman"/>
              </w:rPr>
              <w:t>$13,175,447</w:t>
            </w:r>
          </w:p>
        </w:tc>
        <w:tc>
          <w:tcPr>
            <w:tcW w:w="1482" w:type="dxa"/>
            <w:vAlign w:val="bottom"/>
          </w:tcPr>
          <w:p w14:paraId="62CF1247" w14:textId="4BE681FA"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13,944,768</w:t>
            </w:r>
          </w:p>
        </w:tc>
      </w:tr>
      <w:tr w:rsidR="00DE583D" w14:paraId="6265DA77" w14:textId="77777777" w:rsidTr="0052799A">
        <w:tc>
          <w:tcPr>
            <w:tcW w:w="1700" w:type="dxa"/>
            <w:shd w:val="clear" w:color="auto" w:fill="D9D9D9" w:themeFill="background1" w:themeFillShade="D9"/>
          </w:tcPr>
          <w:p w14:paraId="53739401" w14:textId="77777777" w:rsidR="00DE583D" w:rsidRPr="00FC0754" w:rsidRDefault="00DE583D" w:rsidP="0052799A">
            <w:pPr>
              <w:pStyle w:val="Tableheading"/>
              <w:rPr>
                <w:sz w:val="20"/>
                <w:szCs w:val="20"/>
              </w:rPr>
            </w:pPr>
            <w:r w:rsidRPr="00FC0754">
              <w:rPr>
                <w:sz w:val="20"/>
                <w:szCs w:val="20"/>
              </w:rPr>
              <w:t>Atomoxetine</w:t>
            </w:r>
          </w:p>
        </w:tc>
        <w:tc>
          <w:tcPr>
            <w:tcW w:w="1481" w:type="dxa"/>
            <w:vAlign w:val="bottom"/>
          </w:tcPr>
          <w:p w14:paraId="1401C7F4" w14:textId="3872E793"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6,415,585</w:t>
            </w:r>
          </w:p>
        </w:tc>
        <w:tc>
          <w:tcPr>
            <w:tcW w:w="1482" w:type="dxa"/>
            <w:vAlign w:val="bottom"/>
          </w:tcPr>
          <w:p w14:paraId="23608A19" w14:textId="035D3B9E"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6,845,118</w:t>
            </w:r>
          </w:p>
        </w:tc>
        <w:tc>
          <w:tcPr>
            <w:tcW w:w="1481" w:type="dxa"/>
            <w:vAlign w:val="bottom"/>
          </w:tcPr>
          <w:p w14:paraId="499EAC3C" w14:textId="71B39102"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7,043,246</w:t>
            </w:r>
          </w:p>
        </w:tc>
        <w:tc>
          <w:tcPr>
            <w:tcW w:w="1482" w:type="dxa"/>
            <w:vAlign w:val="bottom"/>
          </w:tcPr>
          <w:p w14:paraId="67425AC1" w14:textId="587DCE96"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7,341,801</w:t>
            </w:r>
          </w:p>
        </w:tc>
        <w:tc>
          <w:tcPr>
            <w:tcW w:w="1482" w:type="dxa"/>
            <w:vAlign w:val="bottom"/>
          </w:tcPr>
          <w:p w14:paraId="77A07999" w14:textId="6D582D35" w:rsidR="00DE583D" w:rsidRDefault="00DE583D" w:rsidP="0052799A">
            <w:pPr>
              <w:pStyle w:val="Tablewriting"/>
              <w:jc w:val="right"/>
            </w:pPr>
            <w:r>
              <w:rPr>
                <w:rFonts w:ascii="Calibri" w:eastAsia="Times New Roman" w:hAnsi="Calibri" w:cs="Times New Roman"/>
              </w:rPr>
              <w:t>$</w:t>
            </w:r>
            <w:r w:rsidR="0052799A">
              <w:rPr>
                <w:rFonts w:ascii="Calibri" w:eastAsia="Times New Roman" w:hAnsi="Calibri" w:cs="Times New Roman"/>
              </w:rPr>
              <w:t>7,382,266</w:t>
            </w:r>
          </w:p>
        </w:tc>
      </w:tr>
      <w:tr w:rsidR="00DE583D" w14:paraId="66FBD46D" w14:textId="77777777" w:rsidTr="0052799A">
        <w:tc>
          <w:tcPr>
            <w:tcW w:w="1700" w:type="dxa"/>
            <w:shd w:val="clear" w:color="auto" w:fill="D9D9D9" w:themeFill="background1" w:themeFillShade="D9"/>
          </w:tcPr>
          <w:p w14:paraId="787AF90B" w14:textId="77777777" w:rsidR="00DE583D" w:rsidRPr="00FC0754" w:rsidRDefault="00DE583D" w:rsidP="0052799A">
            <w:pPr>
              <w:pStyle w:val="Tableheading"/>
              <w:rPr>
                <w:sz w:val="20"/>
                <w:szCs w:val="20"/>
              </w:rPr>
            </w:pPr>
            <w:r w:rsidRPr="00FC0754">
              <w:rPr>
                <w:sz w:val="20"/>
                <w:szCs w:val="20"/>
              </w:rPr>
              <w:t>Total</w:t>
            </w:r>
          </w:p>
        </w:tc>
        <w:tc>
          <w:tcPr>
            <w:tcW w:w="1481" w:type="dxa"/>
            <w:vAlign w:val="bottom"/>
          </w:tcPr>
          <w:p w14:paraId="20B117D4" w14:textId="10195C4E"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24,105,627</w:t>
            </w:r>
          </w:p>
        </w:tc>
        <w:tc>
          <w:tcPr>
            <w:tcW w:w="1482" w:type="dxa"/>
            <w:vAlign w:val="bottom"/>
          </w:tcPr>
          <w:p w14:paraId="44EBEB05" w14:textId="23C8D55E"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25,060,759</w:t>
            </w:r>
          </w:p>
        </w:tc>
        <w:tc>
          <w:tcPr>
            <w:tcW w:w="1481" w:type="dxa"/>
            <w:vAlign w:val="bottom"/>
          </w:tcPr>
          <w:p w14:paraId="29A3F1D7" w14:textId="793DED7B" w:rsidR="00DE583D" w:rsidRDefault="00DE583D" w:rsidP="0052799A">
            <w:pPr>
              <w:pStyle w:val="Tablewriting"/>
              <w:jc w:val="right"/>
            </w:pPr>
            <w:r>
              <w:rPr>
                <w:rFonts w:ascii="Calibri" w:eastAsia="Times New Roman" w:hAnsi="Calibri" w:cs="Times New Roman"/>
              </w:rPr>
              <w:t>$</w:t>
            </w:r>
            <w:r w:rsidRPr="00CE3D44">
              <w:rPr>
                <w:rFonts w:ascii="Calibri" w:eastAsia="Times New Roman" w:hAnsi="Calibri" w:cs="Times New Roman"/>
              </w:rPr>
              <w:t>26,</w:t>
            </w:r>
            <w:r>
              <w:rPr>
                <w:rFonts w:ascii="Calibri" w:eastAsia="Times New Roman" w:hAnsi="Calibri" w:cs="Times New Roman"/>
              </w:rPr>
              <w:t>740</w:t>
            </w:r>
            <w:r w:rsidRPr="00CE3D44">
              <w:rPr>
                <w:rFonts w:ascii="Calibri" w:eastAsia="Times New Roman" w:hAnsi="Calibri" w:cs="Times New Roman"/>
              </w:rPr>
              <w:t>,</w:t>
            </w:r>
            <w:r>
              <w:rPr>
                <w:rFonts w:ascii="Calibri" w:eastAsia="Times New Roman" w:hAnsi="Calibri" w:cs="Times New Roman"/>
              </w:rPr>
              <w:t>733</w:t>
            </w:r>
          </w:p>
        </w:tc>
        <w:tc>
          <w:tcPr>
            <w:tcW w:w="1482" w:type="dxa"/>
            <w:vAlign w:val="bottom"/>
          </w:tcPr>
          <w:p w14:paraId="1181827A" w14:textId="557C6B64" w:rsidR="00DE583D" w:rsidRDefault="00DE583D" w:rsidP="0052799A">
            <w:pPr>
              <w:pStyle w:val="Tablewriting"/>
              <w:jc w:val="right"/>
            </w:pPr>
            <w:r>
              <w:rPr>
                <w:rFonts w:ascii="Calibri" w:eastAsia="Times New Roman" w:hAnsi="Calibri" w:cs="Times New Roman"/>
              </w:rPr>
              <w:t>$28,66</w:t>
            </w:r>
            <w:r w:rsidRPr="00CE3D44">
              <w:rPr>
                <w:rFonts w:ascii="Calibri" w:eastAsia="Times New Roman" w:hAnsi="Calibri" w:cs="Times New Roman"/>
              </w:rPr>
              <w:t>8,289</w:t>
            </w:r>
          </w:p>
        </w:tc>
        <w:tc>
          <w:tcPr>
            <w:tcW w:w="1482" w:type="dxa"/>
            <w:vAlign w:val="bottom"/>
          </w:tcPr>
          <w:p w14:paraId="30772CBB" w14:textId="6D8842FD" w:rsidR="00DE583D" w:rsidRDefault="00DE583D" w:rsidP="0052799A">
            <w:pPr>
              <w:pStyle w:val="Tablewriting"/>
              <w:jc w:val="right"/>
            </w:pPr>
            <w:r>
              <w:rPr>
                <w:rFonts w:ascii="Calibri" w:eastAsia="Times New Roman" w:hAnsi="Calibri" w:cs="Times New Roman"/>
              </w:rPr>
              <w:t>$30,000,649</w:t>
            </w:r>
          </w:p>
        </w:tc>
      </w:tr>
      <w:tr w:rsidR="00DE583D" w14:paraId="626B1C2F" w14:textId="77777777" w:rsidTr="0052799A">
        <w:tc>
          <w:tcPr>
            <w:tcW w:w="1700" w:type="dxa"/>
            <w:shd w:val="clear" w:color="auto" w:fill="D9D9D9" w:themeFill="background1" w:themeFillShade="D9"/>
          </w:tcPr>
          <w:p w14:paraId="66115946" w14:textId="77777777" w:rsidR="00DE583D" w:rsidRPr="00FC0754" w:rsidRDefault="00DE583D" w:rsidP="0052799A">
            <w:pPr>
              <w:pStyle w:val="Tableheading"/>
              <w:rPr>
                <w:sz w:val="20"/>
                <w:szCs w:val="20"/>
              </w:rPr>
            </w:pPr>
            <w:r w:rsidRPr="00FC0754">
              <w:rPr>
                <w:sz w:val="20"/>
                <w:szCs w:val="20"/>
              </w:rPr>
              <w:t>% growth from previous year</w:t>
            </w:r>
          </w:p>
        </w:tc>
        <w:tc>
          <w:tcPr>
            <w:tcW w:w="1481" w:type="dxa"/>
            <w:vAlign w:val="bottom"/>
          </w:tcPr>
          <w:p w14:paraId="429AC00D" w14:textId="77777777" w:rsidR="00DE583D" w:rsidRDefault="00DE583D" w:rsidP="0052799A">
            <w:pPr>
              <w:pStyle w:val="Tablewriting"/>
              <w:jc w:val="right"/>
            </w:pPr>
            <w:r>
              <w:t>n/a</w:t>
            </w:r>
          </w:p>
        </w:tc>
        <w:tc>
          <w:tcPr>
            <w:tcW w:w="1482" w:type="dxa"/>
            <w:vAlign w:val="bottom"/>
          </w:tcPr>
          <w:p w14:paraId="45C68299" w14:textId="77777777" w:rsidR="00DE583D" w:rsidRDefault="00DE583D" w:rsidP="0052799A">
            <w:pPr>
              <w:pStyle w:val="Tablewriting"/>
              <w:jc w:val="right"/>
            </w:pPr>
            <w:r w:rsidRPr="00CE3D44">
              <w:rPr>
                <w:rFonts w:ascii="Calibri" w:eastAsia="Times New Roman" w:hAnsi="Calibri" w:cs="Times New Roman"/>
              </w:rPr>
              <w:t>4%</w:t>
            </w:r>
          </w:p>
        </w:tc>
        <w:tc>
          <w:tcPr>
            <w:tcW w:w="1481" w:type="dxa"/>
            <w:vAlign w:val="bottom"/>
          </w:tcPr>
          <w:p w14:paraId="6B8CF32F" w14:textId="77777777" w:rsidR="00DE583D" w:rsidRDefault="00DE583D" w:rsidP="0052799A">
            <w:pPr>
              <w:pStyle w:val="Tablewriting"/>
              <w:jc w:val="right"/>
            </w:pPr>
            <w:r>
              <w:rPr>
                <w:rFonts w:ascii="Calibri" w:eastAsia="Times New Roman" w:hAnsi="Calibri" w:cs="Times New Roman"/>
              </w:rPr>
              <w:t>7</w:t>
            </w:r>
            <w:r w:rsidRPr="00CE3D44">
              <w:rPr>
                <w:rFonts w:ascii="Calibri" w:eastAsia="Times New Roman" w:hAnsi="Calibri" w:cs="Times New Roman"/>
              </w:rPr>
              <w:t>%</w:t>
            </w:r>
          </w:p>
        </w:tc>
        <w:tc>
          <w:tcPr>
            <w:tcW w:w="1482" w:type="dxa"/>
            <w:vAlign w:val="bottom"/>
          </w:tcPr>
          <w:p w14:paraId="195A367B" w14:textId="77777777" w:rsidR="00DE583D" w:rsidRDefault="00DE583D" w:rsidP="0052799A">
            <w:pPr>
              <w:pStyle w:val="Tablewriting"/>
              <w:jc w:val="right"/>
            </w:pPr>
            <w:r>
              <w:rPr>
                <w:rFonts w:ascii="Calibri" w:eastAsia="Times New Roman" w:hAnsi="Calibri" w:cs="Times New Roman"/>
              </w:rPr>
              <w:t>7</w:t>
            </w:r>
            <w:r w:rsidRPr="00CE3D44">
              <w:rPr>
                <w:rFonts w:ascii="Calibri" w:eastAsia="Times New Roman" w:hAnsi="Calibri" w:cs="Times New Roman"/>
              </w:rPr>
              <w:t>%</w:t>
            </w:r>
          </w:p>
        </w:tc>
        <w:tc>
          <w:tcPr>
            <w:tcW w:w="1482" w:type="dxa"/>
            <w:vAlign w:val="bottom"/>
          </w:tcPr>
          <w:p w14:paraId="34E8CF72" w14:textId="77777777" w:rsidR="00DE583D" w:rsidRDefault="00DE583D" w:rsidP="0052799A">
            <w:pPr>
              <w:pStyle w:val="Tablewriting"/>
              <w:jc w:val="right"/>
            </w:pPr>
            <w:r w:rsidRPr="00CE3D44">
              <w:rPr>
                <w:rFonts w:ascii="Calibri" w:eastAsia="Times New Roman" w:hAnsi="Calibri" w:cs="Times New Roman"/>
              </w:rPr>
              <w:t>5%</w:t>
            </w:r>
          </w:p>
        </w:tc>
      </w:tr>
    </w:tbl>
    <w:p w14:paraId="422513C3" w14:textId="77777777" w:rsidR="00DE583D" w:rsidRDefault="00DE583D" w:rsidP="00DE583D">
      <w:pPr>
        <w:pStyle w:val="Notes"/>
      </w:pPr>
      <w:r>
        <w:t>Source: DUSC drug utilisation database; extracted 2 April 2015</w:t>
      </w:r>
    </w:p>
    <w:p w14:paraId="1B0968B0" w14:textId="4048533D" w:rsidR="0080323B" w:rsidRDefault="0080323B" w:rsidP="00D60536">
      <w:pPr>
        <w:pStyle w:val="Heading2"/>
      </w:pPr>
      <w:r>
        <w:t>Discussion</w:t>
      </w:r>
      <w:r w:rsidR="00166750">
        <w:t xml:space="preserve"> and DUSC consideration</w:t>
      </w:r>
    </w:p>
    <w:p w14:paraId="02CF52A4" w14:textId="7A8A5581" w:rsidR="004F7660" w:rsidRDefault="004F7660" w:rsidP="004F7660">
      <w:r w:rsidRPr="004F7660">
        <w:t>The DUSC considered that the pattern of use in relation to age and gender has not changed substantially over time. The DUSC noted the ratio of males to females is decreasing slowly over time, and considered that this change may be due to diagnostic changes. In the past ADHD tended to be diagnosed based on external behaviour more often evident in boys whereas there is now increasing recognition of internalising features that may increase diagnosis in girls.</w:t>
      </w:r>
    </w:p>
    <w:p w14:paraId="5C87C505" w14:textId="6677CC20" w:rsidR="004F7660" w:rsidRDefault="004F7660" w:rsidP="004F7660">
      <w:r>
        <w:t xml:space="preserve">The DUSC noted that almost all the growth in the number of prescriptions dispensed is accounted for by increasing use of methylphenidate. </w:t>
      </w:r>
      <w:r w:rsidR="000407F8">
        <w:t xml:space="preserve">The </w:t>
      </w:r>
      <w:r>
        <w:t xml:space="preserve">DUSC considered atomoxetine use to be low and stable. </w:t>
      </w:r>
    </w:p>
    <w:p w14:paraId="5F9E2E2D" w14:textId="4EBB6CA0" w:rsidR="004F7660" w:rsidRDefault="00E33FAC" w:rsidP="004F7660">
      <w:r>
        <w:t xml:space="preserve">The </w:t>
      </w:r>
      <w:r w:rsidR="004F7660">
        <w:t xml:space="preserve">DUSC noted that the positive recommendation for PBS listing of lisdexamfetamine  </w:t>
      </w:r>
      <w:r w:rsidR="00A76644">
        <w:t xml:space="preserve">had </w:t>
      </w:r>
      <w:r w:rsidR="004F7660">
        <w:t>not been implemented</w:t>
      </w:r>
      <w:r w:rsidR="00A76644">
        <w:t xml:space="preserve"> at the time the report was prepared</w:t>
      </w:r>
      <w:r w:rsidR="004F7660">
        <w:t>. When recommending listing, the PBAC accepted that a modest clinical need exists for alternative treatments for ADHD in children and adolescents as patient response to one treatment over another appears to be highly individualised.</w:t>
      </w:r>
    </w:p>
    <w:p w14:paraId="525E5AA0" w14:textId="77777777" w:rsidR="004F7660" w:rsidRDefault="004F7660" w:rsidP="004F7660">
      <w:r>
        <w:t xml:space="preserve">With respect to duration of therapy, the DUSC noted there is no clear guidance on how long people should remain on therapy and acknowledged that treatment would need to be withdrawn to determine whether treatment is necessary. Interpretation of measures of duration of therapy is further complicated by drug holidays (periods of intended cessation), which are often taken in children as the therapies can diminish growth velocity and cause weight loss.  </w:t>
      </w:r>
    </w:p>
    <w:p w14:paraId="27FF2968" w14:textId="2EA9DC0A" w:rsidR="004F7660" w:rsidRPr="004F7660" w:rsidRDefault="004F7660" w:rsidP="004F7660">
      <w:r>
        <w:t>The DUSC noted the methodology for co-administration relied on same day dispensing; and is therefore an underestimate of the true extent of co-administration. The DUSC acknowledged that some of the co-administration of ADHD medicines might be appropriate; for example, co-prescription of ADHD medicine with an antipsychotic (risperidone) in children with Conduct Disorder or Oppositional Defiance Disorder. The DUSC considered that some use of antidepressants in children 5 years and under might be accounted for by use of tricyclic antidepressants for bed-wetting, but some may be inappropriate. However, DUSC was concerned that there are children aged 5 years and under receiving prescriptions for an ADHD medicine and an antipsychotic medicine on the same day</w:t>
      </w:r>
      <w:r w:rsidR="00426F09">
        <w:t>.</w:t>
      </w:r>
    </w:p>
    <w:p w14:paraId="3A74B465" w14:textId="5C201DBF" w:rsidR="007346C7" w:rsidRDefault="00957837" w:rsidP="00D60536">
      <w:pPr>
        <w:pStyle w:val="Heading2"/>
      </w:pPr>
      <w:r>
        <w:t>DUSC actions</w:t>
      </w:r>
    </w:p>
    <w:p w14:paraId="74264432" w14:textId="77777777" w:rsidR="004F7660" w:rsidRPr="004F7660" w:rsidRDefault="004F7660" w:rsidP="004F7660">
      <w:pPr>
        <w:spacing w:before="240"/>
      </w:pPr>
      <w:r w:rsidRPr="004F7660">
        <w:t xml:space="preserve">The DUSC requested the report be provided to PBAC for information. </w:t>
      </w:r>
    </w:p>
    <w:p w14:paraId="75A03124" w14:textId="77777777" w:rsidR="001B50CA" w:rsidRPr="0092516A" w:rsidRDefault="001B50CA" w:rsidP="00D60536">
      <w:pPr>
        <w:pStyle w:val="Heading2"/>
      </w:pPr>
      <w:r w:rsidRPr="0092516A">
        <w:t>Context for analysis</w:t>
      </w:r>
    </w:p>
    <w:p w14:paraId="1D8A2B2A" w14:textId="77777777" w:rsidR="001B50CA" w:rsidRPr="00241E48" w:rsidRDefault="001B50CA" w:rsidP="001B50CA">
      <w:pPr>
        <w:spacing w:after="240"/>
        <w:rPr>
          <w:rFonts w:eastAsiaTheme="majorEastAsia" w:cstheme="majorBidi"/>
          <w:bCs/>
        </w:rPr>
      </w:pPr>
      <w:r w:rsidRPr="00241E48">
        <w:rPr>
          <w:rFonts w:eastAsiaTheme="majorEastAsia" w:cstheme="majorBidi"/>
          <w:bCs/>
        </w:rPr>
        <w:t>The DUSC is a Sub Committee of the Pharmaceutical Benefits Advisory Committee (PBAC). The DUSC assesses estimates on projected usage an</w:t>
      </w:r>
      <w:r>
        <w:rPr>
          <w:rFonts w:eastAsiaTheme="majorEastAsia" w:cstheme="majorBidi"/>
          <w:bCs/>
        </w:rPr>
        <w:t>d financial cost of medicines.</w:t>
      </w:r>
    </w:p>
    <w:p w14:paraId="58A6B21D" w14:textId="77777777" w:rsidR="001B50CA" w:rsidRPr="00241E48" w:rsidRDefault="001B50CA" w:rsidP="001B50CA">
      <w:pPr>
        <w:spacing w:after="240"/>
        <w:rPr>
          <w:rFonts w:eastAsiaTheme="majorEastAsia" w:cstheme="majorBidi"/>
          <w:bCs/>
        </w:rPr>
      </w:pPr>
      <w:r w:rsidRPr="00241E48">
        <w:rPr>
          <w:rFonts w:eastAsiaTheme="majorEastAsia" w:cstheme="majorBidi"/>
          <w:bCs/>
        </w:rPr>
        <w:t xml:space="preserve">The DUSC also analyses data on actual use of medicines, including the utilisation of PBS listed medicines, and provides advice to the PBAC on these matters. This may include outlining how the current utilisation of PBS medicines compares with the use as recommended by the PBAC. </w:t>
      </w:r>
    </w:p>
    <w:p w14:paraId="0E0BE3CC" w14:textId="77777777" w:rsidR="001B50CA" w:rsidRDefault="001B50CA" w:rsidP="001B50CA">
      <w:pPr>
        <w:spacing w:after="240"/>
        <w:rPr>
          <w:rFonts w:eastAsiaTheme="majorEastAsia" w:cstheme="majorBidi"/>
          <w:bCs/>
        </w:rPr>
      </w:pPr>
      <w:r w:rsidRPr="00241E48">
        <w:rPr>
          <w:rFonts w:eastAsiaTheme="majorEastAsia" w:cstheme="majorBidi"/>
          <w:bCs/>
        </w:rPr>
        <w:t>The DUSC operates in accordance with the quality use of medicines objective of the National Medicines Policy and considers that the DUSC utilisation analyses will assist consumers and health professionals to better understand the costs, benefits and risks of medicines.</w:t>
      </w:r>
    </w:p>
    <w:p w14:paraId="32A85FF2" w14:textId="77777777" w:rsidR="00C75822" w:rsidRDefault="00C75822" w:rsidP="00C75822">
      <w:pPr>
        <w:spacing w:after="0"/>
        <w:rPr>
          <w:rFonts w:eastAsiaTheme="majorEastAsia" w:cstheme="majorBidi"/>
          <w:bCs/>
        </w:rPr>
      </w:pPr>
      <w:r>
        <w:rPr>
          <w:rFonts w:eastAsiaTheme="majorEastAsia" w:cstheme="majorBidi"/>
          <w:bCs/>
        </w:rPr>
        <w:t xml:space="preserve">The </w:t>
      </w:r>
      <w:r w:rsidRPr="00CB5441">
        <w:rPr>
          <w:rFonts w:eastAsiaTheme="majorEastAsia" w:cstheme="majorBidi"/>
          <w:bCs/>
        </w:rPr>
        <w:t xml:space="preserve">utilisation </w:t>
      </w:r>
      <w:r>
        <w:rPr>
          <w:rFonts w:eastAsiaTheme="majorEastAsia" w:cstheme="majorBidi"/>
          <w:bCs/>
        </w:rPr>
        <w:t>analysis report was</w:t>
      </w:r>
      <w:r w:rsidRPr="00CB5441">
        <w:rPr>
          <w:rFonts w:eastAsiaTheme="majorEastAsia" w:cstheme="majorBidi"/>
          <w:bCs/>
        </w:rPr>
        <w:t xml:space="preserve"> provided to the pharmaceutical sponsors of each d</w:t>
      </w:r>
      <w:r>
        <w:rPr>
          <w:rFonts w:eastAsiaTheme="majorEastAsia" w:cstheme="majorBidi"/>
          <w:bCs/>
        </w:rPr>
        <w:t xml:space="preserve">rug and comments on the report </w:t>
      </w:r>
      <w:r w:rsidRPr="00CB5441">
        <w:rPr>
          <w:rFonts w:eastAsiaTheme="majorEastAsia" w:cstheme="majorBidi"/>
          <w:bCs/>
        </w:rPr>
        <w:t>were provided to DUSC</w:t>
      </w:r>
      <w:r>
        <w:rPr>
          <w:rFonts w:eastAsiaTheme="majorEastAsia" w:cstheme="majorBidi"/>
          <w:bCs/>
        </w:rPr>
        <w:t xml:space="preserve"> prior to its consideration of the analysis.</w:t>
      </w:r>
    </w:p>
    <w:p w14:paraId="44EFDCE9" w14:textId="77777777" w:rsidR="003529E0" w:rsidRDefault="003529E0" w:rsidP="00D60536">
      <w:pPr>
        <w:pStyle w:val="Heading2"/>
      </w:pPr>
      <w:r>
        <w:t>Sponsor</w:t>
      </w:r>
      <w:r w:rsidRPr="0092516A">
        <w:t>s</w:t>
      </w:r>
      <w:r>
        <w:t>’</w:t>
      </w:r>
      <w:r w:rsidRPr="0092516A">
        <w:t xml:space="preserve"> comments</w:t>
      </w:r>
    </w:p>
    <w:p w14:paraId="37BCE85F" w14:textId="4D2E2497" w:rsidR="00C90969" w:rsidRDefault="00C90969" w:rsidP="00013497">
      <w:pPr>
        <w:spacing w:after="0"/>
      </w:pPr>
      <w:r>
        <w:t>Aspen Pharma Pty Ltd</w:t>
      </w:r>
    </w:p>
    <w:p w14:paraId="7E3E8A32" w14:textId="3C992F31" w:rsidR="00C90969" w:rsidRDefault="00C90969" w:rsidP="00013497">
      <w:pPr>
        <w:spacing w:after="0"/>
      </w:pPr>
      <w:r>
        <w:t>Eli Lilly Pty Ltd</w:t>
      </w:r>
    </w:p>
    <w:p w14:paraId="2E5DF1E1" w14:textId="466E489F" w:rsidR="00C90969" w:rsidRDefault="00C90969" w:rsidP="00013497">
      <w:pPr>
        <w:spacing w:after="0"/>
      </w:pPr>
      <w:r>
        <w:t>Janssen-Cilag Pty Ltd</w:t>
      </w:r>
    </w:p>
    <w:p w14:paraId="0FE4D681" w14:textId="5A077A0A" w:rsidR="00C90969" w:rsidRDefault="00C90969" w:rsidP="00013497">
      <w:pPr>
        <w:spacing w:after="0"/>
      </w:pPr>
      <w:r>
        <w:t>Novartis Pharmaceuticals Pty Ltd</w:t>
      </w:r>
    </w:p>
    <w:p w14:paraId="3AAA4F4D" w14:textId="77777777" w:rsidR="00013497" w:rsidRDefault="00013497" w:rsidP="00013497">
      <w:pPr>
        <w:spacing w:after="0"/>
      </w:pPr>
    </w:p>
    <w:p w14:paraId="32B102A8" w14:textId="4BBFBE06" w:rsidR="00013497" w:rsidRDefault="00013497" w:rsidP="00013497">
      <w:pPr>
        <w:spacing w:after="0"/>
      </w:pPr>
      <w:r>
        <w:t>The sponsors have no comment.</w:t>
      </w:r>
    </w:p>
    <w:p w14:paraId="25D65B04" w14:textId="1B97A568" w:rsidR="00FE645A" w:rsidRDefault="00A4020E" w:rsidP="00D60536">
      <w:pPr>
        <w:pStyle w:val="Heading2"/>
      </w:pPr>
      <w:r w:rsidRPr="00A4020E">
        <w:t>Disclaimer</w:t>
      </w:r>
    </w:p>
    <w:p w14:paraId="477D7D94" w14:textId="739898AB" w:rsidR="000B268E" w:rsidRPr="000B268E" w:rsidRDefault="000B268E" w:rsidP="00367A8A">
      <w:r w:rsidRPr="000B268E">
        <w:t>The information provided in this report does not constitute medical advice and is not intended to take the place of profe</w:t>
      </w:r>
      <w:r w:rsidR="00F11CFC">
        <w:t xml:space="preserve">ssional medical advice or care.  </w:t>
      </w:r>
      <w:r w:rsidRPr="000B268E">
        <w:t>It is not intended to define what constitutes reasonable, appropriate or best care for any individual for any given health issue.</w:t>
      </w:r>
      <w:r w:rsidR="00E628EA">
        <w:t xml:space="preserve">  </w:t>
      </w:r>
      <w:r w:rsidRPr="000B268E">
        <w:t>The information should not be used as a substitute for the judgement and skill of a medical practitioner.</w:t>
      </w:r>
    </w:p>
    <w:p w14:paraId="34477926" w14:textId="601956EB" w:rsidR="000B268E" w:rsidRDefault="000B268E" w:rsidP="00367A8A">
      <w:r w:rsidRPr="000B268E">
        <w:t>The Department of Health (DoH) has made all reasonable efforts to ensure that information provided in this report is accurate. The information provided in this report was up-to-date when it was considered by the Drug Utilisation Sub-committee of the Pharmaceutic</w:t>
      </w:r>
      <w:r w:rsidR="00F11CFC">
        <w:t xml:space="preserve">al Benefits Advisory Committee.  </w:t>
      </w:r>
      <w:r w:rsidRPr="000B268E">
        <w:t>The context for that information may have changed since publication.</w:t>
      </w:r>
    </w:p>
    <w:p w14:paraId="34FF6D3D" w14:textId="77777777" w:rsidR="000B268E" w:rsidRPr="000B268E" w:rsidRDefault="000B268E" w:rsidP="00367A8A">
      <w:r w:rsidRPr="000B268E">
        <w:t xml:space="preserve">To the extent provided by law, DoH makes no warranties or representations as to accuracy or completeness of information contained in this report. </w:t>
      </w:r>
    </w:p>
    <w:p w14:paraId="1F8EAE28" w14:textId="460E8D1C" w:rsidR="005C4023" w:rsidRDefault="000B268E" w:rsidP="00367A8A">
      <w:r w:rsidRPr="000B268E">
        <w:t>To the fullest extent permitted by law, neither the DoH nor any DoH employee is liable for any liability, loss, claim, damage, expense, injury or personal injury (including death), whether direct or indirect (including consequential loss and loss of profits) and however incurred (including in tort), caused or contributed to by any person’s use or misuse of the information available from this report or contained on any third party website referred to in this report.</w:t>
      </w:r>
    </w:p>
    <w:p w14:paraId="4293FAAD" w14:textId="4204A81F" w:rsidR="002B64EF" w:rsidRDefault="002B64EF">
      <w:pPr>
        <w:spacing w:line="276" w:lineRule="auto"/>
      </w:pPr>
      <w:r>
        <w:br w:type="page"/>
      </w:r>
    </w:p>
    <w:p w14:paraId="2823948A" w14:textId="77777777" w:rsidR="002B64EF" w:rsidRDefault="002B64EF" w:rsidP="002B64EF">
      <w:pPr>
        <w:pStyle w:val="Heading1"/>
      </w:pPr>
      <w:r>
        <w:t>Appendix A: Summary of state and territory r</w:t>
      </w:r>
      <w:r w:rsidRPr="004A0240">
        <w:t>egulations for</w:t>
      </w:r>
      <w:r>
        <w:t xml:space="preserve"> the</w:t>
      </w:r>
      <w:r w:rsidRPr="004A0240">
        <w:t xml:space="preserve"> prescribing of </w:t>
      </w:r>
      <w:r>
        <w:t>psychostimulants</w:t>
      </w:r>
    </w:p>
    <w:p w14:paraId="780640CE" w14:textId="77777777" w:rsidR="002B64EF" w:rsidRPr="00EE6F58" w:rsidRDefault="002B64EF" w:rsidP="002B64EF">
      <w:pPr>
        <w:rPr>
          <w:rFonts w:cs="Arial"/>
          <w:i/>
        </w:rPr>
      </w:pPr>
      <w:r>
        <w:t>Under the Standard for the Uniform Scheduling of Medicines and Poisons (SUSMP), dexamphetamine and methylphenidate are Schedule 8 drugs or poisons, also known as controlled drugs. Schedule 8 drugs have high potential for abuse and addiction. Their prescribing is tightly regulated and monitored, but regulations vary between the states and territories. A summary of these regulations is presented below, with more detailed information by state/territory in Table A.1</w:t>
      </w:r>
      <w:r w:rsidRPr="00486436">
        <w:t>.</w:t>
      </w:r>
      <w:r>
        <w:t xml:space="preserve"> </w:t>
      </w:r>
    </w:p>
    <w:p w14:paraId="22F11467" w14:textId="77777777" w:rsidR="002B64EF" w:rsidRDefault="002B64EF" w:rsidP="002B64EF">
      <w:r>
        <w:t xml:space="preserve">Most Australian states and territories restrict the prescribing of methylphenidate and dexamphetamine for the treatment of ADHD to specialist medical practitioners, including psychiatrists, neurologists and paediatricians. These specialist prescribers are generally required to obtain prior authorisation from the relevant state or territory regulatory body for each patient. Prescribing of psychostimulants to patients under the age of 2 years is generally prohibited, and there are usually additional regulatory requirements to prescribe psychostimulants to patients aged 2 or 3 years, such as requiring a second specialist opinion and/or review by an expert committee. </w:t>
      </w:r>
    </w:p>
    <w:p w14:paraId="15A866BF" w14:textId="77777777" w:rsidR="002B64EF" w:rsidRDefault="002B64EF" w:rsidP="002B64EF">
      <w:r>
        <w:t>There are some variations and exceptions to the regulatory requirements between states and territories. For example, some jurisdictions:</w:t>
      </w:r>
    </w:p>
    <w:p w14:paraId="787A711E" w14:textId="77777777" w:rsidR="002B64EF" w:rsidRDefault="002B64EF" w:rsidP="002B64EF">
      <w:pPr>
        <w:pStyle w:val="ListParagraph"/>
        <w:numPr>
          <w:ilvl w:val="0"/>
          <w:numId w:val="15"/>
        </w:numPr>
      </w:pPr>
      <w:r>
        <w:t xml:space="preserve">Allow GPs to continue prescribing psychostimulants where treatment was initiated by an appropriate specialist and there is periodic review by a specialist. </w:t>
      </w:r>
    </w:p>
    <w:p w14:paraId="0C5293E6" w14:textId="77777777" w:rsidR="002B64EF" w:rsidRDefault="002B64EF" w:rsidP="002B64EF">
      <w:pPr>
        <w:pStyle w:val="ListParagraph"/>
        <w:numPr>
          <w:ilvl w:val="0"/>
          <w:numId w:val="15"/>
        </w:numPr>
      </w:pPr>
      <w:r>
        <w:t>Allow authorised specialists to prescribe psychostimulants without making an application for each patient, but they may be required to provide notifications of treatment and monthly data on prescribing.</w:t>
      </w:r>
    </w:p>
    <w:p w14:paraId="570085BE" w14:textId="77777777" w:rsidR="002B64EF" w:rsidRDefault="002B64EF" w:rsidP="002B64EF">
      <w:pPr>
        <w:pStyle w:val="ListParagraph"/>
        <w:numPr>
          <w:ilvl w:val="0"/>
          <w:numId w:val="15"/>
        </w:numPr>
      </w:pPr>
      <w:r>
        <w:t xml:space="preserve">Limit the number of patients a practitioner may treat with psychostimulants, without an additional authorisation. </w:t>
      </w:r>
    </w:p>
    <w:p w14:paraId="4A17A3CA" w14:textId="77777777" w:rsidR="002B64EF" w:rsidRPr="00E41168" w:rsidRDefault="002B64EF" w:rsidP="002B64EF">
      <w:pPr>
        <w:pStyle w:val="ListParagraph"/>
        <w:numPr>
          <w:ilvl w:val="0"/>
          <w:numId w:val="15"/>
        </w:numPr>
      </w:pPr>
      <w:r>
        <w:t>Allow treatment on a short term basis without an authority, usually only for 1–2 months.</w:t>
      </w:r>
    </w:p>
    <w:p w14:paraId="07F34717" w14:textId="77777777" w:rsidR="002B64EF" w:rsidRDefault="002B64EF" w:rsidP="002B64EF">
      <w:pPr>
        <w:spacing w:before="40" w:after="40"/>
        <w:rPr>
          <w:rFonts w:cs="Arial"/>
        </w:rPr>
      </w:pPr>
      <w:r>
        <w:rPr>
          <w:rFonts w:cs="Arial"/>
        </w:rPr>
        <w:t xml:space="preserve">Guidelines are also provided at the state and territory level with respect to the dosing of methylphenidate and dexamphetamine, with some jurisdictions restricting the maximum dose that can be prescribed (see Table A.2). Regulations and guidelines usually stipulate that patients should be initiated on the lowest practicable dose, with doses titrated according to the patient’s needs. State regulations may also limit the number of prescriptions for psychostimulants that may be dispensed to a patient at any one time, or the number of months’ supply that may be prescribed, or the period of validity of prescriptions. </w:t>
      </w:r>
    </w:p>
    <w:p w14:paraId="1AFAF481" w14:textId="77777777" w:rsidR="002B64EF" w:rsidRDefault="002B64EF" w:rsidP="002B64EF">
      <w:pPr>
        <w:spacing w:before="40" w:after="40"/>
        <w:rPr>
          <w:rFonts w:cs="Arial"/>
          <w:b/>
        </w:rPr>
      </w:pPr>
    </w:p>
    <w:p w14:paraId="2882C6B7" w14:textId="77777777" w:rsidR="002B64EF" w:rsidRDefault="002B64EF" w:rsidP="002B64EF">
      <w:pPr>
        <w:spacing w:before="40" w:after="40"/>
        <w:rPr>
          <w:rFonts w:cs="Arial"/>
          <w:b/>
        </w:rPr>
        <w:sectPr w:rsidR="002B64EF" w:rsidSect="002B64EF">
          <w:headerReference w:type="default" r:id="rId30"/>
          <w:footerReference w:type="default" r:id="rId31"/>
          <w:footnotePr>
            <w:numFmt w:val="lowerRoman"/>
          </w:footnotePr>
          <w:endnotePr>
            <w:numFmt w:val="decimal"/>
          </w:endnotePr>
          <w:pgSz w:w="11907" w:h="16840" w:code="9"/>
          <w:pgMar w:top="1247" w:right="1134" w:bottom="1247" w:left="1701" w:header="709" w:footer="567" w:gutter="0"/>
          <w:cols w:space="720"/>
          <w:docGrid w:linePitch="360"/>
        </w:sectPr>
      </w:pPr>
    </w:p>
    <w:p w14:paraId="3C0E29C1" w14:textId="77777777" w:rsidR="002B64EF" w:rsidRPr="006F24F6" w:rsidRDefault="002B64EF" w:rsidP="002B64EF">
      <w:pPr>
        <w:pStyle w:val="Tabletitle"/>
      </w:pPr>
      <w:bookmarkStart w:id="10" w:name="_Ref318381813"/>
      <w:r>
        <w:t>Table A.1. Summary of state and t</w:t>
      </w:r>
      <w:r w:rsidRPr="006F24F6">
        <w:t>erritory regulations for prescribing stimulant medications</w:t>
      </w:r>
      <w:bookmarkEnd w:id="10"/>
    </w:p>
    <w:tbl>
      <w:tblPr>
        <w:tblW w:w="13906"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12659"/>
      </w:tblGrid>
      <w:tr w:rsidR="002B64EF" w:rsidRPr="00D63C45" w14:paraId="41E2249D" w14:textId="77777777" w:rsidTr="002B64EF">
        <w:trPr>
          <w:trHeight w:val="283"/>
        </w:trPr>
        <w:tc>
          <w:tcPr>
            <w:tcW w:w="923" w:type="dxa"/>
            <w:shd w:val="clear" w:color="auto" w:fill="D9D9D9" w:themeFill="background1" w:themeFillShade="D9"/>
            <w:hideMark/>
          </w:tcPr>
          <w:p w14:paraId="0664B1B3" w14:textId="77777777" w:rsidR="002B64EF" w:rsidRPr="00F47CF0" w:rsidRDefault="002B64EF" w:rsidP="002B64EF">
            <w:pPr>
              <w:pStyle w:val="Tableheading"/>
            </w:pPr>
            <w:r w:rsidRPr="00F47CF0">
              <w:t>State</w:t>
            </w:r>
          </w:p>
        </w:tc>
        <w:tc>
          <w:tcPr>
            <w:tcW w:w="12983" w:type="dxa"/>
            <w:shd w:val="clear" w:color="auto" w:fill="D9D9D9" w:themeFill="background1" w:themeFillShade="D9"/>
            <w:hideMark/>
          </w:tcPr>
          <w:p w14:paraId="6001D8AC" w14:textId="77777777" w:rsidR="002B64EF" w:rsidRPr="00F47CF0" w:rsidRDefault="002B64EF" w:rsidP="002B64EF">
            <w:pPr>
              <w:pStyle w:val="Tableheading"/>
              <w:rPr>
                <w:rFonts w:eastAsiaTheme="majorEastAsia"/>
                <w:color w:val="365F91" w:themeColor="accent1" w:themeShade="BF"/>
              </w:rPr>
            </w:pPr>
            <w:r w:rsidRPr="00F47CF0">
              <w:t>Summary of Regulations</w:t>
            </w:r>
          </w:p>
        </w:tc>
      </w:tr>
      <w:tr w:rsidR="002B64EF" w:rsidRPr="00D63C45" w14:paraId="62A312E3" w14:textId="77777777" w:rsidTr="002B64EF">
        <w:trPr>
          <w:trHeight w:val="1891"/>
        </w:trPr>
        <w:tc>
          <w:tcPr>
            <w:tcW w:w="923" w:type="dxa"/>
            <w:shd w:val="clear" w:color="auto" w:fill="auto"/>
            <w:hideMark/>
          </w:tcPr>
          <w:p w14:paraId="1BA3649E" w14:textId="77777777" w:rsidR="002B64EF" w:rsidRPr="00D63C45" w:rsidRDefault="002B64EF" w:rsidP="002B64EF">
            <w:pPr>
              <w:pStyle w:val="Tablewriting"/>
              <w:rPr>
                <w:vertAlign w:val="superscript"/>
              </w:rPr>
            </w:pPr>
            <w:r>
              <w:t>ACT</w:t>
            </w:r>
            <w:r>
              <w:rPr>
                <w:rStyle w:val="EndnoteReference"/>
              </w:rPr>
              <w:endnoteReference w:id="26"/>
            </w:r>
            <w:r w:rsidRPr="00C47967">
              <w:rPr>
                <w:vertAlign w:val="superscript"/>
              </w:rPr>
              <w:t>;</w:t>
            </w:r>
            <w:r>
              <w:rPr>
                <w:rStyle w:val="EndnoteReference"/>
              </w:rPr>
              <w:endnoteReference w:id="27"/>
            </w:r>
          </w:p>
        </w:tc>
        <w:tc>
          <w:tcPr>
            <w:tcW w:w="12983" w:type="dxa"/>
            <w:shd w:val="clear" w:color="auto" w:fill="auto"/>
            <w:hideMark/>
          </w:tcPr>
          <w:p w14:paraId="6657C31C" w14:textId="77777777" w:rsidR="002B64EF" w:rsidRDefault="002B64EF" w:rsidP="002B64EF">
            <w:pPr>
              <w:pStyle w:val="Tablewriting"/>
            </w:pPr>
            <w:r w:rsidRPr="00D63C45">
              <w:t xml:space="preserve">A prescriber must have either an approval from the Chief Health Officer </w:t>
            </w:r>
            <w:r>
              <w:t xml:space="preserve">(CHO) for each patient, </w:t>
            </w:r>
            <w:r w:rsidRPr="00D63C45">
              <w:t>or a standing approval to prescribe a controlled medicine such as methylphenidate.</w:t>
            </w:r>
            <w:r>
              <w:t xml:space="preserve"> </w:t>
            </w:r>
          </w:p>
          <w:p w14:paraId="4FE4EE79" w14:textId="77777777" w:rsidR="002B64EF" w:rsidRDefault="002B64EF" w:rsidP="002B64EF">
            <w:pPr>
              <w:pStyle w:val="Tablewriting"/>
            </w:pPr>
            <w:r w:rsidRPr="009C1530">
              <w:rPr>
                <w:u w:val="single"/>
              </w:rPr>
              <w:t>CHO Approval</w:t>
            </w:r>
            <w:r>
              <w:t xml:space="preserve">: With regard to ADHD medicines, a prescriber must obtain a CHO approval when they intend to prescribe a controlled medicine for &gt;2 months to a patient, or where the patient has been prescribed a controlled medicine in the last 2 months. </w:t>
            </w:r>
            <w:r w:rsidRPr="00D63C45">
              <w:t xml:space="preserve">Prescriptions must be annotated with the details of the </w:t>
            </w:r>
            <w:r>
              <w:t>CHO approval number</w:t>
            </w:r>
            <w:r w:rsidRPr="00D63C45">
              <w:t>.</w:t>
            </w:r>
            <w:r>
              <w:t xml:space="preserve"> Another doctor at the same clinic may prescribe under the relevant CHO approval for a patient.</w:t>
            </w:r>
          </w:p>
          <w:p w14:paraId="1C9D87FA" w14:textId="77777777" w:rsidR="002B64EF" w:rsidRDefault="002B64EF" w:rsidP="002B64EF">
            <w:pPr>
              <w:pStyle w:val="Tablewriting"/>
            </w:pPr>
            <w:r>
              <w:t>Certain criteria must be met for a CHO approval to be issued for the prescription of amphetamines for the treatment of ADHD:</w:t>
            </w:r>
          </w:p>
          <w:p w14:paraId="62764A80" w14:textId="77777777" w:rsidR="002B64EF" w:rsidRDefault="002B64EF" w:rsidP="002B64EF">
            <w:pPr>
              <w:pStyle w:val="Tablewriting"/>
              <w:numPr>
                <w:ilvl w:val="0"/>
                <w:numId w:val="14"/>
              </w:numPr>
            </w:pPr>
            <w:r>
              <w:t>Patients under 4 years: Initial applications must be submitted by a paediatrician, appropriate psychiatrist or neurologist, and supported by a second clinician from these specialities. Continuing applications should be submitted by the initiating specialist.</w:t>
            </w:r>
          </w:p>
          <w:p w14:paraId="6F14F1AE" w14:textId="77777777" w:rsidR="002B64EF" w:rsidRDefault="002B64EF" w:rsidP="002B64EF">
            <w:pPr>
              <w:pStyle w:val="Tablewriting"/>
              <w:numPr>
                <w:ilvl w:val="0"/>
                <w:numId w:val="14"/>
              </w:numPr>
            </w:pPr>
            <w:r>
              <w:t>Patients aged 4–19 years: Initial applications must be submitted by a paediatrician, appropriate psychiatrist or neurologist. Continuing applications may be submitted by a GP if the treatment has been reviewed by an appropriate specialist within 2 years.</w:t>
            </w:r>
          </w:p>
          <w:p w14:paraId="1188909B" w14:textId="77777777" w:rsidR="002B64EF" w:rsidRDefault="002B64EF" w:rsidP="002B64EF">
            <w:pPr>
              <w:pStyle w:val="Tablewriting"/>
              <w:numPr>
                <w:ilvl w:val="0"/>
                <w:numId w:val="14"/>
              </w:numPr>
            </w:pPr>
            <w:r>
              <w:t>Patients over 19 years: Initial applications must be submitted by a neurologist or psychiatrist. Continuing applications may be submitted by a GP if the treatment has been reviewed by an appropriate specialist within 3 years, and there is no increase in dosage.</w:t>
            </w:r>
          </w:p>
          <w:p w14:paraId="3F204F78" w14:textId="77777777" w:rsidR="002B64EF" w:rsidRDefault="002B64EF" w:rsidP="002B64EF">
            <w:pPr>
              <w:pStyle w:val="Tablewriting"/>
            </w:pPr>
            <w:r w:rsidRPr="00E76598">
              <w:rPr>
                <w:u w:val="single"/>
              </w:rPr>
              <w:t>Standing Approval</w:t>
            </w:r>
            <w:r>
              <w:t xml:space="preserve">: </w:t>
            </w:r>
            <w:r w:rsidRPr="00D63C45">
              <w:t xml:space="preserve">A standing approval means that a prescriber is automatically authorised to prescribe </w:t>
            </w:r>
            <w:r>
              <w:t xml:space="preserve">a controlled substance and applies where </w:t>
            </w:r>
            <w:r w:rsidRPr="00D63C45">
              <w:t>the patient is an in-patient at a hospital or hospice, or</w:t>
            </w:r>
            <w:r>
              <w:t xml:space="preserve"> a CHO approval is not required (see requirements above)</w:t>
            </w:r>
            <w:r w:rsidRPr="00D63C45">
              <w:t>.</w:t>
            </w:r>
            <w:r>
              <w:t xml:space="preserve"> The Standing approval process allows timely initiation of treatment and dose titration prior to seeking CHO approval for a patient. Except for in-patients, prescriptions must be annotated, e.g. with the words ‘Standing short term approval’.</w:t>
            </w:r>
          </w:p>
          <w:p w14:paraId="55957B2B" w14:textId="77777777" w:rsidR="002B64EF" w:rsidRPr="00F47CF0" w:rsidRDefault="002B64EF" w:rsidP="002B64EF">
            <w:pPr>
              <w:pStyle w:val="Tablewriting"/>
              <w:rPr>
                <w:lang w:eastAsia="en-US"/>
              </w:rPr>
            </w:pPr>
            <w:r w:rsidRPr="00F47CF0">
              <w:t>Legislation:</w:t>
            </w:r>
            <w:r>
              <w:rPr>
                <w:i/>
              </w:rPr>
              <w:t xml:space="preserve"> </w:t>
            </w:r>
            <w:r w:rsidRPr="00F47CF0">
              <w:rPr>
                <w:i/>
              </w:rPr>
              <w:t>Medicines, Poisons and Therapeutic Goods Act 2008</w:t>
            </w:r>
            <w:r>
              <w:t xml:space="preserve"> and the Medicines, Poisons and Therapeutic Goods Regulation 2008.</w:t>
            </w:r>
          </w:p>
        </w:tc>
      </w:tr>
      <w:tr w:rsidR="002B64EF" w:rsidRPr="00D63C45" w14:paraId="5D307ABA" w14:textId="77777777" w:rsidTr="002B64EF">
        <w:trPr>
          <w:trHeight w:val="2415"/>
        </w:trPr>
        <w:tc>
          <w:tcPr>
            <w:tcW w:w="923" w:type="dxa"/>
            <w:shd w:val="clear" w:color="auto" w:fill="auto"/>
            <w:hideMark/>
          </w:tcPr>
          <w:p w14:paraId="25186861" w14:textId="77777777" w:rsidR="002B64EF" w:rsidRDefault="002B64EF" w:rsidP="002B64EF">
            <w:pPr>
              <w:pStyle w:val="Tablewriting"/>
            </w:pPr>
            <w:r>
              <w:t>NSW</w:t>
            </w:r>
            <w:r>
              <w:rPr>
                <w:rStyle w:val="EndnoteReference"/>
              </w:rPr>
              <w:endnoteReference w:id="28"/>
            </w:r>
            <w:r w:rsidRPr="00471E82">
              <w:rPr>
                <w:vertAlign w:val="superscript"/>
              </w:rPr>
              <w:t>;</w:t>
            </w:r>
            <w:r>
              <w:rPr>
                <w:rStyle w:val="EndnoteReference"/>
              </w:rPr>
              <w:endnoteReference w:id="29"/>
            </w:r>
            <w:r w:rsidRPr="00471E82">
              <w:rPr>
                <w:vertAlign w:val="superscript"/>
              </w:rPr>
              <w:t>;</w:t>
            </w:r>
            <w:bookmarkStart w:id="11" w:name="_Ref418678000"/>
            <w:r>
              <w:rPr>
                <w:rStyle w:val="EndnoteReference"/>
              </w:rPr>
              <w:endnoteReference w:id="30"/>
            </w:r>
            <w:bookmarkEnd w:id="11"/>
            <w:r w:rsidRPr="00B418E7">
              <w:rPr>
                <w:vertAlign w:val="superscript"/>
              </w:rPr>
              <w:t>;</w:t>
            </w:r>
            <w:bookmarkStart w:id="12" w:name="_Ref418678024"/>
            <w:r>
              <w:rPr>
                <w:rStyle w:val="EndnoteReference"/>
              </w:rPr>
              <w:endnoteReference w:id="31"/>
            </w:r>
            <w:bookmarkEnd w:id="12"/>
            <w:r>
              <w:t xml:space="preserve">  </w:t>
            </w:r>
          </w:p>
          <w:p w14:paraId="346929E1" w14:textId="77777777" w:rsidR="002B64EF" w:rsidRDefault="002B64EF" w:rsidP="002B64EF">
            <w:pPr>
              <w:pStyle w:val="Tablewriting"/>
            </w:pPr>
          </w:p>
          <w:p w14:paraId="41787202" w14:textId="77777777" w:rsidR="002B64EF" w:rsidRPr="00D63C45" w:rsidRDefault="002B64EF" w:rsidP="002B64EF">
            <w:pPr>
              <w:pStyle w:val="Tablewriting"/>
              <w:rPr>
                <w:vertAlign w:val="superscript"/>
              </w:rPr>
            </w:pPr>
          </w:p>
        </w:tc>
        <w:tc>
          <w:tcPr>
            <w:tcW w:w="12983" w:type="dxa"/>
            <w:shd w:val="clear" w:color="auto" w:fill="auto"/>
            <w:hideMark/>
          </w:tcPr>
          <w:p w14:paraId="44BA8554" w14:textId="77777777" w:rsidR="002B64EF" w:rsidRDefault="002B64EF" w:rsidP="002B64EF">
            <w:pPr>
              <w:pStyle w:val="Tablewriting"/>
              <w:rPr>
                <w:u w:val="single"/>
              </w:rPr>
            </w:pPr>
            <w:r>
              <w:t xml:space="preserve">Dexamphetamine, </w:t>
            </w:r>
            <w:r w:rsidRPr="00D63C45">
              <w:t>methylphenidate</w:t>
            </w:r>
            <w:r>
              <w:t xml:space="preserve"> and lisdexamphetamine</w:t>
            </w:r>
            <w:r w:rsidRPr="00D63C45">
              <w:t xml:space="preserve"> may </w:t>
            </w:r>
            <w:r>
              <w:t xml:space="preserve">be prescribed only </w:t>
            </w:r>
            <w:r w:rsidRPr="00D63C45">
              <w:t xml:space="preserve">with the prior written authority of the NSW </w:t>
            </w:r>
            <w:r>
              <w:t>Ministry of Health.</w:t>
            </w:r>
          </w:p>
          <w:p w14:paraId="4299AFBF" w14:textId="77777777" w:rsidR="002B64EF" w:rsidRPr="00271726" w:rsidRDefault="002B64EF" w:rsidP="002B64EF">
            <w:pPr>
              <w:pStyle w:val="Tablewriting"/>
              <w:rPr>
                <w:rFonts w:eastAsiaTheme="majorEastAsia"/>
                <w:color w:val="4F81BD" w:themeColor="accent1"/>
              </w:rPr>
            </w:pPr>
            <w:r w:rsidRPr="003D7978">
              <w:rPr>
                <w:u w:val="single"/>
              </w:rPr>
              <w:t>Authorities for individual patients</w:t>
            </w:r>
            <w:r>
              <w:t>: Authorities for individual patients are only issued to relevant specialists, usually paediatricians, psychiatrists and neurologists for the treatment of ADHD, but some GPs may also apply. Authorities to prescribe psychostimulants for the treatment of ADHD are only issued in accordance with the TG 181 ‘Criteria for the Diagnosis and Management of Attention Deficit Hyperactivity Disorder in Children and Adolescents’</w:t>
            </w:r>
            <w:r w:rsidRPr="00464260">
              <w:rPr>
                <w:vertAlign w:val="superscript"/>
              </w:rPr>
              <w:fldChar w:fldCharType="begin"/>
            </w:r>
            <w:r w:rsidRPr="00464260">
              <w:rPr>
                <w:vertAlign w:val="superscript"/>
              </w:rPr>
              <w:instrText xml:space="preserve"> NOTEREF _Ref418678000 \h </w:instrText>
            </w:r>
            <w:r>
              <w:rPr>
                <w:vertAlign w:val="superscript"/>
              </w:rPr>
              <w:instrText xml:space="preserve"> \* MERGEFORMAT </w:instrText>
            </w:r>
            <w:r w:rsidRPr="00464260">
              <w:rPr>
                <w:vertAlign w:val="superscript"/>
              </w:rPr>
            </w:r>
            <w:r w:rsidRPr="00464260">
              <w:rPr>
                <w:vertAlign w:val="superscript"/>
              </w:rPr>
              <w:fldChar w:fldCharType="separate"/>
            </w:r>
            <w:r>
              <w:rPr>
                <w:vertAlign w:val="superscript"/>
              </w:rPr>
              <w:t>28</w:t>
            </w:r>
            <w:r w:rsidRPr="00464260">
              <w:rPr>
                <w:vertAlign w:val="superscript"/>
              </w:rPr>
              <w:fldChar w:fldCharType="end"/>
            </w:r>
            <w:r>
              <w:t xml:space="preserve"> and TG 190 ‘Criteria for the Diagnosis and Management of Attention Deficit Hyperactivity Disorder in Adults’.</w:t>
            </w:r>
            <w:r w:rsidRPr="00464260">
              <w:rPr>
                <w:vertAlign w:val="superscript"/>
              </w:rPr>
              <w:fldChar w:fldCharType="begin"/>
            </w:r>
            <w:r w:rsidRPr="00464260">
              <w:rPr>
                <w:vertAlign w:val="superscript"/>
              </w:rPr>
              <w:instrText xml:space="preserve"> NOTEREF _Ref418678024 \h </w:instrText>
            </w:r>
            <w:r>
              <w:rPr>
                <w:vertAlign w:val="superscript"/>
              </w:rPr>
              <w:instrText xml:space="preserve"> \* MERGEFORMAT </w:instrText>
            </w:r>
            <w:r w:rsidRPr="00464260">
              <w:rPr>
                <w:vertAlign w:val="superscript"/>
              </w:rPr>
            </w:r>
            <w:r w:rsidRPr="00464260">
              <w:rPr>
                <w:vertAlign w:val="superscript"/>
              </w:rPr>
              <w:fldChar w:fldCharType="separate"/>
            </w:r>
            <w:r>
              <w:rPr>
                <w:vertAlign w:val="superscript"/>
              </w:rPr>
              <w:t>29</w:t>
            </w:r>
            <w:r w:rsidRPr="00464260">
              <w:rPr>
                <w:vertAlign w:val="superscript"/>
              </w:rPr>
              <w:fldChar w:fldCharType="end"/>
            </w:r>
            <w:r>
              <w:t xml:space="preserve"> Authorities are not granted for children under 2 years of age and there are additional regulatory requirements for children aged 2–3 years.</w:t>
            </w:r>
          </w:p>
          <w:p w14:paraId="1CF81020" w14:textId="77777777" w:rsidR="002B64EF" w:rsidRDefault="002B64EF" w:rsidP="002B64EF">
            <w:pPr>
              <w:pStyle w:val="Tablewriting"/>
            </w:pPr>
            <w:r w:rsidRPr="003D7978">
              <w:rPr>
                <w:u w:val="single"/>
              </w:rPr>
              <w:t>General authorities for specialists</w:t>
            </w:r>
            <w:r>
              <w:t xml:space="preserve">: Psychiatrists, neurologists and paediatricians may apply for a general authority number (S28c </w:t>
            </w:r>
            <w:r w:rsidRPr="00D63C45">
              <w:t>number</w:t>
            </w:r>
            <w:r>
              <w:t>)</w:t>
            </w:r>
            <w:r w:rsidRPr="00D63C45">
              <w:t xml:space="preserve"> </w:t>
            </w:r>
            <w:r>
              <w:t xml:space="preserve">to </w:t>
            </w:r>
            <w:r w:rsidRPr="00D63C45">
              <w:t xml:space="preserve">prescribe psychostimulant medication </w:t>
            </w:r>
            <w:r>
              <w:t xml:space="preserve">for the treatment of ADHD. These prescribers </w:t>
            </w:r>
            <w:r w:rsidRPr="00D63C45">
              <w:t>must notify the</w:t>
            </w:r>
            <w:r>
              <w:t xml:space="preserve"> Ministry of their psychostimulant prescribing on a monthly basis</w:t>
            </w:r>
            <w:r w:rsidRPr="00D63C45">
              <w:t>.</w:t>
            </w:r>
            <w:r>
              <w:t xml:space="preserve"> Individual patient applications must still be made for patients who do not meet the routine prescribing criteria (e.g. age under 4 years, higher dosage than the specified range, history of substance abuse, or significant co-morbidities or side-effects).</w:t>
            </w:r>
          </w:p>
          <w:p w14:paraId="738F5804" w14:textId="77777777" w:rsidR="002B64EF" w:rsidRPr="00D63C45" w:rsidRDefault="002B64EF" w:rsidP="002B64EF">
            <w:pPr>
              <w:pStyle w:val="Tablewriting"/>
            </w:pPr>
            <w:r>
              <w:t xml:space="preserve">Legislation: </w:t>
            </w:r>
            <w:r w:rsidRPr="00E9439C">
              <w:rPr>
                <w:i/>
              </w:rPr>
              <w:t>Poisons and Therapeutic Goods Act 1966</w:t>
            </w:r>
            <w:r>
              <w:t xml:space="preserve"> and the Poisons and Therapeutic Goods Regulation 2008.</w:t>
            </w:r>
          </w:p>
        </w:tc>
      </w:tr>
      <w:tr w:rsidR="002B64EF" w:rsidRPr="00D63C45" w14:paraId="196F8421" w14:textId="77777777" w:rsidTr="002B64EF">
        <w:trPr>
          <w:trHeight w:val="1215"/>
        </w:trPr>
        <w:tc>
          <w:tcPr>
            <w:tcW w:w="923" w:type="dxa"/>
            <w:shd w:val="clear" w:color="auto" w:fill="auto"/>
            <w:hideMark/>
          </w:tcPr>
          <w:p w14:paraId="27E1135B" w14:textId="77777777" w:rsidR="002B64EF" w:rsidRDefault="002B64EF" w:rsidP="002B64EF">
            <w:pPr>
              <w:pStyle w:val="Tablewriting"/>
            </w:pPr>
            <w:r w:rsidRPr="00D63C45">
              <w:t>NT</w:t>
            </w:r>
            <w:r>
              <w:rPr>
                <w:rStyle w:val="EndnoteReference"/>
              </w:rPr>
              <w:endnoteReference w:id="32"/>
            </w:r>
            <w:r w:rsidRPr="00471E82">
              <w:rPr>
                <w:vertAlign w:val="superscript"/>
              </w:rPr>
              <w:t>;</w:t>
            </w:r>
            <w:r>
              <w:rPr>
                <w:rStyle w:val="EndnoteReference"/>
              </w:rPr>
              <w:endnoteReference w:id="33"/>
            </w:r>
          </w:p>
          <w:p w14:paraId="00B03F1D" w14:textId="77777777" w:rsidR="002B64EF" w:rsidRPr="00D63C45" w:rsidRDefault="002B64EF" w:rsidP="002B64EF">
            <w:pPr>
              <w:pStyle w:val="Tablewriting"/>
              <w:rPr>
                <w:vertAlign w:val="superscript"/>
              </w:rPr>
            </w:pPr>
          </w:p>
        </w:tc>
        <w:tc>
          <w:tcPr>
            <w:tcW w:w="12983" w:type="dxa"/>
            <w:shd w:val="clear" w:color="auto" w:fill="auto"/>
            <w:hideMark/>
          </w:tcPr>
          <w:p w14:paraId="0471DFBB" w14:textId="77777777" w:rsidR="002B64EF" w:rsidRDefault="002B64EF" w:rsidP="002B64EF">
            <w:pPr>
              <w:pStyle w:val="Tablewriting"/>
            </w:pPr>
            <w:r>
              <w:t>Authorisation from the CHO is required for each patient before dexamphetamine, lisdexamphetamine or methylphenidate is prescribed. Treatment must be initiated by a paediatrician, psychiatrist, physician, neurologist, or registrar in training in one of these disciplines. Other medical practitioners and nurse practitioners (NP) may continue the supply of these medicines, but the patient must see an appropriate specialist or registrar every 2 years. If the specialist is based interstate or overseas, a medical practitioner or NP may continue to supply the relevant medicine for up to 6 months, before review by an appropriate NT based specialist or registrar. Paediatricians may initiate supply without an authorisation if the supply is for less than 30 days. If the patient is under 4 years old, it is recommended that a second specialist opinion is obtained.</w:t>
            </w:r>
          </w:p>
          <w:p w14:paraId="1FA0B226" w14:textId="77777777" w:rsidR="002B64EF" w:rsidRDefault="002B64EF" w:rsidP="002B64EF">
            <w:pPr>
              <w:pStyle w:val="Tablewriting"/>
            </w:pPr>
            <w:r>
              <w:t>The authority to supply for a specific patient must be renewed every 2 years where the patient is being managed by a neurologist, psychiatrist, physician or a registrar in these disciplines, or being co-managed by a medical practitioner or NP. Where the patient is being managed by a paediatrician or their registrar, the authority is valid until the patient turns 18 years old. Generally, no more than one month</w:t>
            </w:r>
            <w:r w:rsidRPr="00D63C45">
              <w:t>s</w:t>
            </w:r>
            <w:r>
              <w:t>’</w:t>
            </w:r>
            <w:r w:rsidRPr="00D63C45">
              <w:t xml:space="preserve"> supply is to be dispensed at any one time</w:t>
            </w:r>
            <w:r>
              <w:t>.</w:t>
            </w:r>
          </w:p>
          <w:p w14:paraId="72DF1708" w14:textId="77777777" w:rsidR="002B64EF" w:rsidRDefault="002B64EF" w:rsidP="002B64EF">
            <w:pPr>
              <w:pStyle w:val="Tablewriting"/>
            </w:pPr>
            <w:r>
              <w:t>Changes between medications and cessation of treatment must be notified to the CHO.</w:t>
            </w:r>
          </w:p>
          <w:p w14:paraId="73839171" w14:textId="77777777" w:rsidR="002B64EF" w:rsidRPr="00D63C45" w:rsidRDefault="002B64EF" w:rsidP="002B64EF">
            <w:pPr>
              <w:pStyle w:val="Tablewriting"/>
            </w:pPr>
            <w:r>
              <w:t xml:space="preserve">Legislation: </w:t>
            </w:r>
            <w:r w:rsidRPr="009E54CE">
              <w:rPr>
                <w:i/>
              </w:rPr>
              <w:t>Medicines, Poisons and Therapeutic Goods Act 2012</w:t>
            </w:r>
            <w:r>
              <w:t xml:space="preserve"> and Medicines, Poisons and Therapeutic Goods Regulations.</w:t>
            </w:r>
          </w:p>
        </w:tc>
      </w:tr>
      <w:tr w:rsidR="002B64EF" w:rsidRPr="00D63C45" w14:paraId="0B9E08AE" w14:textId="77777777" w:rsidTr="002B64EF">
        <w:trPr>
          <w:trHeight w:val="495"/>
        </w:trPr>
        <w:tc>
          <w:tcPr>
            <w:tcW w:w="923" w:type="dxa"/>
            <w:shd w:val="clear" w:color="auto" w:fill="auto"/>
            <w:hideMark/>
          </w:tcPr>
          <w:p w14:paraId="662CA500" w14:textId="77777777" w:rsidR="002B64EF" w:rsidRDefault="002B64EF" w:rsidP="002B64EF">
            <w:pPr>
              <w:pStyle w:val="Tablewriting"/>
            </w:pPr>
            <w:r w:rsidRPr="00D63C45">
              <w:t>QLD</w:t>
            </w:r>
            <w:r>
              <w:rPr>
                <w:rStyle w:val="EndnoteReference"/>
              </w:rPr>
              <w:endnoteReference w:id="34"/>
            </w:r>
          </w:p>
          <w:p w14:paraId="59C2E7FC" w14:textId="77777777" w:rsidR="002B64EF" w:rsidRPr="002D057D" w:rsidRDefault="002B64EF" w:rsidP="002B64EF">
            <w:pPr>
              <w:pStyle w:val="Tablewriting"/>
            </w:pPr>
          </w:p>
        </w:tc>
        <w:tc>
          <w:tcPr>
            <w:tcW w:w="12983" w:type="dxa"/>
            <w:shd w:val="clear" w:color="auto" w:fill="auto"/>
            <w:hideMark/>
          </w:tcPr>
          <w:p w14:paraId="254A9979" w14:textId="77777777" w:rsidR="002B64EF" w:rsidRDefault="002B64EF" w:rsidP="002B64EF">
            <w:pPr>
              <w:pStyle w:val="Tablewriting"/>
            </w:pPr>
            <w:r>
              <w:t xml:space="preserve">Doctors may only prescribe </w:t>
            </w:r>
            <w:r w:rsidRPr="00D63C45">
              <w:t>methylphenidate,</w:t>
            </w:r>
            <w:r>
              <w:t xml:space="preserve"> dexamphetamine and lisdexamphetamine for the treatment of narcolepsy, brain damage in a child at least 4 years old, or</w:t>
            </w:r>
            <w:r w:rsidRPr="00D63C45">
              <w:t xml:space="preserve"> attention deficit disorder</w:t>
            </w:r>
            <w:r>
              <w:t>. P</w:t>
            </w:r>
            <w:r w:rsidRPr="00D63C45">
              <w:t>aediatrician</w:t>
            </w:r>
            <w:r>
              <w:t>s and</w:t>
            </w:r>
            <w:r w:rsidRPr="00D63C45">
              <w:t xml:space="preserve"> psychiatrist</w:t>
            </w:r>
            <w:r>
              <w:t>s</w:t>
            </w:r>
            <w:r w:rsidRPr="00D63C45">
              <w:t xml:space="preserve"> </w:t>
            </w:r>
            <w:r>
              <w:t xml:space="preserve">may only prescribe these drugs for the treatment </w:t>
            </w:r>
            <w:r w:rsidRPr="00D63C45">
              <w:t>of brain damage or attenti</w:t>
            </w:r>
            <w:r>
              <w:t>on deficit disorder in a child.</w:t>
            </w:r>
          </w:p>
          <w:p w14:paraId="39EE7227" w14:textId="77777777" w:rsidR="002B64EF" w:rsidRPr="006D1D7E" w:rsidRDefault="002B64EF" w:rsidP="002B64EF">
            <w:pPr>
              <w:pStyle w:val="Tablewriting"/>
            </w:pPr>
            <w:r>
              <w:t xml:space="preserve">Legislation: </w:t>
            </w:r>
            <w:r w:rsidRPr="00D63C45">
              <w:rPr>
                <w:i/>
              </w:rPr>
              <w:t>Health (Drugs and Poisons) Regulation 1996</w:t>
            </w:r>
            <w:r>
              <w:t xml:space="preserve"> and the Health (Drugs and Poisons) Regulation</w:t>
            </w:r>
          </w:p>
        </w:tc>
      </w:tr>
      <w:tr w:rsidR="002B64EF" w:rsidRPr="00D63C45" w14:paraId="5F289C76" w14:textId="77777777" w:rsidTr="002B64EF">
        <w:trPr>
          <w:trHeight w:val="1215"/>
        </w:trPr>
        <w:tc>
          <w:tcPr>
            <w:tcW w:w="923" w:type="dxa"/>
            <w:shd w:val="clear" w:color="auto" w:fill="auto"/>
            <w:hideMark/>
          </w:tcPr>
          <w:p w14:paraId="48BFABC4" w14:textId="77777777" w:rsidR="002B64EF" w:rsidRDefault="002B64EF" w:rsidP="002B64EF">
            <w:pPr>
              <w:pStyle w:val="Tablewriting"/>
            </w:pPr>
            <w:r w:rsidRPr="00D63C45">
              <w:t>SA</w:t>
            </w:r>
            <w:bookmarkStart w:id="13" w:name="_Ref418678046"/>
            <w:r>
              <w:rPr>
                <w:rStyle w:val="EndnoteReference"/>
              </w:rPr>
              <w:endnoteReference w:id="35"/>
            </w:r>
            <w:bookmarkEnd w:id="13"/>
          </w:p>
          <w:p w14:paraId="7C2D4CA6" w14:textId="77777777" w:rsidR="002B64EF" w:rsidRPr="00650B2D" w:rsidRDefault="002B64EF" w:rsidP="002B64EF">
            <w:pPr>
              <w:pStyle w:val="Tablewriting"/>
            </w:pPr>
          </w:p>
        </w:tc>
        <w:tc>
          <w:tcPr>
            <w:tcW w:w="12983" w:type="dxa"/>
            <w:shd w:val="clear" w:color="auto" w:fill="auto"/>
            <w:hideMark/>
          </w:tcPr>
          <w:p w14:paraId="70E28353" w14:textId="77777777" w:rsidR="002B64EF" w:rsidRDefault="002B64EF" w:rsidP="002B64EF">
            <w:pPr>
              <w:pStyle w:val="Tablewriting"/>
            </w:pPr>
            <w:r>
              <w:t>An authority from the Minister for Health is required to prescribe psychostimulants to a patient for a period exceeding 2 months, which includes periods of treatment provided by other prescribers. The authority will stipulate the conditions under which the drug may be supplied, including dosage and quantity.</w:t>
            </w:r>
          </w:p>
          <w:p w14:paraId="3CD4ED21" w14:textId="77777777" w:rsidR="002B64EF" w:rsidRDefault="002B64EF" w:rsidP="002B64EF">
            <w:pPr>
              <w:pStyle w:val="Tablewriting"/>
            </w:pPr>
            <w:r>
              <w:t xml:space="preserve">Treatment should generally be initiated by a relevant specialist, such as a neurologist, paediatrician or psychiatrist for a child, or a psychiatrist for an adult. Authorities </w:t>
            </w:r>
            <w:r w:rsidRPr="00D63C45">
              <w:t>may be granted to GPs to contin</w:t>
            </w:r>
            <w:r>
              <w:t>ue prescribing stimulants to a</w:t>
            </w:r>
            <w:r w:rsidRPr="00D63C45">
              <w:t xml:space="preserve"> patient with ADHD</w:t>
            </w:r>
            <w:r>
              <w:t>, conditional on support and annual review by a relevant specialist</w:t>
            </w:r>
            <w:r w:rsidRPr="00D63C45">
              <w:t>.</w:t>
            </w:r>
            <w:r>
              <w:t xml:space="preserve"> </w:t>
            </w:r>
            <w:r w:rsidRPr="00D63C45">
              <w:t>Prescriptions should be limited to no more than three months</w:t>
            </w:r>
            <w:r>
              <w:t>’</w:t>
            </w:r>
            <w:r w:rsidRPr="00D63C45">
              <w:t xml:space="preserve"> supply.</w:t>
            </w:r>
          </w:p>
          <w:p w14:paraId="4F99ED12" w14:textId="77777777" w:rsidR="002B64EF" w:rsidRPr="00D63C45" w:rsidRDefault="002B64EF" w:rsidP="002B64EF">
            <w:pPr>
              <w:pStyle w:val="Tablewriting"/>
            </w:pPr>
            <w:r>
              <w:t xml:space="preserve">Legislation: </w:t>
            </w:r>
            <w:r w:rsidRPr="000725B7">
              <w:rPr>
                <w:i/>
              </w:rPr>
              <w:t>Controlled Substances Act 1984</w:t>
            </w:r>
            <w:r>
              <w:t xml:space="preserve"> and Controlled Substances (Poisons) Regulations 2011.</w:t>
            </w:r>
          </w:p>
        </w:tc>
      </w:tr>
      <w:tr w:rsidR="002B64EF" w:rsidRPr="00D63C45" w14:paraId="08854B84" w14:textId="77777777" w:rsidTr="002B64EF">
        <w:trPr>
          <w:trHeight w:val="699"/>
        </w:trPr>
        <w:tc>
          <w:tcPr>
            <w:tcW w:w="923" w:type="dxa"/>
            <w:shd w:val="clear" w:color="auto" w:fill="auto"/>
            <w:hideMark/>
          </w:tcPr>
          <w:p w14:paraId="34073B4D" w14:textId="77777777" w:rsidR="002B64EF" w:rsidRDefault="002B64EF" w:rsidP="002B64EF">
            <w:pPr>
              <w:pStyle w:val="Tablewriting"/>
            </w:pPr>
            <w:r w:rsidRPr="00D63C45">
              <w:t>TAS</w:t>
            </w:r>
            <w:bookmarkStart w:id="14" w:name="_Ref418678069"/>
            <w:r>
              <w:rPr>
                <w:rStyle w:val="EndnoteReference"/>
              </w:rPr>
              <w:endnoteReference w:id="36"/>
            </w:r>
            <w:bookmarkEnd w:id="14"/>
            <w:r w:rsidRPr="00A80CEA">
              <w:rPr>
                <w:vertAlign w:val="superscript"/>
              </w:rPr>
              <w:t>;</w:t>
            </w:r>
            <w:bookmarkStart w:id="15" w:name="_Ref418678087"/>
            <w:r>
              <w:rPr>
                <w:rStyle w:val="EndnoteReference"/>
              </w:rPr>
              <w:endnoteReference w:id="37"/>
            </w:r>
            <w:bookmarkEnd w:id="15"/>
          </w:p>
          <w:p w14:paraId="147ACA0C" w14:textId="77777777" w:rsidR="002B64EF" w:rsidRPr="00C20F68" w:rsidRDefault="002B64EF" w:rsidP="002B64EF">
            <w:pPr>
              <w:pStyle w:val="Tablewriting"/>
            </w:pPr>
          </w:p>
        </w:tc>
        <w:tc>
          <w:tcPr>
            <w:tcW w:w="12983" w:type="dxa"/>
            <w:shd w:val="clear" w:color="auto" w:fill="auto"/>
            <w:hideMark/>
          </w:tcPr>
          <w:p w14:paraId="45A5F65E" w14:textId="77777777" w:rsidR="002B64EF" w:rsidRDefault="002B64EF" w:rsidP="002B64EF">
            <w:pPr>
              <w:pStyle w:val="Tablewriting"/>
            </w:pPr>
            <w:r>
              <w:t>Before issuing a prescription for a psychostimulant, authority must be obtained from the Secretary of the Department of Health and Human Services. For children and adolescent patients, authorities are only issued to child psychiatrists, paediatricians, and specialist physicians. The specialist may request that the authority list a GP as a co-prescriber under their direction. Applications for patients outside the routine authorisation criteria (e.g. higher than recommended dosage, and patients with significant side-effects or severe psychiatric co-morbidity) are referred to the Psychostimulant Advisory Panel, which may request additional reports or opinions.</w:t>
            </w:r>
          </w:p>
          <w:p w14:paraId="0AE93CFB" w14:textId="77777777" w:rsidR="002B64EF" w:rsidRDefault="002B64EF" w:rsidP="002B64EF">
            <w:pPr>
              <w:pStyle w:val="Tablewriting"/>
            </w:pPr>
            <w:r>
              <w:t>Prescribing these medicines for children under 2 years of age is not permitted. For children aged 2 years, a second specialist opinion is required and the maximum authority length is 3 months. Both the prescriber and second specialist must provide reports indicating that the treatment is appropriate on all authority applications until the child reaches age 3. An authority for a child aged 3 years also requires a second specialist opinion. For children aged over 3 years, authorisations remain in effect until the patient reaches 18 years of age or has completed secondary school.</w:t>
            </w:r>
          </w:p>
          <w:p w14:paraId="30D531F1" w14:textId="77777777" w:rsidR="002B64EF" w:rsidRDefault="002B64EF" w:rsidP="002B64EF">
            <w:pPr>
              <w:pStyle w:val="Tablewriting"/>
            </w:pPr>
            <w:r>
              <w:t>For adults, initial authorisations are for 3 months, to facilitate appropriate reassessment, and continuing authorisations are for 12–24 months. In general, only psychiatrists may initiate psychostimulant treatment of adults with ADHD. However, the psychiatrist may request that a patient’s GP take over prescribing following the initial application.</w:t>
            </w:r>
          </w:p>
          <w:p w14:paraId="7DE9AC56" w14:textId="77777777" w:rsidR="002B64EF" w:rsidRPr="00D63C45" w:rsidRDefault="002B64EF" w:rsidP="002B64EF">
            <w:pPr>
              <w:pStyle w:val="Tablewriting"/>
            </w:pPr>
            <w:r>
              <w:t xml:space="preserve">Legislation: </w:t>
            </w:r>
            <w:r w:rsidRPr="00C20F68">
              <w:rPr>
                <w:i/>
              </w:rPr>
              <w:t>Poisons Act 1971</w:t>
            </w:r>
            <w:r>
              <w:t xml:space="preserve"> and Poisons Regulations 2008.</w:t>
            </w:r>
          </w:p>
        </w:tc>
      </w:tr>
      <w:tr w:rsidR="002B64EF" w:rsidRPr="00D63C45" w14:paraId="499EE1D2" w14:textId="77777777" w:rsidTr="002B64EF">
        <w:trPr>
          <w:trHeight w:val="278"/>
        </w:trPr>
        <w:tc>
          <w:tcPr>
            <w:tcW w:w="923" w:type="dxa"/>
            <w:shd w:val="clear" w:color="auto" w:fill="auto"/>
            <w:hideMark/>
          </w:tcPr>
          <w:p w14:paraId="7CAECC8F" w14:textId="77777777" w:rsidR="002B64EF" w:rsidRDefault="002B64EF" w:rsidP="002B64EF">
            <w:pPr>
              <w:pStyle w:val="Tablewriting"/>
            </w:pPr>
            <w:r w:rsidRPr="00D63C45">
              <w:t>VIC</w:t>
            </w:r>
            <w:r>
              <w:rPr>
                <w:rStyle w:val="EndnoteReference"/>
              </w:rPr>
              <w:endnoteReference w:id="38"/>
            </w:r>
          </w:p>
          <w:p w14:paraId="58EA8056" w14:textId="77777777" w:rsidR="002B64EF" w:rsidRPr="00BD6F31" w:rsidRDefault="002B64EF" w:rsidP="002B64EF">
            <w:pPr>
              <w:pStyle w:val="Tablewriting"/>
            </w:pPr>
          </w:p>
        </w:tc>
        <w:tc>
          <w:tcPr>
            <w:tcW w:w="12983" w:type="dxa"/>
            <w:shd w:val="clear" w:color="auto" w:fill="auto"/>
            <w:hideMark/>
          </w:tcPr>
          <w:p w14:paraId="374A3CC8" w14:textId="77777777" w:rsidR="002B64EF" w:rsidRDefault="002B64EF" w:rsidP="002B64EF">
            <w:pPr>
              <w:pStyle w:val="Tablewriting"/>
            </w:pPr>
            <w:r>
              <w:t>A medical practitioner must hold a permit for each patient from the Drugs and Poisons Regulation Group, Victorian Department of Health, before prescribing psychostimulants. However, there is an exemption from this requirement for paediatricians and psychiatrists where:</w:t>
            </w:r>
          </w:p>
          <w:p w14:paraId="360AA0D2" w14:textId="77777777" w:rsidR="002B64EF" w:rsidRDefault="002B64EF" w:rsidP="002B64EF">
            <w:pPr>
              <w:pStyle w:val="Tablewriting"/>
              <w:numPr>
                <w:ilvl w:val="0"/>
                <w:numId w:val="16"/>
              </w:numPr>
            </w:pPr>
            <w:r>
              <w:t>the patient is being treated for ADHD and the treatment is not expected to be for greater than 8 weeks (including a preceding period of treatment) – no permit or notification is required.</w:t>
            </w:r>
          </w:p>
          <w:p w14:paraId="50C85BCC" w14:textId="77777777" w:rsidR="002B64EF" w:rsidRDefault="002B64EF" w:rsidP="002B64EF">
            <w:pPr>
              <w:pStyle w:val="Tablewriting"/>
              <w:numPr>
                <w:ilvl w:val="0"/>
                <w:numId w:val="16"/>
              </w:numPr>
            </w:pPr>
            <w:r>
              <w:t>the patient is under the age of 18 years and being treated for ADHD for a period greater than 8 weeks – the specialist must provide notification of the treatment (section 34D notification).</w:t>
            </w:r>
          </w:p>
          <w:p w14:paraId="31769433" w14:textId="77777777" w:rsidR="002B64EF" w:rsidRDefault="002B64EF" w:rsidP="002B64EF">
            <w:pPr>
              <w:pStyle w:val="Tablewriting"/>
            </w:pPr>
            <w:r>
              <w:t>Adult patients being treated for ADHD for greater than 8 weeks require a permit. GPs may be issued with a permit to prescribe psychostimulants for a patient where the application indicates that diagnosis was undertaken by a specialist and there are at least yearly reviews by a specialist. Other clinicians at the same clinic may prescribe under the same permit. Permits are not required for patients in prison or a residential aged care service, or hospital in-patients.</w:t>
            </w:r>
          </w:p>
          <w:p w14:paraId="2D20425E" w14:textId="77777777" w:rsidR="002B64EF" w:rsidRPr="00D63C45" w:rsidRDefault="002B64EF" w:rsidP="002B64EF">
            <w:pPr>
              <w:pStyle w:val="Tablewriting"/>
            </w:pPr>
            <w:r>
              <w:t xml:space="preserve">Legislation: </w:t>
            </w:r>
            <w:r w:rsidRPr="00A07E06">
              <w:rPr>
                <w:i/>
              </w:rPr>
              <w:t>Drugs, Poisons and Controlled Substances Act 1981</w:t>
            </w:r>
            <w:r>
              <w:t xml:space="preserve"> and Drugs, Poisons and Controlled Substances regulations 2006.</w:t>
            </w:r>
          </w:p>
        </w:tc>
      </w:tr>
      <w:tr w:rsidR="002B64EF" w:rsidRPr="00D63C45" w14:paraId="2CBBE36D" w14:textId="77777777" w:rsidTr="002B64EF">
        <w:trPr>
          <w:trHeight w:val="549"/>
        </w:trPr>
        <w:tc>
          <w:tcPr>
            <w:tcW w:w="923" w:type="dxa"/>
            <w:shd w:val="clear" w:color="auto" w:fill="auto"/>
            <w:hideMark/>
          </w:tcPr>
          <w:p w14:paraId="6F4A0EAD" w14:textId="77777777" w:rsidR="002B64EF" w:rsidRPr="00A26364" w:rsidRDefault="002B64EF" w:rsidP="002B64EF">
            <w:pPr>
              <w:pStyle w:val="Tablewriting"/>
            </w:pPr>
            <w:r w:rsidRPr="00D63C45">
              <w:t>WA</w:t>
            </w:r>
            <w:bookmarkStart w:id="16" w:name="_Ref418678115"/>
            <w:r>
              <w:rPr>
                <w:rStyle w:val="EndnoteReference"/>
              </w:rPr>
              <w:endnoteReference w:id="39"/>
            </w:r>
            <w:bookmarkEnd w:id="16"/>
          </w:p>
        </w:tc>
        <w:tc>
          <w:tcPr>
            <w:tcW w:w="12983" w:type="dxa"/>
            <w:shd w:val="clear" w:color="auto" w:fill="auto"/>
            <w:hideMark/>
          </w:tcPr>
          <w:p w14:paraId="0721F771" w14:textId="77777777" w:rsidR="002B64EF" w:rsidRDefault="002B64EF" w:rsidP="002B64EF">
            <w:pPr>
              <w:pStyle w:val="Tablewriting"/>
            </w:pPr>
            <w:r>
              <w:t xml:space="preserve">Authorised specialists may prescribe psychostimulants to patients who meet the clinical criteria in the Stimulant Prescribing Code (the Code). These specialists are issued a Stimulant Prescriber Number by the Department of Health. </w:t>
            </w:r>
            <w:r w:rsidRPr="00D63C45">
              <w:t xml:space="preserve">Treatment of ADHD with stimulants may only be initiated by a neurologist, paediatric neurologist, paediatrician, psychiatrist, a child and adolescent psychiatrist or a medical </w:t>
            </w:r>
            <w:r>
              <w:t>practitioner approved by the Department of Health</w:t>
            </w:r>
            <w:r w:rsidRPr="00D63C45">
              <w:t xml:space="preserve">. </w:t>
            </w:r>
            <w:r>
              <w:t>Psychostimulants may not be prescribed for patients with a history of psychosis or drug abuse, or a diagnosis of bi-polar disorder. Annual drug screening of patients aged over 13 years is required.</w:t>
            </w:r>
          </w:p>
          <w:p w14:paraId="3D1E4F71" w14:textId="77777777" w:rsidR="002B64EF" w:rsidRDefault="002B64EF" w:rsidP="002B64EF">
            <w:pPr>
              <w:pStyle w:val="Tablewriting"/>
            </w:pPr>
            <w:r>
              <w:t>To prescribe outside the clinical criteria in the Code, special authorisation must be obtained by an authorised specialist from the Department of Health. Psychostimulants must not be prescribed to patients under 2 years of age, and prescribing for patients aged 2-3 years requires a special authorisation. Patients under 6 years must not be treated with lisdexamphetamine.</w:t>
            </w:r>
          </w:p>
          <w:p w14:paraId="4EDA6E07" w14:textId="77777777" w:rsidR="002B64EF" w:rsidRPr="00D63C45" w:rsidRDefault="002B64EF" w:rsidP="002B64EF">
            <w:pPr>
              <w:pStyle w:val="Tablewriting"/>
            </w:pPr>
            <w:r>
              <w:t xml:space="preserve">Legislation: </w:t>
            </w:r>
            <w:r w:rsidRPr="00F4566B">
              <w:rPr>
                <w:i/>
              </w:rPr>
              <w:t>Poisons Act 1964</w:t>
            </w:r>
            <w:r>
              <w:t xml:space="preserve"> and Poisons Regulations 1965.</w:t>
            </w:r>
          </w:p>
        </w:tc>
      </w:tr>
    </w:tbl>
    <w:p w14:paraId="3F10A11E" w14:textId="77777777" w:rsidR="002B64EF" w:rsidRDefault="002B64EF" w:rsidP="002B64EF">
      <w:pPr>
        <w:pStyle w:val="Notes"/>
        <w:sectPr w:rsidR="002B64EF" w:rsidSect="002B64EF">
          <w:headerReference w:type="default" r:id="rId32"/>
          <w:footerReference w:type="even" r:id="rId33"/>
          <w:footerReference w:type="default" r:id="rId34"/>
          <w:endnotePr>
            <w:numFmt w:val="decimal"/>
          </w:endnotePr>
          <w:pgSz w:w="16838" w:h="11906" w:orient="landscape"/>
          <w:pgMar w:top="1588" w:right="1644" w:bottom="1361" w:left="1644" w:header="709" w:footer="709" w:gutter="0"/>
          <w:cols w:space="708"/>
          <w:titlePg/>
          <w:docGrid w:linePitch="360"/>
        </w:sectPr>
      </w:pPr>
      <w:r w:rsidRPr="000B1006">
        <w:rPr>
          <w:b/>
        </w:rPr>
        <w:t>Abbreviations:</w:t>
      </w:r>
      <w:r w:rsidRPr="000B1006">
        <w:t xml:space="preserve"> ADHD = Attention Deficit Hyperactivity Disord</w:t>
      </w:r>
      <w:r>
        <w:t xml:space="preserve">er; CHO = Chief Health Officer. </w:t>
      </w:r>
    </w:p>
    <w:p w14:paraId="7C01D18A" w14:textId="77777777" w:rsidR="002B64EF" w:rsidRPr="00250133" w:rsidRDefault="002B64EF" w:rsidP="002B64EF">
      <w:pPr>
        <w:pStyle w:val="Tabletitle"/>
      </w:pPr>
      <w:r>
        <w:t>Table A.2. Summary of state and t</w:t>
      </w:r>
      <w:r w:rsidRPr="006F24F6">
        <w:t xml:space="preserve">erritory regulations for </w:t>
      </w:r>
      <w:r>
        <w:t>maximum quantities of dexamphetamine and methylphenidate that may be prescribed for the treatment of ADHD, with comparison to the maximum recommended doses in the Product Information.</w:t>
      </w:r>
      <w:r w:rsidRPr="001A28BC">
        <w:rPr>
          <w:vertAlign w:val="superscript"/>
        </w:rPr>
        <w:t>a</w:t>
      </w:r>
    </w:p>
    <w:tbl>
      <w:tblPr>
        <w:tblW w:w="9086"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019"/>
        <w:gridCol w:w="1681"/>
        <w:gridCol w:w="2111"/>
        <w:gridCol w:w="1701"/>
      </w:tblGrid>
      <w:tr w:rsidR="002B64EF" w:rsidRPr="00F47CF0" w14:paraId="75C69C34" w14:textId="77777777" w:rsidTr="002B64EF">
        <w:trPr>
          <w:trHeight w:val="283"/>
        </w:trPr>
        <w:tc>
          <w:tcPr>
            <w:tcW w:w="1574" w:type="dxa"/>
            <w:vMerge w:val="restart"/>
            <w:tcBorders>
              <w:top w:val="nil"/>
              <w:left w:val="nil"/>
            </w:tcBorders>
            <w:shd w:val="clear" w:color="auto" w:fill="FFFFFF" w:themeFill="background1"/>
            <w:hideMark/>
          </w:tcPr>
          <w:p w14:paraId="6CD08C92" w14:textId="77777777" w:rsidR="002B64EF" w:rsidRPr="00F47CF0" w:rsidRDefault="002B64EF" w:rsidP="002B64EF">
            <w:pPr>
              <w:pStyle w:val="Tableheading"/>
              <w:keepNext/>
              <w:keepLines/>
            </w:pPr>
          </w:p>
        </w:tc>
        <w:tc>
          <w:tcPr>
            <w:tcW w:w="3700" w:type="dxa"/>
            <w:gridSpan w:val="2"/>
            <w:shd w:val="clear" w:color="auto" w:fill="D9D9D9" w:themeFill="background1" w:themeFillShade="D9"/>
          </w:tcPr>
          <w:p w14:paraId="17ADBD65" w14:textId="77777777" w:rsidR="002B64EF" w:rsidRPr="00F47CF0" w:rsidRDefault="002B64EF" w:rsidP="002B64EF">
            <w:pPr>
              <w:pStyle w:val="Tableheading"/>
              <w:keepNext/>
              <w:keepLines/>
            </w:pPr>
            <w:r>
              <w:t>Max daily dose of dexamphetamine</w:t>
            </w:r>
          </w:p>
        </w:tc>
        <w:tc>
          <w:tcPr>
            <w:tcW w:w="3812" w:type="dxa"/>
            <w:gridSpan w:val="2"/>
            <w:shd w:val="clear" w:color="auto" w:fill="D9D9D9" w:themeFill="background1" w:themeFillShade="D9"/>
          </w:tcPr>
          <w:p w14:paraId="7F478502" w14:textId="77777777" w:rsidR="002B64EF" w:rsidRPr="00F47CF0" w:rsidRDefault="002B64EF" w:rsidP="002B64EF">
            <w:pPr>
              <w:pStyle w:val="Tableheading"/>
              <w:keepNext/>
              <w:keepLines/>
            </w:pPr>
            <w:r>
              <w:t>Max daily dose of methylphenidate</w:t>
            </w:r>
          </w:p>
        </w:tc>
      </w:tr>
      <w:tr w:rsidR="002B64EF" w:rsidRPr="00D63C45" w14:paraId="38F3684E" w14:textId="77777777" w:rsidTr="002B64EF">
        <w:trPr>
          <w:trHeight w:val="492"/>
        </w:trPr>
        <w:tc>
          <w:tcPr>
            <w:tcW w:w="1574" w:type="dxa"/>
            <w:vMerge/>
            <w:tcBorders>
              <w:left w:val="nil"/>
            </w:tcBorders>
            <w:shd w:val="clear" w:color="auto" w:fill="FFFFFF" w:themeFill="background1"/>
          </w:tcPr>
          <w:p w14:paraId="5F63681B" w14:textId="77777777" w:rsidR="002B64EF" w:rsidRDefault="002B64EF" w:rsidP="002B64EF">
            <w:pPr>
              <w:pStyle w:val="Tablewriting"/>
              <w:keepNext/>
              <w:keepLines/>
            </w:pPr>
          </w:p>
        </w:tc>
        <w:tc>
          <w:tcPr>
            <w:tcW w:w="2019" w:type="dxa"/>
            <w:shd w:val="clear" w:color="auto" w:fill="D9D9D9" w:themeFill="background1" w:themeFillShade="D9"/>
          </w:tcPr>
          <w:p w14:paraId="039DBF56" w14:textId="77777777" w:rsidR="002B64EF" w:rsidRDefault="002B64EF" w:rsidP="002B64EF">
            <w:pPr>
              <w:pStyle w:val="Tableheading"/>
              <w:keepNext/>
              <w:keepLines/>
            </w:pPr>
            <w:r>
              <w:t>Children and adolescents</w:t>
            </w:r>
          </w:p>
        </w:tc>
        <w:tc>
          <w:tcPr>
            <w:tcW w:w="1681" w:type="dxa"/>
            <w:shd w:val="clear" w:color="auto" w:fill="D9D9D9" w:themeFill="background1" w:themeFillShade="D9"/>
          </w:tcPr>
          <w:p w14:paraId="55C1EC74" w14:textId="77777777" w:rsidR="002B64EF" w:rsidRDefault="002B64EF" w:rsidP="002B64EF">
            <w:pPr>
              <w:pStyle w:val="Tableheading"/>
              <w:keepNext/>
              <w:keepLines/>
            </w:pPr>
            <w:r>
              <w:t>Adults</w:t>
            </w:r>
          </w:p>
        </w:tc>
        <w:tc>
          <w:tcPr>
            <w:tcW w:w="2111" w:type="dxa"/>
            <w:shd w:val="clear" w:color="auto" w:fill="D9D9D9" w:themeFill="background1" w:themeFillShade="D9"/>
          </w:tcPr>
          <w:p w14:paraId="0B991069" w14:textId="77777777" w:rsidR="002B64EF" w:rsidRDefault="002B64EF" w:rsidP="002B64EF">
            <w:pPr>
              <w:pStyle w:val="Tableheading"/>
              <w:keepNext/>
              <w:keepLines/>
            </w:pPr>
            <w:r>
              <w:t>Children and adolescents</w:t>
            </w:r>
          </w:p>
        </w:tc>
        <w:tc>
          <w:tcPr>
            <w:tcW w:w="1701" w:type="dxa"/>
            <w:shd w:val="clear" w:color="auto" w:fill="D9D9D9" w:themeFill="background1" w:themeFillShade="D9"/>
          </w:tcPr>
          <w:p w14:paraId="0A173FB3" w14:textId="77777777" w:rsidR="002B64EF" w:rsidRDefault="002B64EF" w:rsidP="002B64EF">
            <w:pPr>
              <w:pStyle w:val="Tableheading"/>
              <w:keepNext/>
              <w:keepLines/>
            </w:pPr>
            <w:r>
              <w:t>Adults</w:t>
            </w:r>
          </w:p>
        </w:tc>
      </w:tr>
      <w:tr w:rsidR="002B64EF" w:rsidRPr="00D63C45" w14:paraId="6F567392" w14:textId="77777777" w:rsidTr="002B64EF">
        <w:trPr>
          <w:trHeight w:val="688"/>
        </w:trPr>
        <w:tc>
          <w:tcPr>
            <w:tcW w:w="1574" w:type="dxa"/>
            <w:shd w:val="clear" w:color="auto" w:fill="auto"/>
            <w:hideMark/>
          </w:tcPr>
          <w:p w14:paraId="6CF54D9A" w14:textId="77777777" w:rsidR="002B64EF" w:rsidRPr="009D579B" w:rsidRDefault="002B64EF" w:rsidP="002B64EF">
            <w:pPr>
              <w:pStyle w:val="Tablewriting"/>
            </w:pPr>
            <w:r>
              <w:t>NSW</w:t>
            </w:r>
            <w:r w:rsidRPr="00A95FDA">
              <w:rPr>
                <w:vertAlign w:val="superscript"/>
              </w:rPr>
              <w:fldChar w:fldCharType="begin"/>
            </w:r>
            <w:r w:rsidRPr="00A95FDA">
              <w:rPr>
                <w:vertAlign w:val="superscript"/>
              </w:rPr>
              <w:instrText xml:space="preserve"> NOTEREF _Ref418678000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28</w:t>
            </w:r>
            <w:r w:rsidRPr="00A95FDA">
              <w:rPr>
                <w:vertAlign w:val="superscript"/>
              </w:rPr>
              <w:fldChar w:fldCharType="end"/>
            </w:r>
            <w:r w:rsidRPr="009D579B">
              <w:rPr>
                <w:vertAlign w:val="superscript"/>
              </w:rPr>
              <w:t>;</w:t>
            </w:r>
            <w:r>
              <w:rPr>
                <w:vertAlign w:val="superscript"/>
              </w:rPr>
              <w:fldChar w:fldCharType="begin"/>
            </w:r>
            <w:r>
              <w:rPr>
                <w:vertAlign w:val="superscript"/>
              </w:rPr>
              <w:instrText xml:space="preserve"> NOTEREF _Ref418678024 \h </w:instrText>
            </w:r>
            <w:r>
              <w:rPr>
                <w:vertAlign w:val="superscript"/>
              </w:rPr>
            </w:r>
            <w:r>
              <w:rPr>
                <w:vertAlign w:val="superscript"/>
              </w:rPr>
              <w:fldChar w:fldCharType="separate"/>
            </w:r>
            <w:r>
              <w:rPr>
                <w:vertAlign w:val="superscript"/>
              </w:rPr>
              <w:t>29</w:t>
            </w:r>
            <w:r>
              <w:rPr>
                <w:vertAlign w:val="superscript"/>
              </w:rPr>
              <w:fldChar w:fldCharType="end"/>
            </w:r>
            <w:r>
              <w:rPr>
                <w:vertAlign w:val="superscript"/>
              </w:rPr>
              <w:t>; b</w:t>
            </w:r>
          </w:p>
        </w:tc>
        <w:tc>
          <w:tcPr>
            <w:tcW w:w="2019" w:type="dxa"/>
          </w:tcPr>
          <w:p w14:paraId="19AF01E9" w14:textId="77777777" w:rsidR="002B64EF" w:rsidRDefault="002B64EF" w:rsidP="002B64EF">
            <w:pPr>
              <w:pStyle w:val="Tablewriting"/>
            </w:pPr>
            <w:r>
              <w:t>1 mg/kg up to 50 mg</w:t>
            </w:r>
          </w:p>
        </w:tc>
        <w:tc>
          <w:tcPr>
            <w:tcW w:w="1681" w:type="dxa"/>
          </w:tcPr>
          <w:p w14:paraId="69E90FF3" w14:textId="77777777" w:rsidR="002B64EF" w:rsidRDefault="002B64EF" w:rsidP="002B64EF">
            <w:pPr>
              <w:pStyle w:val="Tablewriting"/>
            </w:pPr>
            <w:r>
              <w:t>30 mg</w:t>
            </w:r>
          </w:p>
        </w:tc>
        <w:tc>
          <w:tcPr>
            <w:tcW w:w="2111" w:type="dxa"/>
          </w:tcPr>
          <w:p w14:paraId="2D15C1FC" w14:textId="77777777" w:rsidR="002B64EF" w:rsidRDefault="002B64EF" w:rsidP="002B64EF">
            <w:pPr>
              <w:pStyle w:val="Tablewriting"/>
            </w:pPr>
            <w:r>
              <w:t>2 mg/kg up to 108 mg</w:t>
            </w:r>
          </w:p>
        </w:tc>
        <w:tc>
          <w:tcPr>
            <w:tcW w:w="1701" w:type="dxa"/>
          </w:tcPr>
          <w:p w14:paraId="36BF98D2" w14:textId="77777777" w:rsidR="002B64EF" w:rsidRDefault="002B64EF" w:rsidP="002B64EF">
            <w:pPr>
              <w:pStyle w:val="Tablewriting"/>
            </w:pPr>
            <w:r>
              <w:t>60 mg</w:t>
            </w:r>
          </w:p>
        </w:tc>
      </w:tr>
      <w:tr w:rsidR="002B64EF" w:rsidRPr="00D63C45" w14:paraId="1121A22B" w14:textId="77777777" w:rsidTr="002B64EF">
        <w:trPr>
          <w:trHeight w:val="712"/>
        </w:trPr>
        <w:tc>
          <w:tcPr>
            <w:tcW w:w="1574" w:type="dxa"/>
            <w:shd w:val="clear" w:color="auto" w:fill="auto"/>
            <w:hideMark/>
          </w:tcPr>
          <w:p w14:paraId="629CAC96" w14:textId="77777777" w:rsidR="002B64EF" w:rsidRPr="00650B2D" w:rsidRDefault="002B64EF" w:rsidP="002B64EF">
            <w:pPr>
              <w:pStyle w:val="Tablewriting"/>
            </w:pPr>
            <w:r w:rsidRPr="00D63C45">
              <w:t>SA</w:t>
            </w:r>
            <w:r w:rsidRPr="00A95FDA">
              <w:rPr>
                <w:vertAlign w:val="superscript"/>
              </w:rPr>
              <w:fldChar w:fldCharType="begin"/>
            </w:r>
            <w:r w:rsidRPr="00A95FDA">
              <w:rPr>
                <w:vertAlign w:val="superscript"/>
              </w:rPr>
              <w:instrText xml:space="preserve"> NOTEREF _Ref418678046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33</w:t>
            </w:r>
            <w:r w:rsidRPr="00A95FDA">
              <w:rPr>
                <w:vertAlign w:val="superscript"/>
              </w:rPr>
              <w:fldChar w:fldCharType="end"/>
            </w:r>
            <w:r>
              <w:rPr>
                <w:vertAlign w:val="superscript"/>
              </w:rPr>
              <w:t>; b</w:t>
            </w:r>
          </w:p>
        </w:tc>
        <w:tc>
          <w:tcPr>
            <w:tcW w:w="2019" w:type="dxa"/>
          </w:tcPr>
          <w:p w14:paraId="2F95DCC5" w14:textId="77777777" w:rsidR="002B64EF" w:rsidRDefault="002B64EF" w:rsidP="002B64EF">
            <w:pPr>
              <w:pStyle w:val="Tablewriting"/>
            </w:pPr>
            <w:r>
              <w:t>-</w:t>
            </w:r>
          </w:p>
        </w:tc>
        <w:tc>
          <w:tcPr>
            <w:tcW w:w="1681" w:type="dxa"/>
          </w:tcPr>
          <w:p w14:paraId="23434916" w14:textId="77777777" w:rsidR="002B64EF" w:rsidRDefault="002B64EF" w:rsidP="002B64EF">
            <w:pPr>
              <w:pStyle w:val="Tablewriting"/>
            </w:pPr>
            <w:r>
              <w:t>30 mg</w:t>
            </w:r>
          </w:p>
        </w:tc>
        <w:tc>
          <w:tcPr>
            <w:tcW w:w="2111" w:type="dxa"/>
          </w:tcPr>
          <w:p w14:paraId="67578A76" w14:textId="77777777" w:rsidR="002B64EF" w:rsidRDefault="002B64EF" w:rsidP="002B64EF">
            <w:pPr>
              <w:pStyle w:val="Tablewriting"/>
            </w:pPr>
            <w:r>
              <w:t>-</w:t>
            </w:r>
          </w:p>
        </w:tc>
        <w:tc>
          <w:tcPr>
            <w:tcW w:w="1701" w:type="dxa"/>
          </w:tcPr>
          <w:p w14:paraId="2467B6EC" w14:textId="77777777" w:rsidR="002B64EF" w:rsidRDefault="002B64EF" w:rsidP="002B64EF">
            <w:pPr>
              <w:pStyle w:val="Tablewriting"/>
            </w:pPr>
            <w:r>
              <w:t xml:space="preserve">IR: 60 mg </w:t>
            </w:r>
          </w:p>
          <w:p w14:paraId="39E13E59" w14:textId="77777777" w:rsidR="002B64EF" w:rsidRDefault="002B64EF" w:rsidP="002B64EF">
            <w:pPr>
              <w:pStyle w:val="Tablewriting"/>
            </w:pPr>
            <w:r>
              <w:t>MR: 75 mg</w:t>
            </w:r>
          </w:p>
        </w:tc>
      </w:tr>
      <w:tr w:rsidR="002B64EF" w:rsidRPr="00D63C45" w14:paraId="009F9332" w14:textId="77777777" w:rsidTr="002B64EF">
        <w:trPr>
          <w:trHeight w:val="424"/>
        </w:trPr>
        <w:tc>
          <w:tcPr>
            <w:tcW w:w="1574" w:type="dxa"/>
            <w:shd w:val="clear" w:color="auto" w:fill="auto"/>
            <w:hideMark/>
          </w:tcPr>
          <w:p w14:paraId="52570A2F" w14:textId="77777777" w:rsidR="002B64EF" w:rsidRPr="00C20F68" w:rsidRDefault="002B64EF" w:rsidP="002B64EF">
            <w:pPr>
              <w:pStyle w:val="Tablewriting"/>
            </w:pPr>
            <w:r w:rsidRPr="00D63C45">
              <w:t>TAS</w:t>
            </w:r>
            <w:r w:rsidRPr="00A95FDA">
              <w:rPr>
                <w:vertAlign w:val="superscript"/>
              </w:rPr>
              <w:fldChar w:fldCharType="begin"/>
            </w:r>
            <w:r w:rsidRPr="00A95FDA">
              <w:rPr>
                <w:vertAlign w:val="superscript"/>
              </w:rPr>
              <w:instrText xml:space="preserve"> NOTEREF _Ref418678069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34</w:t>
            </w:r>
            <w:r w:rsidRPr="00A95FDA">
              <w:rPr>
                <w:vertAlign w:val="superscript"/>
              </w:rPr>
              <w:fldChar w:fldCharType="end"/>
            </w:r>
            <w:r>
              <w:rPr>
                <w:vertAlign w:val="superscript"/>
              </w:rPr>
              <w:t>;</w:t>
            </w:r>
            <w:r>
              <w:rPr>
                <w:vertAlign w:val="superscript"/>
              </w:rPr>
              <w:fldChar w:fldCharType="begin"/>
            </w:r>
            <w:r>
              <w:rPr>
                <w:vertAlign w:val="superscript"/>
              </w:rPr>
              <w:instrText xml:space="preserve"> NOTEREF _Ref418678087 \h </w:instrText>
            </w:r>
            <w:r>
              <w:rPr>
                <w:vertAlign w:val="superscript"/>
              </w:rPr>
            </w:r>
            <w:r>
              <w:rPr>
                <w:vertAlign w:val="superscript"/>
              </w:rPr>
              <w:fldChar w:fldCharType="separate"/>
            </w:r>
            <w:r>
              <w:rPr>
                <w:vertAlign w:val="superscript"/>
              </w:rPr>
              <w:t>35</w:t>
            </w:r>
            <w:r>
              <w:rPr>
                <w:vertAlign w:val="superscript"/>
              </w:rPr>
              <w:fldChar w:fldCharType="end"/>
            </w:r>
            <w:r>
              <w:rPr>
                <w:vertAlign w:val="superscript"/>
              </w:rPr>
              <w:t>; b</w:t>
            </w:r>
          </w:p>
        </w:tc>
        <w:tc>
          <w:tcPr>
            <w:tcW w:w="2019" w:type="dxa"/>
          </w:tcPr>
          <w:p w14:paraId="702EA09C" w14:textId="77777777" w:rsidR="002B64EF" w:rsidRDefault="002B64EF" w:rsidP="002B64EF">
            <w:pPr>
              <w:pStyle w:val="Tablewriting"/>
            </w:pPr>
            <w:r>
              <w:t>0.9 mg/kg</w:t>
            </w:r>
          </w:p>
        </w:tc>
        <w:tc>
          <w:tcPr>
            <w:tcW w:w="1681" w:type="dxa"/>
          </w:tcPr>
          <w:p w14:paraId="47D48452" w14:textId="77777777" w:rsidR="002B64EF" w:rsidRDefault="002B64EF" w:rsidP="002B64EF">
            <w:pPr>
              <w:pStyle w:val="Tablewriting"/>
            </w:pPr>
            <w:r>
              <w:t>30 mg</w:t>
            </w:r>
          </w:p>
        </w:tc>
        <w:tc>
          <w:tcPr>
            <w:tcW w:w="2111" w:type="dxa"/>
          </w:tcPr>
          <w:p w14:paraId="3EE51D2C" w14:textId="77777777" w:rsidR="002B64EF" w:rsidRDefault="002B64EF" w:rsidP="002B64EF">
            <w:pPr>
              <w:pStyle w:val="Tablewriting"/>
            </w:pPr>
            <w:r>
              <w:t>1.8 mg/kg</w:t>
            </w:r>
          </w:p>
        </w:tc>
        <w:tc>
          <w:tcPr>
            <w:tcW w:w="1701" w:type="dxa"/>
          </w:tcPr>
          <w:p w14:paraId="769D0396" w14:textId="77777777" w:rsidR="002B64EF" w:rsidRDefault="002B64EF" w:rsidP="002B64EF">
            <w:pPr>
              <w:pStyle w:val="Tablewriting"/>
            </w:pPr>
            <w:r>
              <w:t>60 mg</w:t>
            </w:r>
          </w:p>
        </w:tc>
      </w:tr>
      <w:tr w:rsidR="002B64EF" w:rsidRPr="00D63C45" w14:paraId="54670ACD" w14:textId="77777777" w:rsidTr="002B64EF">
        <w:trPr>
          <w:trHeight w:val="549"/>
        </w:trPr>
        <w:tc>
          <w:tcPr>
            <w:tcW w:w="1574" w:type="dxa"/>
            <w:shd w:val="clear" w:color="auto" w:fill="auto"/>
            <w:hideMark/>
          </w:tcPr>
          <w:p w14:paraId="04DEA8D4" w14:textId="77777777" w:rsidR="002B64EF" w:rsidRPr="00A50DA9" w:rsidRDefault="002B64EF" w:rsidP="002B64EF">
            <w:pPr>
              <w:pStyle w:val="Tablewriting"/>
            </w:pPr>
            <w:r w:rsidRPr="00D63C45">
              <w:t>WA</w:t>
            </w:r>
            <w:r w:rsidRPr="00A95FDA">
              <w:rPr>
                <w:vertAlign w:val="superscript"/>
              </w:rPr>
              <w:fldChar w:fldCharType="begin"/>
            </w:r>
            <w:r w:rsidRPr="00A95FDA">
              <w:rPr>
                <w:vertAlign w:val="superscript"/>
              </w:rPr>
              <w:instrText xml:space="preserve"> NOTEREF _Ref418678115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37</w:t>
            </w:r>
            <w:r w:rsidRPr="00A95FDA">
              <w:rPr>
                <w:vertAlign w:val="superscript"/>
              </w:rPr>
              <w:fldChar w:fldCharType="end"/>
            </w:r>
            <w:r>
              <w:rPr>
                <w:vertAlign w:val="superscript"/>
              </w:rPr>
              <w:t>; c; d</w:t>
            </w:r>
          </w:p>
        </w:tc>
        <w:tc>
          <w:tcPr>
            <w:tcW w:w="2019" w:type="dxa"/>
          </w:tcPr>
          <w:p w14:paraId="6CFF8150" w14:textId="77777777" w:rsidR="002B64EF" w:rsidRDefault="002B64EF" w:rsidP="002B64EF">
            <w:pPr>
              <w:pStyle w:val="Tablewriting"/>
            </w:pPr>
            <w:r>
              <w:t>1 mg/kg up to 60 mg</w:t>
            </w:r>
          </w:p>
        </w:tc>
        <w:tc>
          <w:tcPr>
            <w:tcW w:w="1681" w:type="dxa"/>
          </w:tcPr>
          <w:p w14:paraId="2110DD87" w14:textId="77777777" w:rsidR="002B64EF" w:rsidRDefault="002B64EF" w:rsidP="002B64EF">
            <w:pPr>
              <w:pStyle w:val="Tablewriting"/>
            </w:pPr>
            <w:r>
              <w:t>60 mg</w:t>
            </w:r>
          </w:p>
        </w:tc>
        <w:tc>
          <w:tcPr>
            <w:tcW w:w="2111" w:type="dxa"/>
          </w:tcPr>
          <w:p w14:paraId="1F0F3EB7" w14:textId="77777777" w:rsidR="002B64EF" w:rsidRDefault="002B64EF" w:rsidP="002B64EF">
            <w:pPr>
              <w:pStyle w:val="Tablewriting"/>
            </w:pPr>
            <w:r>
              <w:t>2 mg/kg up to 120 mg</w:t>
            </w:r>
          </w:p>
        </w:tc>
        <w:tc>
          <w:tcPr>
            <w:tcW w:w="1701" w:type="dxa"/>
          </w:tcPr>
          <w:p w14:paraId="26E5AE93" w14:textId="77777777" w:rsidR="002B64EF" w:rsidRDefault="002B64EF" w:rsidP="002B64EF">
            <w:pPr>
              <w:pStyle w:val="Tablewriting"/>
            </w:pPr>
            <w:r>
              <w:t>120 mg</w:t>
            </w:r>
          </w:p>
        </w:tc>
      </w:tr>
      <w:tr w:rsidR="002B64EF" w:rsidRPr="00D63C45" w14:paraId="4C1A002E" w14:textId="77777777" w:rsidTr="002B64EF">
        <w:trPr>
          <w:trHeight w:val="549"/>
        </w:trPr>
        <w:tc>
          <w:tcPr>
            <w:tcW w:w="1574" w:type="dxa"/>
            <w:shd w:val="clear" w:color="auto" w:fill="auto"/>
          </w:tcPr>
          <w:p w14:paraId="10164CAB" w14:textId="77777777" w:rsidR="002B64EF" w:rsidRPr="00D63C45" w:rsidRDefault="002B64EF" w:rsidP="002B64EF">
            <w:pPr>
              <w:pStyle w:val="Tablewriting"/>
            </w:pPr>
            <w:r>
              <w:t>Product Information</w:t>
            </w:r>
            <w:r w:rsidRPr="00A95FDA">
              <w:rPr>
                <w:vertAlign w:val="superscript"/>
              </w:rPr>
              <w:fldChar w:fldCharType="begin"/>
            </w:r>
            <w:r w:rsidRPr="00A95FDA">
              <w:rPr>
                <w:vertAlign w:val="superscript"/>
              </w:rPr>
              <w:instrText xml:space="preserve"> NOTEREF _Ref418677097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7</w:t>
            </w:r>
            <w:r w:rsidRPr="00A95FDA">
              <w:rPr>
                <w:vertAlign w:val="superscript"/>
              </w:rPr>
              <w:fldChar w:fldCharType="end"/>
            </w:r>
            <w:r w:rsidRPr="00A95FDA">
              <w:rPr>
                <w:vertAlign w:val="superscript"/>
              </w:rPr>
              <w:t>;</w:t>
            </w:r>
            <w:r w:rsidRPr="00A95FDA">
              <w:rPr>
                <w:vertAlign w:val="superscript"/>
              </w:rPr>
              <w:fldChar w:fldCharType="begin"/>
            </w:r>
            <w:r w:rsidRPr="00A95FDA">
              <w:rPr>
                <w:vertAlign w:val="superscript"/>
              </w:rPr>
              <w:instrText xml:space="preserve"> NOTEREF _Ref418677140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8</w:t>
            </w:r>
            <w:r w:rsidRPr="00A95FDA">
              <w:rPr>
                <w:vertAlign w:val="superscript"/>
              </w:rPr>
              <w:fldChar w:fldCharType="end"/>
            </w:r>
            <w:r w:rsidRPr="00A95FDA">
              <w:rPr>
                <w:vertAlign w:val="superscript"/>
              </w:rPr>
              <w:t>;</w:t>
            </w:r>
            <w:r w:rsidRPr="00A95FDA">
              <w:rPr>
                <w:vertAlign w:val="superscript"/>
              </w:rPr>
              <w:fldChar w:fldCharType="begin"/>
            </w:r>
            <w:r w:rsidRPr="00A95FDA">
              <w:rPr>
                <w:vertAlign w:val="superscript"/>
              </w:rPr>
              <w:instrText xml:space="preserve"> NOTEREF _Ref418677185 \h </w:instrText>
            </w:r>
            <w:r>
              <w:rPr>
                <w:vertAlign w:val="superscript"/>
              </w:rPr>
              <w:instrText xml:space="preserve"> \* MERGEFORMAT </w:instrText>
            </w:r>
            <w:r w:rsidRPr="00A95FDA">
              <w:rPr>
                <w:vertAlign w:val="superscript"/>
              </w:rPr>
            </w:r>
            <w:r w:rsidRPr="00A95FDA">
              <w:rPr>
                <w:vertAlign w:val="superscript"/>
              </w:rPr>
              <w:fldChar w:fldCharType="separate"/>
            </w:r>
            <w:r>
              <w:rPr>
                <w:vertAlign w:val="superscript"/>
              </w:rPr>
              <w:t>9</w:t>
            </w:r>
            <w:r w:rsidRPr="00A95FDA">
              <w:rPr>
                <w:vertAlign w:val="superscript"/>
              </w:rPr>
              <w:fldChar w:fldCharType="end"/>
            </w:r>
          </w:p>
        </w:tc>
        <w:tc>
          <w:tcPr>
            <w:tcW w:w="2019" w:type="dxa"/>
          </w:tcPr>
          <w:p w14:paraId="4287E8B4" w14:textId="77777777" w:rsidR="002B64EF" w:rsidRDefault="002B64EF" w:rsidP="002B64EF">
            <w:pPr>
              <w:pStyle w:val="Tablewriting"/>
            </w:pPr>
            <w:r>
              <w:t>40 mg</w:t>
            </w:r>
          </w:p>
        </w:tc>
        <w:tc>
          <w:tcPr>
            <w:tcW w:w="1681" w:type="dxa"/>
          </w:tcPr>
          <w:p w14:paraId="72F71E26" w14:textId="77777777" w:rsidR="002B64EF" w:rsidRDefault="002B64EF" w:rsidP="002B64EF">
            <w:pPr>
              <w:pStyle w:val="Tablewriting"/>
            </w:pPr>
            <w:r>
              <w:t>-</w:t>
            </w:r>
          </w:p>
        </w:tc>
        <w:tc>
          <w:tcPr>
            <w:tcW w:w="2111" w:type="dxa"/>
          </w:tcPr>
          <w:p w14:paraId="0D4C9311" w14:textId="77777777" w:rsidR="002B64EF" w:rsidRDefault="002B64EF" w:rsidP="002B64EF">
            <w:pPr>
              <w:pStyle w:val="Tablewriting"/>
            </w:pPr>
            <w:r>
              <w:t>IR: -</w:t>
            </w:r>
          </w:p>
          <w:p w14:paraId="4DB29F02" w14:textId="77777777" w:rsidR="002B64EF" w:rsidRDefault="002B64EF" w:rsidP="002B64EF">
            <w:pPr>
              <w:pStyle w:val="Tablewriting"/>
            </w:pPr>
            <w:r>
              <w:t>MR: 54–60 mg</w:t>
            </w:r>
          </w:p>
        </w:tc>
        <w:tc>
          <w:tcPr>
            <w:tcW w:w="1701" w:type="dxa"/>
          </w:tcPr>
          <w:p w14:paraId="588AF388" w14:textId="77777777" w:rsidR="002B64EF" w:rsidRDefault="002B64EF" w:rsidP="002B64EF">
            <w:pPr>
              <w:pStyle w:val="Tablewriting"/>
            </w:pPr>
            <w:r>
              <w:t>IR: -</w:t>
            </w:r>
          </w:p>
          <w:p w14:paraId="65AD8025" w14:textId="77777777" w:rsidR="002B64EF" w:rsidRDefault="002B64EF" w:rsidP="002B64EF">
            <w:pPr>
              <w:pStyle w:val="Tablewriting"/>
            </w:pPr>
            <w:r>
              <w:t>MR: 72–80 mg</w:t>
            </w:r>
          </w:p>
        </w:tc>
      </w:tr>
    </w:tbl>
    <w:p w14:paraId="1C85BE67" w14:textId="77777777" w:rsidR="002B64EF" w:rsidRPr="00F12E96" w:rsidRDefault="002B64EF" w:rsidP="002B64EF">
      <w:pPr>
        <w:pStyle w:val="Notes"/>
      </w:pPr>
      <w:r>
        <w:rPr>
          <w:b/>
        </w:rPr>
        <w:t xml:space="preserve">Abbreviations: </w:t>
      </w:r>
      <w:r>
        <w:t>IR: immediate release methylphenidate; MR: modified release methylphenidate</w:t>
      </w:r>
    </w:p>
    <w:p w14:paraId="51E63927" w14:textId="77777777" w:rsidR="002B64EF" w:rsidRDefault="002B64EF" w:rsidP="002B64EF">
      <w:pPr>
        <w:pStyle w:val="Notes"/>
      </w:pPr>
      <w:r w:rsidRPr="00250133">
        <w:rPr>
          <w:b/>
        </w:rPr>
        <w:t>Notes:</w:t>
      </w:r>
      <w:r>
        <w:t xml:space="preserve"> </w:t>
      </w:r>
      <w:r w:rsidRPr="00250133">
        <w:rPr>
          <w:vertAlign w:val="superscript"/>
        </w:rPr>
        <w:t>a</w:t>
      </w:r>
      <w:r>
        <w:t xml:space="preserve"> ACT, Victoria, Queensland and the NT do not have specific regulations on maximum doses of psychostimulants that can be prescribed.</w:t>
      </w:r>
    </w:p>
    <w:p w14:paraId="082B6ECE" w14:textId="77777777" w:rsidR="002B64EF" w:rsidRDefault="002B64EF" w:rsidP="002B64EF">
      <w:pPr>
        <w:pStyle w:val="Notes"/>
      </w:pPr>
      <w:r w:rsidRPr="00250133">
        <w:rPr>
          <w:vertAlign w:val="superscript"/>
        </w:rPr>
        <w:t>b</w:t>
      </w:r>
      <w:r>
        <w:t xml:space="preserve"> NSW, SA and Tasmania allow applications for increased doses of psychostimluants beyond the maximums listed, but there are additional regulatory requirements.</w:t>
      </w:r>
    </w:p>
    <w:p w14:paraId="05467BF4" w14:textId="77777777" w:rsidR="002B64EF" w:rsidRDefault="002B64EF" w:rsidP="002B64EF">
      <w:pPr>
        <w:pStyle w:val="Notes"/>
      </w:pPr>
      <w:r w:rsidRPr="001A28BC">
        <w:rPr>
          <w:vertAlign w:val="superscript"/>
        </w:rPr>
        <w:t>c</w:t>
      </w:r>
      <w:r>
        <w:t xml:space="preserve"> The maximum dose of lisdexamphetamine that may be prescribed in WA is 70 mg/day.</w:t>
      </w:r>
    </w:p>
    <w:p w14:paraId="7C0DEC12" w14:textId="77777777" w:rsidR="002B64EF" w:rsidRPr="007D307A" w:rsidRDefault="002B64EF" w:rsidP="002B64EF">
      <w:pPr>
        <w:pStyle w:val="Notes"/>
      </w:pPr>
      <w:r w:rsidRPr="001A28BC">
        <w:rPr>
          <w:vertAlign w:val="superscript"/>
        </w:rPr>
        <w:t>d</w:t>
      </w:r>
      <w:r>
        <w:t xml:space="preserve"> </w:t>
      </w:r>
      <w:r w:rsidRPr="00D63C45">
        <w:t>Where both dexamphetamine and methylphenidate are prescribed</w:t>
      </w:r>
      <w:r>
        <w:t xml:space="preserve">, the maximum dexamphetamine equivalent dose must not exceed 1 mg/kg/day or a maximum of 60 mg/day for children and adolescents, or 60 mg/day for adults. </w:t>
      </w:r>
      <w:r w:rsidRPr="000B1006">
        <w:t>The maximum dexamphetamine equivalent dose is determined by dividing the methylphenidate dose</w:t>
      </w:r>
      <w:r>
        <w:t xml:space="preserve"> (in mg)</w:t>
      </w:r>
      <w:r w:rsidRPr="000B1006">
        <w:t xml:space="preserve"> by two and adding to the dexamphetamine dose</w:t>
      </w:r>
      <w:r>
        <w:t xml:space="preserve"> (in mg).</w:t>
      </w:r>
    </w:p>
    <w:p w14:paraId="3D2663BA" w14:textId="77777777" w:rsidR="002B64EF" w:rsidRDefault="002B64EF" w:rsidP="002B64EF">
      <w:pPr>
        <w:pStyle w:val="Tablewriting"/>
      </w:pPr>
    </w:p>
    <w:p w14:paraId="04CCB3B6" w14:textId="77777777" w:rsidR="002B64EF" w:rsidRDefault="002B64EF" w:rsidP="002B64EF">
      <w:pPr>
        <w:pStyle w:val="Notes"/>
        <w:sectPr w:rsidR="002B64EF" w:rsidSect="002B64EF">
          <w:endnotePr>
            <w:numFmt w:val="decimal"/>
          </w:endnotePr>
          <w:pgSz w:w="11906" w:h="16838"/>
          <w:pgMar w:top="1644" w:right="1361" w:bottom="1644" w:left="1588" w:header="709" w:footer="709" w:gutter="0"/>
          <w:cols w:space="708"/>
          <w:titlePg/>
          <w:docGrid w:linePitch="360"/>
        </w:sectPr>
      </w:pPr>
    </w:p>
    <w:p w14:paraId="3C16F820" w14:textId="77777777" w:rsidR="002B64EF" w:rsidRDefault="002B64EF" w:rsidP="002B64EF">
      <w:pPr>
        <w:pStyle w:val="Heading1"/>
      </w:pPr>
      <w:r>
        <w:t>Appendix B: PBS listing dates and changes to listings for ADHD medicines</w:t>
      </w:r>
    </w:p>
    <w:p w14:paraId="5839C781" w14:textId="77777777" w:rsidR="002B64EF" w:rsidRPr="00CF4D28" w:rsidRDefault="002B64EF" w:rsidP="002B64EF">
      <w:pPr>
        <w:pStyle w:val="Tabletitle"/>
      </w:pPr>
      <w:r>
        <w:t xml:space="preserve">Table B.1. </w:t>
      </w:r>
      <w:r w:rsidRPr="00CF4D28">
        <w:t xml:space="preserve">Date of listing of PBS medicines used in the treatment of ADHD. </w:t>
      </w: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985"/>
        <w:gridCol w:w="1559"/>
        <w:gridCol w:w="1134"/>
        <w:gridCol w:w="1134"/>
      </w:tblGrid>
      <w:tr w:rsidR="002B64EF" w:rsidRPr="00CD3739" w14:paraId="6316CD90" w14:textId="77777777" w:rsidTr="002B64EF">
        <w:trPr>
          <w:cantSplit/>
          <w:tblHeader/>
        </w:trPr>
        <w:tc>
          <w:tcPr>
            <w:tcW w:w="1384" w:type="dxa"/>
            <w:shd w:val="clear" w:color="auto" w:fill="BFBFBF" w:themeFill="background1" w:themeFillShade="BF"/>
          </w:tcPr>
          <w:p w14:paraId="3BA77E93" w14:textId="77777777" w:rsidR="002B64EF" w:rsidRPr="00FB3457" w:rsidRDefault="002B64EF" w:rsidP="002B64EF">
            <w:pPr>
              <w:pStyle w:val="Tableheading"/>
            </w:pPr>
            <w:r w:rsidRPr="00FB3457">
              <w:t>Date</w:t>
            </w:r>
          </w:p>
        </w:tc>
        <w:tc>
          <w:tcPr>
            <w:tcW w:w="1985" w:type="dxa"/>
            <w:shd w:val="clear" w:color="auto" w:fill="BFBFBF" w:themeFill="background1" w:themeFillShade="BF"/>
          </w:tcPr>
          <w:p w14:paraId="23AF97A9" w14:textId="77777777" w:rsidR="002B64EF" w:rsidRPr="00FB3457" w:rsidRDefault="002B64EF" w:rsidP="002B64EF">
            <w:pPr>
              <w:pStyle w:val="Tableheading"/>
            </w:pPr>
            <w:r>
              <w:t>Drug name</w:t>
            </w:r>
          </w:p>
        </w:tc>
        <w:tc>
          <w:tcPr>
            <w:tcW w:w="1559" w:type="dxa"/>
            <w:shd w:val="clear" w:color="auto" w:fill="BFBFBF" w:themeFill="background1" w:themeFillShade="BF"/>
          </w:tcPr>
          <w:p w14:paraId="2259E219" w14:textId="77777777" w:rsidR="002B64EF" w:rsidRDefault="002B64EF" w:rsidP="002B64EF">
            <w:pPr>
              <w:pStyle w:val="Tableheading"/>
            </w:pPr>
            <w:r>
              <w:t>Brand name</w:t>
            </w:r>
          </w:p>
        </w:tc>
        <w:tc>
          <w:tcPr>
            <w:tcW w:w="1134" w:type="dxa"/>
            <w:shd w:val="clear" w:color="auto" w:fill="BFBFBF" w:themeFill="background1" w:themeFillShade="BF"/>
          </w:tcPr>
          <w:p w14:paraId="6D43994B" w14:textId="77777777" w:rsidR="002B64EF" w:rsidRPr="00FB3457" w:rsidRDefault="002B64EF" w:rsidP="002B64EF">
            <w:pPr>
              <w:pStyle w:val="Tableheading"/>
            </w:pPr>
            <w:r>
              <w:t>Strength</w:t>
            </w:r>
          </w:p>
        </w:tc>
        <w:tc>
          <w:tcPr>
            <w:tcW w:w="1134" w:type="dxa"/>
            <w:shd w:val="clear" w:color="auto" w:fill="BFBFBF" w:themeFill="background1" w:themeFillShade="BF"/>
          </w:tcPr>
          <w:p w14:paraId="555CC5A2" w14:textId="77777777" w:rsidR="002B64EF" w:rsidRPr="00FB3457" w:rsidRDefault="002B64EF" w:rsidP="002B64EF">
            <w:pPr>
              <w:pStyle w:val="Tableheading"/>
            </w:pPr>
            <w:r>
              <w:t>Item</w:t>
            </w:r>
          </w:p>
        </w:tc>
      </w:tr>
      <w:tr w:rsidR="002B64EF" w:rsidRPr="00CD3739" w14:paraId="03D2BC45" w14:textId="77777777" w:rsidTr="002B64EF">
        <w:trPr>
          <w:trHeight w:val="405"/>
        </w:trPr>
        <w:tc>
          <w:tcPr>
            <w:tcW w:w="1384" w:type="dxa"/>
          </w:tcPr>
          <w:p w14:paraId="7CD8F4DC" w14:textId="77777777" w:rsidR="002B64EF" w:rsidRPr="00CD3739" w:rsidRDefault="002B64EF" w:rsidP="002B64EF">
            <w:pPr>
              <w:pStyle w:val="Tablewriting"/>
              <w:rPr>
                <w:b/>
              </w:rPr>
            </w:pPr>
            <w:r>
              <w:t>Dec</w:t>
            </w:r>
            <w:r w:rsidRPr="00CD3739">
              <w:t xml:space="preserve"> 1973</w:t>
            </w:r>
          </w:p>
        </w:tc>
        <w:tc>
          <w:tcPr>
            <w:tcW w:w="1985" w:type="dxa"/>
          </w:tcPr>
          <w:p w14:paraId="2A369D2D" w14:textId="77777777" w:rsidR="002B64EF" w:rsidRPr="00CD3739" w:rsidRDefault="002B64EF" w:rsidP="002B64EF">
            <w:pPr>
              <w:pStyle w:val="Tablewriting"/>
            </w:pPr>
            <w:r>
              <w:t>Dexamphetamine</w:t>
            </w:r>
          </w:p>
        </w:tc>
        <w:tc>
          <w:tcPr>
            <w:tcW w:w="1559" w:type="dxa"/>
          </w:tcPr>
          <w:p w14:paraId="0C388791" w14:textId="77777777" w:rsidR="002B64EF" w:rsidRDefault="002B64EF" w:rsidP="002B64EF">
            <w:pPr>
              <w:pStyle w:val="Tablewriting"/>
            </w:pPr>
            <w:r>
              <w:t>-</w:t>
            </w:r>
          </w:p>
        </w:tc>
        <w:tc>
          <w:tcPr>
            <w:tcW w:w="1134" w:type="dxa"/>
          </w:tcPr>
          <w:p w14:paraId="6FB56C56" w14:textId="77777777" w:rsidR="002B64EF" w:rsidRPr="00CD3739" w:rsidRDefault="002B64EF" w:rsidP="002B64EF">
            <w:pPr>
              <w:pStyle w:val="Tablewriting"/>
            </w:pPr>
            <w:r>
              <w:t>5 mg</w:t>
            </w:r>
          </w:p>
        </w:tc>
        <w:tc>
          <w:tcPr>
            <w:tcW w:w="1134" w:type="dxa"/>
          </w:tcPr>
          <w:p w14:paraId="1E0A14F5" w14:textId="77777777" w:rsidR="002B64EF" w:rsidRPr="00CD3739" w:rsidRDefault="002B64EF" w:rsidP="002B64EF">
            <w:pPr>
              <w:pStyle w:val="Tablewriting"/>
            </w:pPr>
            <w:r>
              <w:t>1165H</w:t>
            </w:r>
          </w:p>
        </w:tc>
      </w:tr>
      <w:tr w:rsidR="002B64EF" w:rsidRPr="00CD3739" w14:paraId="59FDFE8C" w14:textId="77777777" w:rsidTr="002B64EF">
        <w:tc>
          <w:tcPr>
            <w:tcW w:w="1384" w:type="dxa"/>
          </w:tcPr>
          <w:p w14:paraId="468D5E8F" w14:textId="77777777" w:rsidR="002B64EF" w:rsidRPr="00CD3739" w:rsidRDefault="002B64EF" w:rsidP="002B64EF">
            <w:pPr>
              <w:pStyle w:val="Tablewriting"/>
            </w:pPr>
            <w:r>
              <w:t>Aug</w:t>
            </w:r>
            <w:r w:rsidRPr="00CD3739">
              <w:t xml:space="preserve"> 2005</w:t>
            </w:r>
          </w:p>
        </w:tc>
        <w:tc>
          <w:tcPr>
            <w:tcW w:w="1985" w:type="dxa"/>
          </w:tcPr>
          <w:p w14:paraId="38717655" w14:textId="77777777" w:rsidR="002B64EF" w:rsidRPr="00CD3739" w:rsidRDefault="002B64EF" w:rsidP="002B64EF">
            <w:pPr>
              <w:pStyle w:val="Tablewriting"/>
            </w:pPr>
            <w:r>
              <w:t>Methylphenidate IR</w:t>
            </w:r>
          </w:p>
        </w:tc>
        <w:tc>
          <w:tcPr>
            <w:tcW w:w="1559" w:type="dxa"/>
          </w:tcPr>
          <w:p w14:paraId="73D5614F" w14:textId="77777777" w:rsidR="002B64EF" w:rsidRDefault="002B64EF" w:rsidP="002B64EF">
            <w:pPr>
              <w:pStyle w:val="Tablewriting"/>
            </w:pPr>
            <w:r>
              <w:t>Ritalin 10</w:t>
            </w:r>
          </w:p>
        </w:tc>
        <w:tc>
          <w:tcPr>
            <w:tcW w:w="1134" w:type="dxa"/>
          </w:tcPr>
          <w:p w14:paraId="5C030A02" w14:textId="77777777" w:rsidR="002B64EF" w:rsidRPr="00CD3739" w:rsidRDefault="002B64EF" w:rsidP="002B64EF">
            <w:pPr>
              <w:pStyle w:val="Tablewriting"/>
            </w:pPr>
            <w:r>
              <w:t>10 mg</w:t>
            </w:r>
          </w:p>
        </w:tc>
        <w:tc>
          <w:tcPr>
            <w:tcW w:w="1134" w:type="dxa"/>
          </w:tcPr>
          <w:p w14:paraId="7BA3E7BC" w14:textId="77777777" w:rsidR="002B64EF" w:rsidRPr="00CD3739" w:rsidRDefault="002B64EF" w:rsidP="002B64EF">
            <w:pPr>
              <w:pStyle w:val="Tablewriting"/>
            </w:pPr>
            <w:r>
              <w:t>8839F</w:t>
            </w:r>
          </w:p>
        </w:tc>
      </w:tr>
      <w:tr w:rsidR="002B64EF" w:rsidRPr="00CD3739" w14:paraId="390CCB52" w14:textId="77777777" w:rsidTr="002B64EF">
        <w:tc>
          <w:tcPr>
            <w:tcW w:w="1384" w:type="dxa"/>
          </w:tcPr>
          <w:p w14:paraId="001B263E" w14:textId="77777777" w:rsidR="002B64EF" w:rsidRPr="00CD3739" w:rsidRDefault="002B64EF" w:rsidP="002B64EF">
            <w:pPr>
              <w:pStyle w:val="Tablewriting"/>
            </w:pPr>
            <w:r>
              <w:t>Dec</w:t>
            </w:r>
            <w:r w:rsidRPr="00CD3739">
              <w:t xml:space="preserve"> 2005</w:t>
            </w:r>
          </w:p>
        </w:tc>
        <w:tc>
          <w:tcPr>
            <w:tcW w:w="1985" w:type="dxa"/>
          </w:tcPr>
          <w:p w14:paraId="2C96C2C9" w14:textId="77777777" w:rsidR="002B64EF" w:rsidRPr="00CD3739" w:rsidRDefault="002B64EF" w:rsidP="002B64EF">
            <w:pPr>
              <w:pStyle w:val="Tablewriting"/>
            </w:pPr>
            <w:r>
              <w:t>Methylphenidate IR</w:t>
            </w:r>
          </w:p>
        </w:tc>
        <w:tc>
          <w:tcPr>
            <w:tcW w:w="1559" w:type="dxa"/>
          </w:tcPr>
          <w:p w14:paraId="2EBB5D95" w14:textId="77777777" w:rsidR="002B64EF" w:rsidRDefault="002B64EF" w:rsidP="002B64EF">
            <w:pPr>
              <w:pStyle w:val="Tablewriting"/>
            </w:pPr>
            <w:r>
              <w:t>Attenta*</w:t>
            </w:r>
          </w:p>
        </w:tc>
        <w:tc>
          <w:tcPr>
            <w:tcW w:w="1134" w:type="dxa"/>
          </w:tcPr>
          <w:p w14:paraId="6501E6B5" w14:textId="77777777" w:rsidR="002B64EF" w:rsidRPr="00CD3739" w:rsidRDefault="002B64EF" w:rsidP="002B64EF">
            <w:pPr>
              <w:pStyle w:val="Tablewriting"/>
            </w:pPr>
            <w:r>
              <w:t>10 mg</w:t>
            </w:r>
          </w:p>
        </w:tc>
        <w:tc>
          <w:tcPr>
            <w:tcW w:w="1134" w:type="dxa"/>
          </w:tcPr>
          <w:p w14:paraId="14FC95D5" w14:textId="77777777" w:rsidR="002B64EF" w:rsidRPr="00CD3739" w:rsidRDefault="002B64EF" w:rsidP="002B64EF">
            <w:pPr>
              <w:pStyle w:val="Tablewriting"/>
            </w:pPr>
            <w:r>
              <w:t>8829F</w:t>
            </w:r>
          </w:p>
        </w:tc>
      </w:tr>
      <w:tr w:rsidR="002B64EF" w:rsidRPr="00CD3739" w14:paraId="5A218C43" w14:textId="77777777" w:rsidTr="002B64EF">
        <w:tc>
          <w:tcPr>
            <w:tcW w:w="1384" w:type="dxa"/>
            <w:vMerge w:val="restart"/>
          </w:tcPr>
          <w:p w14:paraId="3AE0D272" w14:textId="77777777" w:rsidR="002B64EF" w:rsidRPr="00CD3739" w:rsidRDefault="002B64EF" w:rsidP="002B64EF">
            <w:pPr>
              <w:pStyle w:val="Tablewriting"/>
              <w:rPr>
                <w:b/>
              </w:rPr>
            </w:pPr>
            <w:r w:rsidRPr="00CD3739">
              <w:t>April 2007</w:t>
            </w:r>
          </w:p>
        </w:tc>
        <w:tc>
          <w:tcPr>
            <w:tcW w:w="1985" w:type="dxa"/>
            <w:vMerge w:val="restart"/>
          </w:tcPr>
          <w:p w14:paraId="5DF62818" w14:textId="77777777" w:rsidR="002B64EF" w:rsidRPr="00CD3739" w:rsidRDefault="002B64EF" w:rsidP="002B64EF">
            <w:pPr>
              <w:pStyle w:val="Tablewriting"/>
            </w:pPr>
            <w:r w:rsidRPr="00CD3739">
              <w:t>Methylphenidate</w:t>
            </w:r>
            <w:r>
              <w:t xml:space="preserve"> MR</w:t>
            </w:r>
          </w:p>
        </w:tc>
        <w:tc>
          <w:tcPr>
            <w:tcW w:w="1559" w:type="dxa"/>
            <w:vMerge w:val="restart"/>
          </w:tcPr>
          <w:p w14:paraId="476D01E7" w14:textId="77777777" w:rsidR="002B64EF" w:rsidRDefault="002B64EF" w:rsidP="002B64EF">
            <w:pPr>
              <w:pStyle w:val="Tablewriting"/>
            </w:pPr>
            <w:r>
              <w:t>Concerta</w:t>
            </w:r>
          </w:p>
        </w:tc>
        <w:tc>
          <w:tcPr>
            <w:tcW w:w="1134" w:type="dxa"/>
          </w:tcPr>
          <w:p w14:paraId="3BEEC4F3" w14:textId="77777777" w:rsidR="002B64EF" w:rsidRPr="00CD3739" w:rsidRDefault="002B64EF" w:rsidP="002B64EF">
            <w:pPr>
              <w:pStyle w:val="Tablewriting"/>
            </w:pPr>
            <w:r>
              <w:t>18 mg</w:t>
            </w:r>
          </w:p>
        </w:tc>
        <w:tc>
          <w:tcPr>
            <w:tcW w:w="1134" w:type="dxa"/>
          </w:tcPr>
          <w:p w14:paraId="5206636F" w14:textId="77777777" w:rsidR="002B64EF" w:rsidRPr="00CD3739" w:rsidRDefault="002B64EF" w:rsidP="002B64EF">
            <w:pPr>
              <w:pStyle w:val="Tablewriting"/>
            </w:pPr>
            <w:r w:rsidRPr="00CD3739">
              <w:t>2387P</w:t>
            </w:r>
          </w:p>
        </w:tc>
      </w:tr>
      <w:tr w:rsidR="002B64EF" w:rsidRPr="00CD3739" w14:paraId="03A2DB18" w14:textId="77777777" w:rsidTr="002B64EF">
        <w:tc>
          <w:tcPr>
            <w:tcW w:w="1384" w:type="dxa"/>
            <w:vMerge/>
          </w:tcPr>
          <w:p w14:paraId="540ED89B" w14:textId="77777777" w:rsidR="002B64EF" w:rsidRPr="00CD3739" w:rsidRDefault="002B64EF" w:rsidP="002B64EF">
            <w:pPr>
              <w:pStyle w:val="Tablewriting"/>
            </w:pPr>
          </w:p>
        </w:tc>
        <w:tc>
          <w:tcPr>
            <w:tcW w:w="1985" w:type="dxa"/>
            <w:vMerge/>
          </w:tcPr>
          <w:p w14:paraId="58988C39" w14:textId="77777777" w:rsidR="002B64EF" w:rsidRPr="00CD3739" w:rsidRDefault="002B64EF" w:rsidP="002B64EF">
            <w:pPr>
              <w:pStyle w:val="Tablewriting"/>
            </w:pPr>
          </w:p>
        </w:tc>
        <w:tc>
          <w:tcPr>
            <w:tcW w:w="1559" w:type="dxa"/>
            <w:vMerge/>
          </w:tcPr>
          <w:p w14:paraId="6F483F58" w14:textId="77777777" w:rsidR="002B64EF" w:rsidRDefault="002B64EF" w:rsidP="002B64EF">
            <w:pPr>
              <w:pStyle w:val="Tablewriting"/>
            </w:pPr>
          </w:p>
        </w:tc>
        <w:tc>
          <w:tcPr>
            <w:tcW w:w="1134" w:type="dxa"/>
          </w:tcPr>
          <w:p w14:paraId="41B30E9A" w14:textId="77777777" w:rsidR="002B64EF" w:rsidRDefault="002B64EF" w:rsidP="002B64EF">
            <w:pPr>
              <w:pStyle w:val="Tablewriting"/>
            </w:pPr>
            <w:r>
              <w:t>36 mg</w:t>
            </w:r>
          </w:p>
        </w:tc>
        <w:tc>
          <w:tcPr>
            <w:tcW w:w="1134" w:type="dxa"/>
          </w:tcPr>
          <w:p w14:paraId="0D43F88C" w14:textId="77777777" w:rsidR="002B64EF" w:rsidRPr="00CD3739" w:rsidRDefault="002B64EF" w:rsidP="002B64EF">
            <w:pPr>
              <w:pStyle w:val="Tablewriting"/>
            </w:pPr>
            <w:r w:rsidRPr="00CD3739">
              <w:t>2388Q</w:t>
            </w:r>
          </w:p>
        </w:tc>
      </w:tr>
      <w:tr w:rsidR="002B64EF" w:rsidRPr="00CD3739" w14:paraId="0800316F" w14:textId="77777777" w:rsidTr="002B64EF">
        <w:tc>
          <w:tcPr>
            <w:tcW w:w="1384" w:type="dxa"/>
            <w:vMerge/>
          </w:tcPr>
          <w:p w14:paraId="19BBDF18" w14:textId="77777777" w:rsidR="002B64EF" w:rsidRPr="00CD3739" w:rsidRDefault="002B64EF" w:rsidP="002B64EF">
            <w:pPr>
              <w:pStyle w:val="Tablewriting"/>
            </w:pPr>
          </w:p>
        </w:tc>
        <w:tc>
          <w:tcPr>
            <w:tcW w:w="1985" w:type="dxa"/>
            <w:vMerge/>
          </w:tcPr>
          <w:p w14:paraId="576A581C" w14:textId="77777777" w:rsidR="002B64EF" w:rsidRPr="00CD3739" w:rsidRDefault="002B64EF" w:rsidP="002B64EF">
            <w:pPr>
              <w:pStyle w:val="Tablewriting"/>
            </w:pPr>
          </w:p>
        </w:tc>
        <w:tc>
          <w:tcPr>
            <w:tcW w:w="1559" w:type="dxa"/>
            <w:vMerge/>
          </w:tcPr>
          <w:p w14:paraId="25C31373" w14:textId="77777777" w:rsidR="002B64EF" w:rsidRDefault="002B64EF" w:rsidP="002B64EF">
            <w:pPr>
              <w:pStyle w:val="Tablewriting"/>
            </w:pPr>
          </w:p>
        </w:tc>
        <w:tc>
          <w:tcPr>
            <w:tcW w:w="1134" w:type="dxa"/>
          </w:tcPr>
          <w:p w14:paraId="47CDDE1F" w14:textId="77777777" w:rsidR="002B64EF" w:rsidRDefault="002B64EF" w:rsidP="002B64EF">
            <w:pPr>
              <w:pStyle w:val="Tablewriting"/>
            </w:pPr>
            <w:r>
              <w:t>54 mg</w:t>
            </w:r>
          </w:p>
        </w:tc>
        <w:tc>
          <w:tcPr>
            <w:tcW w:w="1134" w:type="dxa"/>
          </w:tcPr>
          <w:p w14:paraId="3FCF1FB5" w14:textId="77777777" w:rsidR="002B64EF" w:rsidRPr="00CD3739" w:rsidRDefault="002B64EF" w:rsidP="002B64EF">
            <w:pPr>
              <w:pStyle w:val="Tablewriting"/>
            </w:pPr>
            <w:r w:rsidRPr="00CD3739">
              <w:t>2432B</w:t>
            </w:r>
          </w:p>
        </w:tc>
      </w:tr>
      <w:tr w:rsidR="002B64EF" w:rsidRPr="00CD3739" w14:paraId="1CF89C14" w14:textId="77777777" w:rsidTr="002B64EF">
        <w:tc>
          <w:tcPr>
            <w:tcW w:w="1384" w:type="dxa"/>
            <w:vMerge w:val="restart"/>
          </w:tcPr>
          <w:p w14:paraId="0A75182A" w14:textId="77777777" w:rsidR="002B64EF" w:rsidRPr="00CD3739" w:rsidRDefault="002B64EF" w:rsidP="002B64EF">
            <w:pPr>
              <w:pStyle w:val="Tablewriting"/>
            </w:pPr>
            <w:r w:rsidRPr="00CD3739">
              <w:t>July 2007</w:t>
            </w:r>
          </w:p>
        </w:tc>
        <w:tc>
          <w:tcPr>
            <w:tcW w:w="1985" w:type="dxa"/>
            <w:vMerge w:val="restart"/>
          </w:tcPr>
          <w:p w14:paraId="492CB682" w14:textId="77777777" w:rsidR="002B64EF" w:rsidRPr="00CD3739" w:rsidRDefault="002B64EF" w:rsidP="002B64EF">
            <w:pPr>
              <w:pStyle w:val="Tablewriting"/>
            </w:pPr>
            <w:r>
              <w:t>Atomoxetine</w:t>
            </w:r>
          </w:p>
        </w:tc>
        <w:tc>
          <w:tcPr>
            <w:tcW w:w="1559" w:type="dxa"/>
            <w:vMerge w:val="restart"/>
          </w:tcPr>
          <w:p w14:paraId="53627C5B" w14:textId="77777777" w:rsidR="002B64EF" w:rsidRPr="00CD3739" w:rsidRDefault="002B64EF" w:rsidP="002B64EF">
            <w:pPr>
              <w:pStyle w:val="Tablewriting"/>
            </w:pPr>
            <w:r>
              <w:t>Strattera</w:t>
            </w:r>
          </w:p>
        </w:tc>
        <w:tc>
          <w:tcPr>
            <w:tcW w:w="1134" w:type="dxa"/>
          </w:tcPr>
          <w:p w14:paraId="044994D1" w14:textId="77777777" w:rsidR="002B64EF" w:rsidRPr="00CD3739" w:rsidRDefault="002B64EF" w:rsidP="002B64EF">
            <w:pPr>
              <w:pStyle w:val="Tablewriting"/>
            </w:pPr>
            <w:r>
              <w:t>10 mg</w:t>
            </w:r>
          </w:p>
        </w:tc>
        <w:tc>
          <w:tcPr>
            <w:tcW w:w="1134" w:type="dxa"/>
          </w:tcPr>
          <w:p w14:paraId="15DEBCAB" w14:textId="77777777" w:rsidR="002B64EF" w:rsidRPr="00CD3739" w:rsidRDefault="002B64EF" w:rsidP="002B64EF">
            <w:pPr>
              <w:pStyle w:val="Tablewriting"/>
            </w:pPr>
            <w:r w:rsidRPr="00CD3739">
              <w:t>9092M</w:t>
            </w:r>
          </w:p>
        </w:tc>
      </w:tr>
      <w:tr w:rsidR="002B64EF" w:rsidRPr="00CD3739" w14:paraId="2DBB10D2" w14:textId="77777777" w:rsidTr="002B64EF">
        <w:tc>
          <w:tcPr>
            <w:tcW w:w="1384" w:type="dxa"/>
            <w:vMerge/>
          </w:tcPr>
          <w:p w14:paraId="08886856" w14:textId="77777777" w:rsidR="002B64EF" w:rsidRPr="00CD3739" w:rsidRDefault="002B64EF" w:rsidP="002B64EF">
            <w:pPr>
              <w:pStyle w:val="Tablewriting"/>
            </w:pPr>
          </w:p>
        </w:tc>
        <w:tc>
          <w:tcPr>
            <w:tcW w:w="1985" w:type="dxa"/>
            <w:vMerge/>
          </w:tcPr>
          <w:p w14:paraId="74176024" w14:textId="77777777" w:rsidR="002B64EF" w:rsidRPr="00CD3739" w:rsidRDefault="002B64EF" w:rsidP="002B64EF">
            <w:pPr>
              <w:pStyle w:val="Tablewriting"/>
            </w:pPr>
          </w:p>
        </w:tc>
        <w:tc>
          <w:tcPr>
            <w:tcW w:w="1559" w:type="dxa"/>
            <w:vMerge/>
          </w:tcPr>
          <w:p w14:paraId="3FD0280F" w14:textId="77777777" w:rsidR="002B64EF" w:rsidRPr="00CD3739" w:rsidRDefault="002B64EF" w:rsidP="002B64EF">
            <w:pPr>
              <w:pStyle w:val="Tablewriting"/>
            </w:pPr>
          </w:p>
        </w:tc>
        <w:tc>
          <w:tcPr>
            <w:tcW w:w="1134" w:type="dxa"/>
          </w:tcPr>
          <w:p w14:paraId="2F9D9F57" w14:textId="77777777" w:rsidR="002B64EF" w:rsidRPr="00CD3739" w:rsidRDefault="002B64EF" w:rsidP="002B64EF">
            <w:pPr>
              <w:pStyle w:val="Tablewriting"/>
            </w:pPr>
            <w:r>
              <w:t>18 mg</w:t>
            </w:r>
          </w:p>
        </w:tc>
        <w:tc>
          <w:tcPr>
            <w:tcW w:w="1134" w:type="dxa"/>
          </w:tcPr>
          <w:p w14:paraId="4CF6A8EB" w14:textId="77777777" w:rsidR="002B64EF" w:rsidRPr="00CD3739" w:rsidRDefault="002B64EF" w:rsidP="002B64EF">
            <w:pPr>
              <w:pStyle w:val="Tablewriting"/>
            </w:pPr>
            <w:r w:rsidRPr="00CD3739">
              <w:t>9093N</w:t>
            </w:r>
          </w:p>
        </w:tc>
      </w:tr>
      <w:tr w:rsidR="002B64EF" w:rsidRPr="00CD3739" w14:paraId="61210750" w14:textId="77777777" w:rsidTr="002B64EF">
        <w:tc>
          <w:tcPr>
            <w:tcW w:w="1384" w:type="dxa"/>
            <w:vMerge/>
          </w:tcPr>
          <w:p w14:paraId="7C810CC5" w14:textId="77777777" w:rsidR="002B64EF" w:rsidRPr="00CD3739" w:rsidRDefault="002B64EF" w:rsidP="002B64EF">
            <w:pPr>
              <w:pStyle w:val="Tablewriting"/>
            </w:pPr>
          </w:p>
        </w:tc>
        <w:tc>
          <w:tcPr>
            <w:tcW w:w="1985" w:type="dxa"/>
            <w:vMerge/>
          </w:tcPr>
          <w:p w14:paraId="7DD3E284" w14:textId="77777777" w:rsidR="002B64EF" w:rsidRPr="00CD3739" w:rsidRDefault="002B64EF" w:rsidP="002B64EF">
            <w:pPr>
              <w:pStyle w:val="Tablewriting"/>
            </w:pPr>
          </w:p>
        </w:tc>
        <w:tc>
          <w:tcPr>
            <w:tcW w:w="1559" w:type="dxa"/>
            <w:vMerge/>
          </w:tcPr>
          <w:p w14:paraId="44A5D305" w14:textId="77777777" w:rsidR="002B64EF" w:rsidRPr="00CD3739" w:rsidRDefault="002B64EF" w:rsidP="002B64EF">
            <w:pPr>
              <w:pStyle w:val="Tablewriting"/>
            </w:pPr>
          </w:p>
        </w:tc>
        <w:tc>
          <w:tcPr>
            <w:tcW w:w="1134" w:type="dxa"/>
          </w:tcPr>
          <w:p w14:paraId="289D4467" w14:textId="77777777" w:rsidR="002B64EF" w:rsidRPr="00CD3739" w:rsidRDefault="002B64EF" w:rsidP="002B64EF">
            <w:pPr>
              <w:pStyle w:val="Tablewriting"/>
            </w:pPr>
            <w:r>
              <w:t>25 mg</w:t>
            </w:r>
          </w:p>
        </w:tc>
        <w:tc>
          <w:tcPr>
            <w:tcW w:w="1134" w:type="dxa"/>
          </w:tcPr>
          <w:p w14:paraId="3455F83D" w14:textId="77777777" w:rsidR="002B64EF" w:rsidRPr="00CD3739" w:rsidRDefault="002B64EF" w:rsidP="002B64EF">
            <w:pPr>
              <w:pStyle w:val="Tablewriting"/>
            </w:pPr>
            <w:r w:rsidRPr="00CD3739">
              <w:t>9094P</w:t>
            </w:r>
          </w:p>
        </w:tc>
      </w:tr>
      <w:tr w:rsidR="002B64EF" w:rsidRPr="00CD3739" w14:paraId="3F7D8845" w14:textId="77777777" w:rsidTr="002B64EF">
        <w:tc>
          <w:tcPr>
            <w:tcW w:w="1384" w:type="dxa"/>
            <w:vMerge/>
          </w:tcPr>
          <w:p w14:paraId="4B226905" w14:textId="77777777" w:rsidR="002B64EF" w:rsidRPr="00CD3739" w:rsidRDefault="002B64EF" w:rsidP="002B64EF">
            <w:pPr>
              <w:pStyle w:val="Tablewriting"/>
            </w:pPr>
          </w:p>
        </w:tc>
        <w:tc>
          <w:tcPr>
            <w:tcW w:w="1985" w:type="dxa"/>
            <w:vMerge/>
          </w:tcPr>
          <w:p w14:paraId="0223C04F" w14:textId="77777777" w:rsidR="002B64EF" w:rsidRPr="00CD3739" w:rsidRDefault="002B64EF" w:rsidP="002B64EF">
            <w:pPr>
              <w:pStyle w:val="Tablewriting"/>
            </w:pPr>
          </w:p>
        </w:tc>
        <w:tc>
          <w:tcPr>
            <w:tcW w:w="1559" w:type="dxa"/>
            <w:vMerge/>
          </w:tcPr>
          <w:p w14:paraId="309541DC" w14:textId="77777777" w:rsidR="002B64EF" w:rsidRPr="00CD3739" w:rsidRDefault="002B64EF" w:rsidP="002B64EF">
            <w:pPr>
              <w:pStyle w:val="Tablewriting"/>
            </w:pPr>
          </w:p>
        </w:tc>
        <w:tc>
          <w:tcPr>
            <w:tcW w:w="1134" w:type="dxa"/>
          </w:tcPr>
          <w:p w14:paraId="690C6060" w14:textId="77777777" w:rsidR="002B64EF" w:rsidRPr="00CD3739" w:rsidRDefault="002B64EF" w:rsidP="002B64EF">
            <w:pPr>
              <w:pStyle w:val="Tablewriting"/>
            </w:pPr>
            <w:r>
              <w:t>40 mg</w:t>
            </w:r>
          </w:p>
        </w:tc>
        <w:tc>
          <w:tcPr>
            <w:tcW w:w="1134" w:type="dxa"/>
          </w:tcPr>
          <w:p w14:paraId="1ADA3059" w14:textId="77777777" w:rsidR="002B64EF" w:rsidRPr="00CD3739" w:rsidRDefault="002B64EF" w:rsidP="002B64EF">
            <w:pPr>
              <w:pStyle w:val="Tablewriting"/>
            </w:pPr>
            <w:r w:rsidRPr="00CD3739">
              <w:t>9095Q</w:t>
            </w:r>
          </w:p>
        </w:tc>
      </w:tr>
      <w:tr w:rsidR="002B64EF" w:rsidRPr="00CD3739" w14:paraId="593BFB58" w14:textId="77777777" w:rsidTr="002B64EF">
        <w:tc>
          <w:tcPr>
            <w:tcW w:w="1384" w:type="dxa"/>
            <w:vMerge/>
          </w:tcPr>
          <w:p w14:paraId="4DE192E9" w14:textId="77777777" w:rsidR="002B64EF" w:rsidRPr="00CD3739" w:rsidRDefault="002B64EF" w:rsidP="002B64EF">
            <w:pPr>
              <w:pStyle w:val="Tablewriting"/>
            </w:pPr>
          </w:p>
        </w:tc>
        <w:tc>
          <w:tcPr>
            <w:tcW w:w="1985" w:type="dxa"/>
            <w:vMerge/>
          </w:tcPr>
          <w:p w14:paraId="61CDD84C" w14:textId="77777777" w:rsidR="002B64EF" w:rsidRPr="00CD3739" w:rsidRDefault="002B64EF" w:rsidP="002B64EF">
            <w:pPr>
              <w:pStyle w:val="Tablewriting"/>
            </w:pPr>
          </w:p>
        </w:tc>
        <w:tc>
          <w:tcPr>
            <w:tcW w:w="1559" w:type="dxa"/>
            <w:vMerge/>
          </w:tcPr>
          <w:p w14:paraId="30EFCBC7" w14:textId="77777777" w:rsidR="002B64EF" w:rsidRPr="00CD3739" w:rsidRDefault="002B64EF" w:rsidP="002B64EF">
            <w:pPr>
              <w:pStyle w:val="Tablewriting"/>
            </w:pPr>
          </w:p>
        </w:tc>
        <w:tc>
          <w:tcPr>
            <w:tcW w:w="1134" w:type="dxa"/>
          </w:tcPr>
          <w:p w14:paraId="7A6967E8" w14:textId="77777777" w:rsidR="002B64EF" w:rsidRPr="00CD3739" w:rsidRDefault="002B64EF" w:rsidP="002B64EF">
            <w:pPr>
              <w:pStyle w:val="Tablewriting"/>
            </w:pPr>
            <w:r>
              <w:t>60 mg</w:t>
            </w:r>
          </w:p>
        </w:tc>
        <w:tc>
          <w:tcPr>
            <w:tcW w:w="1134" w:type="dxa"/>
          </w:tcPr>
          <w:p w14:paraId="38C42E96" w14:textId="77777777" w:rsidR="002B64EF" w:rsidRPr="00CD3739" w:rsidRDefault="002B64EF" w:rsidP="002B64EF">
            <w:pPr>
              <w:pStyle w:val="Tablewriting"/>
            </w:pPr>
            <w:r>
              <w:t>9096R</w:t>
            </w:r>
          </w:p>
        </w:tc>
      </w:tr>
      <w:tr w:rsidR="002B64EF" w:rsidRPr="00CD3739" w14:paraId="0E9AB5C0" w14:textId="77777777" w:rsidTr="002B64EF">
        <w:tc>
          <w:tcPr>
            <w:tcW w:w="1384" w:type="dxa"/>
          </w:tcPr>
          <w:p w14:paraId="6D264A6A" w14:textId="77777777" w:rsidR="002B64EF" w:rsidRPr="00CD3739" w:rsidRDefault="002B64EF" w:rsidP="002B64EF">
            <w:pPr>
              <w:pStyle w:val="Tablewriting"/>
            </w:pPr>
            <w:r>
              <w:t xml:space="preserve">Aug </w:t>
            </w:r>
            <w:r w:rsidRPr="00CD3739">
              <w:t>2007</w:t>
            </w:r>
          </w:p>
        </w:tc>
        <w:tc>
          <w:tcPr>
            <w:tcW w:w="1985" w:type="dxa"/>
          </w:tcPr>
          <w:p w14:paraId="7101B07A" w14:textId="77777777" w:rsidR="002B64EF" w:rsidRPr="00CD3739" w:rsidRDefault="002B64EF" w:rsidP="002B64EF">
            <w:pPr>
              <w:pStyle w:val="Tablewriting"/>
            </w:pPr>
            <w:r w:rsidRPr="00CD3739">
              <w:t>Methylphenidate</w:t>
            </w:r>
            <w:r>
              <w:t xml:space="preserve"> MR</w:t>
            </w:r>
          </w:p>
        </w:tc>
        <w:tc>
          <w:tcPr>
            <w:tcW w:w="1559" w:type="dxa"/>
          </w:tcPr>
          <w:p w14:paraId="68DC2EC8" w14:textId="77777777" w:rsidR="002B64EF" w:rsidRPr="00CD3739" w:rsidRDefault="002B64EF" w:rsidP="002B64EF">
            <w:pPr>
              <w:pStyle w:val="Tablewriting"/>
            </w:pPr>
            <w:r>
              <w:t>Concerta</w:t>
            </w:r>
          </w:p>
        </w:tc>
        <w:tc>
          <w:tcPr>
            <w:tcW w:w="1134" w:type="dxa"/>
          </w:tcPr>
          <w:p w14:paraId="61FB8F3D" w14:textId="77777777" w:rsidR="002B64EF" w:rsidRPr="00CD3739" w:rsidRDefault="002B64EF" w:rsidP="002B64EF">
            <w:pPr>
              <w:pStyle w:val="Tablewriting"/>
            </w:pPr>
            <w:r>
              <w:t>27 mg</w:t>
            </w:r>
          </w:p>
        </w:tc>
        <w:tc>
          <w:tcPr>
            <w:tcW w:w="1134" w:type="dxa"/>
          </w:tcPr>
          <w:p w14:paraId="0AB2F62C" w14:textId="77777777" w:rsidR="002B64EF" w:rsidRPr="00CD3739" w:rsidRDefault="002B64EF" w:rsidP="002B64EF">
            <w:pPr>
              <w:pStyle w:val="Tablewriting"/>
            </w:pPr>
            <w:r w:rsidRPr="00CD3739">
              <w:t>2172H</w:t>
            </w:r>
          </w:p>
        </w:tc>
      </w:tr>
      <w:tr w:rsidR="002B64EF" w:rsidRPr="00CD3739" w14:paraId="2E368E1A" w14:textId="77777777" w:rsidTr="002B64EF">
        <w:tc>
          <w:tcPr>
            <w:tcW w:w="1384" w:type="dxa"/>
            <w:vMerge w:val="restart"/>
          </w:tcPr>
          <w:p w14:paraId="603B5054" w14:textId="77777777" w:rsidR="002B64EF" w:rsidRPr="00CD3739" w:rsidRDefault="002B64EF" w:rsidP="002B64EF">
            <w:pPr>
              <w:pStyle w:val="Tablewriting"/>
            </w:pPr>
            <w:r w:rsidRPr="00CD3739">
              <w:t>April 2008</w:t>
            </w:r>
          </w:p>
        </w:tc>
        <w:tc>
          <w:tcPr>
            <w:tcW w:w="1985" w:type="dxa"/>
            <w:vMerge w:val="restart"/>
          </w:tcPr>
          <w:p w14:paraId="5E858E97" w14:textId="77777777" w:rsidR="002B64EF" w:rsidRPr="00CD3739" w:rsidRDefault="002B64EF" w:rsidP="002B64EF">
            <w:pPr>
              <w:pStyle w:val="Tablewriting"/>
            </w:pPr>
            <w:r>
              <w:t>Methylphenidate MR</w:t>
            </w:r>
          </w:p>
        </w:tc>
        <w:tc>
          <w:tcPr>
            <w:tcW w:w="1559" w:type="dxa"/>
            <w:vMerge w:val="restart"/>
          </w:tcPr>
          <w:p w14:paraId="44BC1C29" w14:textId="77777777" w:rsidR="002B64EF" w:rsidRPr="00CD3739" w:rsidRDefault="002B64EF" w:rsidP="002B64EF">
            <w:pPr>
              <w:pStyle w:val="Tablewriting"/>
            </w:pPr>
            <w:r>
              <w:t>Ritalin LA</w:t>
            </w:r>
          </w:p>
        </w:tc>
        <w:tc>
          <w:tcPr>
            <w:tcW w:w="1134" w:type="dxa"/>
          </w:tcPr>
          <w:p w14:paraId="7F911A8C" w14:textId="77777777" w:rsidR="002B64EF" w:rsidRPr="00CD3739" w:rsidRDefault="002B64EF" w:rsidP="002B64EF">
            <w:pPr>
              <w:pStyle w:val="Tablewriting"/>
            </w:pPr>
            <w:r>
              <w:t>20 mg</w:t>
            </w:r>
          </w:p>
        </w:tc>
        <w:tc>
          <w:tcPr>
            <w:tcW w:w="1134" w:type="dxa"/>
          </w:tcPr>
          <w:p w14:paraId="7CB45BE6" w14:textId="77777777" w:rsidR="002B64EF" w:rsidRPr="00CD3739" w:rsidRDefault="002B64EF" w:rsidP="002B64EF">
            <w:pPr>
              <w:pStyle w:val="Tablewriting"/>
            </w:pPr>
            <w:r w:rsidRPr="00CD3739">
              <w:t>2276T</w:t>
            </w:r>
          </w:p>
        </w:tc>
      </w:tr>
      <w:tr w:rsidR="002B64EF" w:rsidRPr="00CD3739" w14:paraId="6C0C0D1F" w14:textId="77777777" w:rsidTr="002B64EF">
        <w:tc>
          <w:tcPr>
            <w:tcW w:w="1384" w:type="dxa"/>
            <w:vMerge/>
          </w:tcPr>
          <w:p w14:paraId="7DF6458C" w14:textId="77777777" w:rsidR="002B64EF" w:rsidRPr="00CD3739" w:rsidRDefault="002B64EF" w:rsidP="002B64EF">
            <w:pPr>
              <w:pStyle w:val="Tablewriting"/>
            </w:pPr>
          </w:p>
        </w:tc>
        <w:tc>
          <w:tcPr>
            <w:tcW w:w="1985" w:type="dxa"/>
            <w:vMerge/>
          </w:tcPr>
          <w:p w14:paraId="6BD6FE59" w14:textId="77777777" w:rsidR="002B64EF" w:rsidRPr="00CD3739" w:rsidRDefault="002B64EF" w:rsidP="002B64EF">
            <w:pPr>
              <w:pStyle w:val="Tablewriting"/>
            </w:pPr>
          </w:p>
        </w:tc>
        <w:tc>
          <w:tcPr>
            <w:tcW w:w="1559" w:type="dxa"/>
            <w:vMerge/>
          </w:tcPr>
          <w:p w14:paraId="31E88B27" w14:textId="77777777" w:rsidR="002B64EF" w:rsidRDefault="002B64EF" w:rsidP="002B64EF">
            <w:pPr>
              <w:pStyle w:val="Tablewriting"/>
            </w:pPr>
          </w:p>
        </w:tc>
        <w:tc>
          <w:tcPr>
            <w:tcW w:w="1134" w:type="dxa"/>
          </w:tcPr>
          <w:p w14:paraId="412F2385" w14:textId="77777777" w:rsidR="002B64EF" w:rsidRDefault="002B64EF" w:rsidP="002B64EF">
            <w:pPr>
              <w:pStyle w:val="Tablewriting"/>
            </w:pPr>
            <w:r>
              <w:t>30 mg</w:t>
            </w:r>
          </w:p>
        </w:tc>
        <w:tc>
          <w:tcPr>
            <w:tcW w:w="1134" w:type="dxa"/>
          </w:tcPr>
          <w:p w14:paraId="487282AD" w14:textId="77777777" w:rsidR="002B64EF" w:rsidRPr="00CD3739" w:rsidRDefault="002B64EF" w:rsidP="002B64EF">
            <w:pPr>
              <w:pStyle w:val="Tablewriting"/>
            </w:pPr>
            <w:r w:rsidRPr="00CD3739">
              <w:t>2280B</w:t>
            </w:r>
          </w:p>
        </w:tc>
      </w:tr>
      <w:tr w:rsidR="002B64EF" w:rsidRPr="00CD3739" w14:paraId="6472B312" w14:textId="77777777" w:rsidTr="002B64EF">
        <w:tc>
          <w:tcPr>
            <w:tcW w:w="1384" w:type="dxa"/>
            <w:vMerge/>
          </w:tcPr>
          <w:p w14:paraId="25605C25" w14:textId="77777777" w:rsidR="002B64EF" w:rsidRPr="00CD3739" w:rsidRDefault="002B64EF" w:rsidP="002B64EF">
            <w:pPr>
              <w:pStyle w:val="Tablewriting"/>
            </w:pPr>
          </w:p>
        </w:tc>
        <w:tc>
          <w:tcPr>
            <w:tcW w:w="1985" w:type="dxa"/>
            <w:vMerge/>
          </w:tcPr>
          <w:p w14:paraId="7CBBB0E8" w14:textId="77777777" w:rsidR="002B64EF" w:rsidRPr="00CD3739" w:rsidRDefault="002B64EF" w:rsidP="002B64EF">
            <w:pPr>
              <w:pStyle w:val="Tablewriting"/>
            </w:pPr>
          </w:p>
        </w:tc>
        <w:tc>
          <w:tcPr>
            <w:tcW w:w="1559" w:type="dxa"/>
            <w:vMerge/>
          </w:tcPr>
          <w:p w14:paraId="477EC0B2" w14:textId="77777777" w:rsidR="002B64EF" w:rsidRDefault="002B64EF" w:rsidP="002B64EF">
            <w:pPr>
              <w:pStyle w:val="Tablewriting"/>
            </w:pPr>
          </w:p>
        </w:tc>
        <w:tc>
          <w:tcPr>
            <w:tcW w:w="1134" w:type="dxa"/>
          </w:tcPr>
          <w:p w14:paraId="64B355A3" w14:textId="77777777" w:rsidR="002B64EF" w:rsidRDefault="002B64EF" w:rsidP="002B64EF">
            <w:pPr>
              <w:pStyle w:val="Tablewriting"/>
            </w:pPr>
            <w:r>
              <w:t>40 mg</w:t>
            </w:r>
          </w:p>
        </w:tc>
        <w:tc>
          <w:tcPr>
            <w:tcW w:w="1134" w:type="dxa"/>
          </w:tcPr>
          <w:p w14:paraId="4EE93A69" w14:textId="77777777" w:rsidR="002B64EF" w:rsidRPr="00CD3739" w:rsidRDefault="002B64EF" w:rsidP="002B64EF">
            <w:pPr>
              <w:pStyle w:val="Tablewriting"/>
            </w:pPr>
            <w:r w:rsidRPr="00CD3739">
              <w:t>2283E</w:t>
            </w:r>
          </w:p>
        </w:tc>
      </w:tr>
      <w:tr w:rsidR="002B64EF" w:rsidRPr="00CD3739" w14:paraId="616D46B6" w14:textId="77777777" w:rsidTr="002B64EF">
        <w:tc>
          <w:tcPr>
            <w:tcW w:w="1384" w:type="dxa"/>
            <w:vMerge w:val="restart"/>
            <w:tcBorders>
              <w:top w:val="single" w:sz="4" w:space="0" w:color="auto"/>
              <w:left w:val="single" w:sz="4" w:space="0" w:color="auto"/>
              <w:right w:val="single" w:sz="4" w:space="0" w:color="auto"/>
            </w:tcBorders>
          </w:tcPr>
          <w:p w14:paraId="1F4CAD15" w14:textId="77777777" w:rsidR="002B64EF" w:rsidRPr="00CD3739" w:rsidRDefault="002B64EF" w:rsidP="002B64EF">
            <w:pPr>
              <w:pStyle w:val="Tablewriting"/>
            </w:pPr>
            <w:r>
              <w:t>Dec</w:t>
            </w:r>
            <w:r w:rsidRPr="00CD3739">
              <w:t xml:space="preserve"> 2008</w:t>
            </w:r>
          </w:p>
        </w:tc>
        <w:tc>
          <w:tcPr>
            <w:tcW w:w="1985" w:type="dxa"/>
            <w:vMerge w:val="restart"/>
            <w:tcBorders>
              <w:top w:val="single" w:sz="4" w:space="0" w:color="auto"/>
              <w:left w:val="single" w:sz="4" w:space="0" w:color="auto"/>
              <w:right w:val="single" w:sz="4" w:space="0" w:color="auto"/>
            </w:tcBorders>
          </w:tcPr>
          <w:p w14:paraId="5B98B58D" w14:textId="77777777" w:rsidR="002B64EF" w:rsidRPr="00CD3739" w:rsidRDefault="002B64EF" w:rsidP="002B64EF">
            <w:pPr>
              <w:pStyle w:val="Tablewriting"/>
            </w:pPr>
            <w:r>
              <w:t>Atomoxetine</w:t>
            </w:r>
          </w:p>
        </w:tc>
        <w:tc>
          <w:tcPr>
            <w:tcW w:w="1559" w:type="dxa"/>
            <w:vMerge w:val="restart"/>
            <w:tcBorders>
              <w:top w:val="single" w:sz="4" w:space="0" w:color="auto"/>
              <w:left w:val="single" w:sz="4" w:space="0" w:color="auto"/>
              <w:right w:val="single" w:sz="4" w:space="0" w:color="auto"/>
            </w:tcBorders>
          </w:tcPr>
          <w:p w14:paraId="0C79C189" w14:textId="77777777" w:rsidR="002B64EF" w:rsidRPr="00CD3739" w:rsidRDefault="002B64EF" w:rsidP="002B64EF">
            <w:pPr>
              <w:pStyle w:val="Tablewriting"/>
            </w:pPr>
            <w:r>
              <w:t>Strattera</w:t>
            </w:r>
          </w:p>
        </w:tc>
        <w:tc>
          <w:tcPr>
            <w:tcW w:w="1134" w:type="dxa"/>
            <w:tcBorders>
              <w:top w:val="single" w:sz="4" w:space="0" w:color="auto"/>
              <w:left w:val="single" w:sz="4" w:space="0" w:color="auto"/>
              <w:bottom w:val="single" w:sz="4" w:space="0" w:color="auto"/>
              <w:right w:val="single" w:sz="4" w:space="0" w:color="auto"/>
            </w:tcBorders>
          </w:tcPr>
          <w:p w14:paraId="36025A0B" w14:textId="77777777" w:rsidR="002B64EF" w:rsidRPr="00CD3739" w:rsidRDefault="002B64EF" w:rsidP="002B64EF">
            <w:pPr>
              <w:pStyle w:val="Tablewriting"/>
            </w:pPr>
            <w:r>
              <w:t>80mg</w:t>
            </w:r>
          </w:p>
        </w:tc>
        <w:tc>
          <w:tcPr>
            <w:tcW w:w="1134" w:type="dxa"/>
            <w:tcBorders>
              <w:top w:val="single" w:sz="4" w:space="0" w:color="auto"/>
              <w:left w:val="single" w:sz="4" w:space="0" w:color="auto"/>
              <w:bottom w:val="single" w:sz="4" w:space="0" w:color="auto"/>
              <w:right w:val="single" w:sz="4" w:space="0" w:color="auto"/>
            </w:tcBorders>
          </w:tcPr>
          <w:p w14:paraId="13453775" w14:textId="77777777" w:rsidR="002B64EF" w:rsidRPr="00CD3739" w:rsidRDefault="002B64EF" w:rsidP="002B64EF">
            <w:pPr>
              <w:pStyle w:val="Tablewriting"/>
            </w:pPr>
            <w:r w:rsidRPr="00CD3739">
              <w:t>9289X</w:t>
            </w:r>
          </w:p>
        </w:tc>
      </w:tr>
      <w:tr w:rsidR="002B64EF" w:rsidRPr="00CD3739" w14:paraId="7795F731" w14:textId="77777777" w:rsidTr="002B64EF">
        <w:tc>
          <w:tcPr>
            <w:tcW w:w="1384" w:type="dxa"/>
            <w:vMerge/>
            <w:tcBorders>
              <w:left w:val="single" w:sz="4" w:space="0" w:color="auto"/>
              <w:bottom w:val="single" w:sz="4" w:space="0" w:color="auto"/>
              <w:right w:val="single" w:sz="4" w:space="0" w:color="auto"/>
            </w:tcBorders>
          </w:tcPr>
          <w:p w14:paraId="383EB1B3" w14:textId="77777777" w:rsidR="002B64EF" w:rsidRDefault="002B64EF" w:rsidP="002B64EF">
            <w:pPr>
              <w:pStyle w:val="Tablewriting"/>
            </w:pPr>
          </w:p>
        </w:tc>
        <w:tc>
          <w:tcPr>
            <w:tcW w:w="1985" w:type="dxa"/>
            <w:vMerge/>
            <w:tcBorders>
              <w:left w:val="single" w:sz="4" w:space="0" w:color="auto"/>
              <w:bottom w:val="single" w:sz="4" w:space="0" w:color="auto"/>
              <w:right w:val="single" w:sz="4" w:space="0" w:color="auto"/>
            </w:tcBorders>
          </w:tcPr>
          <w:p w14:paraId="5833E3FC" w14:textId="77777777" w:rsidR="002B64EF" w:rsidRPr="00CD3739" w:rsidRDefault="002B64EF" w:rsidP="002B64EF">
            <w:pPr>
              <w:pStyle w:val="Tablewriting"/>
            </w:pPr>
          </w:p>
        </w:tc>
        <w:tc>
          <w:tcPr>
            <w:tcW w:w="1559" w:type="dxa"/>
            <w:vMerge/>
            <w:tcBorders>
              <w:left w:val="single" w:sz="4" w:space="0" w:color="auto"/>
              <w:bottom w:val="single" w:sz="4" w:space="0" w:color="auto"/>
              <w:right w:val="single" w:sz="4" w:space="0" w:color="auto"/>
            </w:tcBorders>
          </w:tcPr>
          <w:p w14:paraId="59BE3115" w14:textId="77777777" w:rsidR="002B64EF" w:rsidRPr="00CD3739" w:rsidRDefault="002B64EF" w:rsidP="002B64EF">
            <w:pPr>
              <w:pStyle w:val="Tablewriting"/>
            </w:pPr>
          </w:p>
        </w:tc>
        <w:tc>
          <w:tcPr>
            <w:tcW w:w="1134" w:type="dxa"/>
            <w:tcBorders>
              <w:top w:val="single" w:sz="4" w:space="0" w:color="auto"/>
              <w:left w:val="single" w:sz="4" w:space="0" w:color="auto"/>
              <w:bottom w:val="single" w:sz="4" w:space="0" w:color="auto"/>
              <w:right w:val="single" w:sz="4" w:space="0" w:color="auto"/>
            </w:tcBorders>
          </w:tcPr>
          <w:p w14:paraId="706DDA1A" w14:textId="77777777" w:rsidR="002B64EF" w:rsidRPr="00CD3739" w:rsidRDefault="002B64EF" w:rsidP="002B64EF">
            <w:pPr>
              <w:pStyle w:val="Tablewriting"/>
            </w:pPr>
            <w:r>
              <w:t>100 mg</w:t>
            </w:r>
          </w:p>
        </w:tc>
        <w:tc>
          <w:tcPr>
            <w:tcW w:w="1134" w:type="dxa"/>
            <w:tcBorders>
              <w:top w:val="single" w:sz="4" w:space="0" w:color="auto"/>
              <w:left w:val="single" w:sz="4" w:space="0" w:color="auto"/>
              <w:bottom w:val="single" w:sz="4" w:space="0" w:color="auto"/>
              <w:right w:val="single" w:sz="4" w:space="0" w:color="auto"/>
            </w:tcBorders>
          </w:tcPr>
          <w:p w14:paraId="415511BB" w14:textId="77777777" w:rsidR="002B64EF" w:rsidRPr="00CD3739" w:rsidRDefault="002B64EF" w:rsidP="002B64EF">
            <w:pPr>
              <w:pStyle w:val="Tablewriting"/>
            </w:pPr>
            <w:r w:rsidRPr="00CD3739">
              <w:t>9290Y</w:t>
            </w:r>
          </w:p>
        </w:tc>
      </w:tr>
      <w:tr w:rsidR="002B64EF" w:rsidRPr="00CD3739" w14:paraId="3763DAF8" w14:textId="77777777" w:rsidTr="002B64EF">
        <w:tc>
          <w:tcPr>
            <w:tcW w:w="1384" w:type="dxa"/>
            <w:tcBorders>
              <w:left w:val="single" w:sz="4" w:space="0" w:color="auto"/>
              <w:bottom w:val="single" w:sz="4" w:space="0" w:color="auto"/>
              <w:right w:val="single" w:sz="4" w:space="0" w:color="auto"/>
            </w:tcBorders>
          </w:tcPr>
          <w:p w14:paraId="4F38FED9" w14:textId="77777777" w:rsidR="002B64EF" w:rsidRDefault="002B64EF" w:rsidP="002B64EF">
            <w:pPr>
              <w:pStyle w:val="Tablewriting"/>
            </w:pPr>
            <w:r>
              <w:t>Aug 2010</w:t>
            </w:r>
          </w:p>
        </w:tc>
        <w:tc>
          <w:tcPr>
            <w:tcW w:w="1985" w:type="dxa"/>
            <w:tcBorders>
              <w:left w:val="single" w:sz="4" w:space="0" w:color="auto"/>
              <w:bottom w:val="single" w:sz="4" w:space="0" w:color="auto"/>
              <w:right w:val="single" w:sz="4" w:space="0" w:color="auto"/>
            </w:tcBorders>
          </w:tcPr>
          <w:p w14:paraId="5895A1D3" w14:textId="77777777" w:rsidR="002B64EF" w:rsidRPr="00CD3739" w:rsidRDefault="002B64EF" w:rsidP="002B64EF">
            <w:pPr>
              <w:pStyle w:val="Tablewriting"/>
            </w:pPr>
            <w:r>
              <w:t>Methylphenidate MR</w:t>
            </w:r>
          </w:p>
        </w:tc>
        <w:tc>
          <w:tcPr>
            <w:tcW w:w="1559" w:type="dxa"/>
            <w:tcBorders>
              <w:left w:val="single" w:sz="4" w:space="0" w:color="auto"/>
              <w:bottom w:val="single" w:sz="4" w:space="0" w:color="auto"/>
              <w:right w:val="single" w:sz="4" w:space="0" w:color="auto"/>
            </w:tcBorders>
          </w:tcPr>
          <w:p w14:paraId="7F6DF111" w14:textId="77777777" w:rsidR="002B64EF" w:rsidRPr="00CD3739" w:rsidRDefault="002B64EF" w:rsidP="002B64EF">
            <w:pPr>
              <w:pStyle w:val="Tablewriting"/>
            </w:pPr>
            <w:r>
              <w:t>Ritalin LA</w:t>
            </w:r>
          </w:p>
        </w:tc>
        <w:tc>
          <w:tcPr>
            <w:tcW w:w="1134" w:type="dxa"/>
            <w:tcBorders>
              <w:top w:val="single" w:sz="4" w:space="0" w:color="auto"/>
              <w:left w:val="single" w:sz="4" w:space="0" w:color="auto"/>
              <w:bottom w:val="single" w:sz="4" w:space="0" w:color="auto"/>
              <w:right w:val="single" w:sz="4" w:space="0" w:color="auto"/>
            </w:tcBorders>
          </w:tcPr>
          <w:p w14:paraId="37C61C14" w14:textId="77777777" w:rsidR="002B64EF" w:rsidRDefault="002B64EF" w:rsidP="002B64EF">
            <w:pPr>
              <w:pStyle w:val="Tablewriting"/>
            </w:pPr>
            <w:r>
              <w:t>10mg</w:t>
            </w:r>
          </w:p>
        </w:tc>
        <w:tc>
          <w:tcPr>
            <w:tcW w:w="1134" w:type="dxa"/>
            <w:tcBorders>
              <w:top w:val="single" w:sz="4" w:space="0" w:color="auto"/>
              <w:left w:val="single" w:sz="4" w:space="0" w:color="auto"/>
              <w:bottom w:val="single" w:sz="4" w:space="0" w:color="auto"/>
              <w:right w:val="single" w:sz="4" w:space="0" w:color="auto"/>
            </w:tcBorders>
          </w:tcPr>
          <w:p w14:paraId="462FEB54" w14:textId="77777777" w:rsidR="002B64EF" w:rsidRPr="00CD3739" w:rsidRDefault="002B64EF" w:rsidP="002B64EF">
            <w:pPr>
              <w:pStyle w:val="Tablewriting"/>
            </w:pPr>
            <w:r>
              <w:t>3440C</w:t>
            </w:r>
          </w:p>
        </w:tc>
      </w:tr>
    </w:tbl>
    <w:p w14:paraId="0CD433B0" w14:textId="77777777" w:rsidR="002B64EF" w:rsidRPr="009140D4" w:rsidRDefault="002B64EF" w:rsidP="002B64EF">
      <w:pPr>
        <w:pStyle w:val="Notes"/>
      </w:pPr>
      <w:r>
        <w:t>Notes: * The Attenta® brand of methylphenidate IR was delisted in March 2009.</w:t>
      </w:r>
    </w:p>
    <w:p w14:paraId="43CFA760" w14:textId="77777777" w:rsidR="002B64EF" w:rsidRDefault="002B64EF" w:rsidP="002B64EF">
      <w:pPr>
        <w:spacing w:line="276" w:lineRule="auto"/>
        <w:rPr>
          <w:b/>
        </w:rPr>
      </w:pPr>
      <w:r>
        <w:br w:type="page"/>
      </w:r>
    </w:p>
    <w:p w14:paraId="1054EFCF" w14:textId="77777777" w:rsidR="002B64EF" w:rsidRDefault="002B64EF" w:rsidP="002B64EF">
      <w:pPr>
        <w:pStyle w:val="Tabletitle"/>
      </w:pPr>
      <w:r>
        <w:t xml:space="preserve">Table B.2. Changes to PBS restrictions of medicines used in the treatment of ADHD. </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842"/>
        <w:gridCol w:w="6237"/>
      </w:tblGrid>
      <w:tr w:rsidR="002B64EF" w14:paraId="651AF7F3" w14:textId="77777777" w:rsidTr="002B64EF">
        <w:trPr>
          <w:cantSplit/>
          <w:tblHeader/>
        </w:trPr>
        <w:tc>
          <w:tcPr>
            <w:tcW w:w="1101" w:type="dxa"/>
            <w:shd w:val="clear" w:color="auto" w:fill="BFBFBF" w:themeFill="background1" w:themeFillShade="BF"/>
          </w:tcPr>
          <w:p w14:paraId="25809B30" w14:textId="77777777" w:rsidR="002B64EF" w:rsidRPr="00FB3457" w:rsidRDefault="002B64EF" w:rsidP="002B64EF">
            <w:pPr>
              <w:pStyle w:val="Tableheading"/>
            </w:pPr>
            <w:r w:rsidRPr="00FB3457">
              <w:t>Date</w:t>
            </w:r>
          </w:p>
        </w:tc>
        <w:tc>
          <w:tcPr>
            <w:tcW w:w="1842" w:type="dxa"/>
            <w:shd w:val="clear" w:color="auto" w:fill="BFBFBF" w:themeFill="background1" w:themeFillShade="BF"/>
          </w:tcPr>
          <w:p w14:paraId="51CE42C0" w14:textId="77777777" w:rsidR="002B64EF" w:rsidRPr="00FB3457" w:rsidRDefault="002B64EF" w:rsidP="002B64EF">
            <w:pPr>
              <w:pStyle w:val="Tableheading"/>
            </w:pPr>
            <w:r>
              <w:t>Drug name</w:t>
            </w:r>
          </w:p>
        </w:tc>
        <w:tc>
          <w:tcPr>
            <w:tcW w:w="6237" w:type="dxa"/>
            <w:shd w:val="clear" w:color="auto" w:fill="BFBFBF" w:themeFill="background1" w:themeFillShade="BF"/>
          </w:tcPr>
          <w:p w14:paraId="70E39012" w14:textId="77777777" w:rsidR="002B64EF" w:rsidRDefault="002B64EF" w:rsidP="002B64EF">
            <w:pPr>
              <w:pStyle w:val="Tableheading"/>
            </w:pPr>
            <w:r>
              <w:t>Change to the restriction/s</w:t>
            </w:r>
          </w:p>
        </w:tc>
      </w:tr>
      <w:tr w:rsidR="002B64EF" w14:paraId="590F28E2" w14:textId="77777777" w:rsidTr="002B64EF">
        <w:trPr>
          <w:trHeight w:val="405"/>
        </w:trPr>
        <w:tc>
          <w:tcPr>
            <w:tcW w:w="1101" w:type="dxa"/>
          </w:tcPr>
          <w:p w14:paraId="56A71764" w14:textId="77777777" w:rsidR="002B64EF" w:rsidRPr="007F561F" w:rsidRDefault="002B64EF" w:rsidP="002B64EF">
            <w:pPr>
              <w:pStyle w:val="Tablewriting"/>
              <w:keepNext/>
              <w:keepLines/>
            </w:pPr>
            <w:r>
              <w:t>Aug 2007</w:t>
            </w:r>
          </w:p>
        </w:tc>
        <w:tc>
          <w:tcPr>
            <w:tcW w:w="1842" w:type="dxa"/>
          </w:tcPr>
          <w:p w14:paraId="633949AB" w14:textId="77777777" w:rsidR="002B64EF" w:rsidRPr="007F561F" w:rsidRDefault="002B64EF" w:rsidP="002B64EF">
            <w:pPr>
              <w:pStyle w:val="Tablewriting"/>
              <w:keepNext/>
              <w:keepLines/>
            </w:pPr>
            <w:r>
              <w:t>Methylphenidate MR (Concerta®)</w:t>
            </w:r>
          </w:p>
        </w:tc>
        <w:tc>
          <w:tcPr>
            <w:tcW w:w="6237" w:type="dxa"/>
          </w:tcPr>
          <w:p w14:paraId="27CC0601" w14:textId="77777777" w:rsidR="002B64EF" w:rsidRPr="007F561F" w:rsidRDefault="002B64EF" w:rsidP="002B64EF">
            <w:pPr>
              <w:pStyle w:val="Tablewriting"/>
              <w:keepNext/>
              <w:keepLines/>
            </w:pPr>
            <w:r>
              <w:t>Replacement of “…child or adolescent aged 6 to 18 years inclusive” with “…patient aged 6 to 18 years inclusive”.</w:t>
            </w:r>
          </w:p>
        </w:tc>
      </w:tr>
      <w:tr w:rsidR="002B64EF" w14:paraId="021B805D" w14:textId="77777777" w:rsidTr="002B64EF">
        <w:trPr>
          <w:trHeight w:val="405"/>
        </w:trPr>
        <w:tc>
          <w:tcPr>
            <w:tcW w:w="1101" w:type="dxa"/>
          </w:tcPr>
          <w:p w14:paraId="35A03BBF" w14:textId="77777777" w:rsidR="002B64EF" w:rsidRPr="007F561F" w:rsidRDefault="002B64EF" w:rsidP="002B64EF">
            <w:pPr>
              <w:pStyle w:val="Tablewriting"/>
              <w:keepNext/>
              <w:keepLines/>
            </w:pPr>
            <w:r w:rsidRPr="007F561F">
              <w:t>Nov 2008</w:t>
            </w:r>
          </w:p>
        </w:tc>
        <w:tc>
          <w:tcPr>
            <w:tcW w:w="1842" w:type="dxa"/>
          </w:tcPr>
          <w:p w14:paraId="5F20D977" w14:textId="77777777" w:rsidR="002B64EF" w:rsidRPr="007F561F" w:rsidRDefault="002B64EF" w:rsidP="002B64EF">
            <w:pPr>
              <w:pStyle w:val="Tablewriting"/>
              <w:keepNext/>
              <w:keepLines/>
            </w:pPr>
            <w:r w:rsidRPr="007F561F">
              <w:t xml:space="preserve">Atomoxetine </w:t>
            </w:r>
          </w:p>
          <w:p w14:paraId="0A438439" w14:textId="77777777" w:rsidR="002B64EF" w:rsidRPr="007F561F" w:rsidRDefault="002B64EF" w:rsidP="002B64EF">
            <w:pPr>
              <w:pStyle w:val="Tablewriting"/>
              <w:keepNext/>
              <w:keepLines/>
            </w:pPr>
            <w:r w:rsidRPr="007F561F">
              <w:t>(all items)</w:t>
            </w:r>
          </w:p>
        </w:tc>
        <w:tc>
          <w:tcPr>
            <w:tcW w:w="6237" w:type="dxa"/>
          </w:tcPr>
          <w:p w14:paraId="5B3437F3" w14:textId="77777777" w:rsidR="002B64EF" w:rsidRPr="007F561F" w:rsidRDefault="002B64EF" w:rsidP="002B64EF">
            <w:pPr>
              <w:pStyle w:val="Tablewriting"/>
              <w:keepNext/>
              <w:keepLines/>
            </w:pPr>
            <w:r w:rsidRPr="007F561F">
              <w:t>The restrictions were changed to remind prescribers that atomoxetine is not PBS subsidised for use with other ADHD medicines. “Initial treatment…” was replaced by “Initial sole PBS-subsidised treatment…”, and “Continuing treatment…” was replaced by “Continuing sole PBS-subsidised treatment…”.</w:t>
            </w:r>
          </w:p>
          <w:p w14:paraId="7D535CC9" w14:textId="77777777" w:rsidR="002B64EF" w:rsidRPr="007F561F" w:rsidRDefault="002B64EF" w:rsidP="002B64EF">
            <w:pPr>
              <w:pStyle w:val="Tablewriting"/>
              <w:keepNext/>
              <w:keepLines/>
            </w:pPr>
            <w:r w:rsidRPr="007F561F">
              <w:t>A note was also added, “No applications for increased maximum quantities and/or repeats will be authorised”, as the listing of the 80 mg and 100 mg doses was considered to negate the need for increased maximum quantities.</w:t>
            </w:r>
          </w:p>
        </w:tc>
      </w:tr>
      <w:tr w:rsidR="002B64EF" w14:paraId="0BCA8329" w14:textId="77777777" w:rsidTr="002B64EF">
        <w:tc>
          <w:tcPr>
            <w:tcW w:w="1101" w:type="dxa"/>
          </w:tcPr>
          <w:p w14:paraId="74180E21" w14:textId="77777777" w:rsidR="002B64EF" w:rsidRPr="007F561F" w:rsidRDefault="002B64EF" w:rsidP="002B64EF">
            <w:pPr>
              <w:pStyle w:val="Tablewriting"/>
            </w:pPr>
            <w:r w:rsidRPr="007F561F">
              <w:t>Oct 2009</w:t>
            </w:r>
          </w:p>
        </w:tc>
        <w:tc>
          <w:tcPr>
            <w:tcW w:w="1842" w:type="dxa"/>
          </w:tcPr>
          <w:p w14:paraId="59E2F77C" w14:textId="77777777" w:rsidR="002B64EF" w:rsidRPr="007F561F" w:rsidRDefault="002B64EF" w:rsidP="002B64EF">
            <w:pPr>
              <w:pStyle w:val="Tablewriting"/>
            </w:pPr>
            <w:r w:rsidRPr="007F561F">
              <w:t>Methylphenidate (modified release) (all items)</w:t>
            </w:r>
          </w:p>
        </w:tc>
        <w:tc>
          <w:tcPr>
            <w:tcW w:w="6237" w:type="dxa"/>
          </w:tcPr>
          <w:p w14:paraId="733D253D" w14:textId="77777777" w:rsidR="002B64EF" w:rsidRPr="007F561F" w:rsidRDefault="002B64EF" w:rsidP="002B64EF">
            <w:pPr>
              <w:pStyle w:val="Tablewriting"/>
            </w:pPr>
            <w:r w:rsidRPr="007F561F">
              <w:t xml:space="preserve">The restrictions were modified to extend the listing to the treatment of patients aged over 18 years who were diagnosed between ages 6–18. “Treatment of attention deficit hyperactivity disorder (ADHD) in a patient between the ages of 6 and 18 years inclusive” was changed to “'Treatment of attention deficit hyperactivity disorder (ADHD) in a patient </w:t>
            </w:r>
            <w:r w:rsidRPr="007F561F">
              <w:rPr>
                <w:rStyle w:val="Emphasis"/>
              </w:rPr>
              <w:t>diagnosed</w:t>
            </w:r>
            <w:r w:rsidRPr="007F561F">
              <w:t xml:space="preserve"> between the ages of 6 and 18 years inclusive”. </w:t>
            </w:r>
          </w:p>
        </w:tc>
      </w:tr>
      <w:tr w:rsidR="002B64EF" w14:paraId="76BD05D6" w14:textId="77777777" w:rsidTr="002B64EF">
        <w:tc>
          <w:tcPr>
            <w:tcW w:w="1101" w:type="dxa"/>
          </w:tcPr>
          <w:p w14:paraId="731661E1" w14:textId="77777777" w:rsidR="002B64EF" w:rsidRPr="007F561F" w:rsidRDefault="002B64EF" w:rsidP="002B64EF">
            <w:pPr>
              <w:pStyle w:val="Tablewriting"/>
            </w:pPr>
            <w:r w:rsidRPr="007F561F">
              <w:t>Aug 2014</w:t>
            </w:r>
          </w:p>
        </w:tc>
        <w:tc>
          <w:tcPr>
            <w:tcW w:w="1842" w:type="dxa"/>
          </w:tcPr>
          <w:p w14:paraId="3CB5F876" w14:textId="77777777" w:rsidR="002B64EF" w:rsidRPr="007F561F" w:rsidRDefault="002B64EF" w:rsidP="002B64EF">
            <w:pPr>
              <w:pStyle w:val="Tablewriting"/>
            </w:pPr>
            <w:r w:rsidRPr="007F561F">
              <w:t>A</w:t>
            </w:r>
            <w:r>
              <w:t>to</w:t>
            </w:r>
            <w:r w:rsidRPr="007F561F">
              <w:t>moxetine</w:t>
            </w:r>
          </w:p>
          <w:p w14:paraId="2C09AD25" w14:textId="77777777" w:rsidR="002B64EF" w:rsidRPr="007F561F" w:rsidRDefault="002B64EF" w:rsidP="002B64EF">
            <w:pPr>
              <w:pStyle w:val="Tablewriting"/>
            </w:pPr>
            <w:r w:rsidRPr="007F561F">
              <w:t>(all items)</w:t>
            </w:r>
          </w:p>
        </w:tc>
        <w:tc>
          <w:tcPr>
            <w:tcW w:w="6237" w:type="dxa"/>
          </w:tcPr>
          <w:p w14:paraId="0A443BF6" w14:textId="77777777" w:rsidR="002B64EF" w:rsidRPr="007F561F" w:rsidRDefault="002B64EF" w:rsidP="002B64EF">
            <w:pPr>
              <w:pStyle w:val="Tablewriting"/>
            </w:pPr>
            <w:r w:rsidRPr="007F561F">
              <w:t>The restriction was simplified and changed from Authority Required to Authority Required (STREAMLINED). The requirement for diagnosis using the DSM-IV criteria was updated to the DSM-V. The emphasis on “sole PBS-subsidised treatment” use was removed</w:t>
            </w:r>
            <w:r>
              <w:t xml:space="preserve">. References in the previous restriction to </w:t>
            </w:r>
            <w:r w:rsidRPr="007F561F">
              <w:t xml:space="preserve">specific contraindications and adverse events were </w:t>
            </w:r>
            <w:r>
              <w:t xml:space="preserve">generally </w:t>
            </w:r>
            <w:r w:rsidRPr="007F561F">
              <w:t>removed.</w:t>
            </w:r>
          </w:p>
        </w:tc>
      </w:tr>
    </w:tbl>
    <w:p w14:paraId="4C95C8CB" w14:textId="77777777" w:rsidR="002B64EF" w:rsidRDefault="002B64EF" w:rsidP="002B64EF">
      <w:pPr>
        <w:spacing w:line="276" w:lineRule="auto"/>
        <w:rPr>
          <w:rFonts w:eastAsiaTheme="majorEastAsia" w:cstheme="majorBidi"/>
          <w:b/>
          <w:bCs/>
          <w:sz w:val="32"/>
          <w:szCs w:val="32"/>
        </w:rPr>
      </w:pPr>
      <w:r>
        <w:br w:type="page"/>
      </w:r>
    </w:p>
    <w:p w14:paraId="2944FCB9" w14:textId="77777777" w:rsidR="002B64EF" w:rsidRDefault="002B64EF" w:rsidP="002B64EF">
      <w:pPr>
        <w:pStyle w:val="Heading1"/>
      </w:pPr>
      <w:r>
        <w:t xml:space="preserve">Appendix C:  </w:t>
      </w:r>
      <w:r w:rsidRPr="00706559">
        <w:t>Methodology</w:t>
      </w:r>
      <w:r>
        <w:t xml:space="preserve"> </w:t>
      </w:r>
    </w:p>
    <w:p w14:paraId="56A00B0A" w14:textId="77777777" w:rsidR="002B64EF" w:rsidRPr="0005316E" w:rsidRDefault="002B64EF" w:rsidP="002B64EF">
      <w:pPr>
        <w:pStyle w:val="Heading3"/>
      </w:pPr>
      <w:r>
        <w:t>Authority approvals data</w:t>
      </w:r>
    </w:p>
    <w:p w14:paraId="54D4638F" w14:textId="77777777" w:rsidR="002B64EF" w:rsidRDefault="002B64EF" w:rsidP="002B64EF">
      <w:r>
        <w:t xml:space="preserve">To consider if the number of people receiving ADHD medicine is changing over time, the Medicare Authority approvals database was used, as this eliminates the effect of individuals being missed prior to the full capture of under co-payment data in April 2012. </w:t>
      </w:r>
    </w:p>
    <w:p w14:paraId="72FC587C" w14:textId="77777777" w:rsidR="002B64EF" w:rsidRDefault="002B64EF" w:rsidP="002B64EF">
      <w:r>
        <w:t xml:space="preserve">Data were extracted from the Medicare authority approvals database. The number of individual people who received an authority approval was determined for each of the calendar years 2010 to 2014 by a count of unique patient identifiers. New patients were defined as people who had no previous prescription for an ADHD medicine since January 2007. The age and sex of these people was determined by cross-matching patient identification numbers with the Medicare pharmacy claim database. Age was determined to be the age at first approval in that calendar year. </w:t>
      </w:r>
    </w:p>
    <w:p w14:paraId="55DB90B2" w14:textId="77777777" w:rsidR="002B64EF" w:rsidRDefault="002B64EF" w:rsidP="002B64EF">
      <w:r>
        <w:t>These data are presented as:</w:t>
      </w:r>
    </w:p>
    <w:p w14:paraId="634ADC0C" w14:textId="77777777" w:rsidR="002B64EF" w:rsidRDefault="002B64EF" w:rsidP="002B64EF">
      <w:pPr>
        <w:pStyle w:val="ListParagraph"/>
        <w:numPr>
          <w:ilvl w:val="0"/>
          <w:numId w:val="18"/>
        </w:numPr>
      </w:pPr>
      <w:r>
        <w:t>number of people treated by age group and sex (Table 3)</w:t>
      </w:r>
    </w:p>
    <w:p w14:paraId="49E89AF7" w14:textId="77777777" w:rsidR="002B64EF" w:rsidRDefault="002B64EF" w:rsidP="002B64EF">
      <w:pPr>
        <w:pStyle w:val="ListParagraph"/>
        <w:numPr>
          <w:ilvl w:val="0"/>
          <w:numId w:val="18"/>
        </w:numPr>
      </w:pPr>
      <w:r>
        <w:t>number of people new to therapy by age group and sex (Table 3)</w:t>
      </w:r>
    </w:p>
    <w:p w14:paraId="7B8DD111" w14:textId="77777777" w:rsidR="002B64EF" w:rsidRDefault="002B64EF" w:rsidP="002B64EF">
      <w:pPr>
        <w:pStyle w:val="ListParagraph"/>
        <w:numPr>
          <w:ilvl w:val="0"/>
          <w:numId w:val="18"/>
        </w:numPr>
      </w:pPr>
      <w:r>
        <w:t>number of people in each age/sex category as a percentage of the total number of new/all patients (Table 4)</w:t>
      </w:r>
    </w:p>
    <w:p w14:paraId="0A9A6321" w14:textId="77777777" w:rsidR="002B64EF" w:rsidRDefault="002B64EF" w:rsidP="002B64EF">
      <w:pPr>
        <w:pStyle w:val="ListParagraph"/>
        <w:numPr>
          <w:ilvl w:val="0"/>
          <w:numId w:val="18"/>
        </w:numPr>
      </w:pPr>
      <w:r>
        <w:t>ratio of males to females (Figure 2)</w:t>
      </w:r>
    </w:p>
    <w:p w14:paraId="5FD99651" w14:textId="77777777" w:rsidR="002B64EF" w:rsidRDefault="002B64EF" w:rsidP="002B64EF">
      <w:pPr>
        <w:pStyle w:val="ListParagraph"/>
        <w:numPr>
          <w:ilvl w:val="0"/>
          <w:numId w:val="18"/>
        </w:numPr>
      </w:pPr>
      <w:r>
        <w:t>number of people treated by medicine prescribed (Table 6)</w:t>
      </w:r>
    </w:p>
    <w:p w14:paraId="39689D82" w14:textId="77777777" w:rsidR="002B64EF" w:rsidRDefault="002B64EF" w:rsidP="002B64EF">
      <w:pPr>
        <w:pStyle w:val="ListParagraph"/>
        <w:numPr>
          <w:ilvl w:val="0"/>
          <w:numId w:val="18"/>
        </w:numPr>
      </w:pPr>
      <w:r>
        <w:t xml:space="preserve">number of people new to therapy by first medicine prescribed (Table 6) </w:t>
      </w:r>
    </w:p>
    <w:p w14:paraId="7D6F5645" w14:textId="77777777" w:rsidR="002B64EF" w:rsidRPr="00623F59" w:rsidRDefault="002B64EF" w:rsidP="002B64EF">
      <w:pPr>
        <w:pStyle w:val="ListParagraph"/>
        <w:numPr>
          <w:ilvl w:val="0"/>
          <w:numId w:val="18"/>
        </w:numPr>
      </w:pPr>
      <w:r>
        <w:t xml:space="preserve">length of treatment (Figures 8 and 9, Table 7) - for full methods see </w:t>
      </w:r>
      <w:r w:rsidRPr="0046147D">
        <w:rPr>
          <w:u w:val="single"/>
        </w:rPr>
        <w:t>Appendix </w:t>
      </w:r>
      <w:r>
        <w:rPr>
          <w:u w:val="single"/>
        </w:rPr>
        <w:t>D</w:t>
      </w:r>
    </w:p>
    <w:p w14:paraId="334D914C" w14:textId="77777777" w:rsidR="002B64EF" w:rsidRDefault="002B64EF" w:rsidP="002B64EF">
      <w:pPr>
        <w:pStyle w:val="ListParagraph"/>
        <w:numPr>
          <w:ilvl w:val="0"/>
          <w:numId w:val="18"/>
        </w:numPr>
      </w:pPr>
      <w:r>
        <w:t>(for 2011-2014) number of people per 1000 population by patient state, standardised by total state population from ABS population statistics</w:t>
      </w:r>
      <w:r>
        <w:rPr>
          <w:rStyle w:val="FootnoteReference"/>
        </w:rPr>
        <w:footnoteReference w:id="2"/>
      </w:r>
      <w:r>
        <w:t xml:space="preserve"> (Figure 10)</w:t>
      </w:r>
    </w:p>
    <w:p w14:paraId="41CBF098" w14:textId="77777777" w:rsidR="002B64EF" w:rsidRDefault="002B64EF" w:rsidP="002B64EF">
      <w:r>
        <w:t xml:space="preserve">Atomoxetine is not included in the Medicare authority approvals data after 1 August 2014. Medicare pharmacy claims data for atomoxetine in 2014 was used in Table 6. </w:t>
      </w:r>
    </w:p>
    <w:p w14:paraId="47D9C4D8" w14:textId="77777777" w:rsidR="002B64EF" w:rsidRPr="0005316E" w:rsidRDefault="002B64EF" w:rsidP="002B64EF">
      <w:pPr>
        <w:pStyle w:val="Heading3"/>
      </w:pPr>
      <w:r>
        <w:t>Counting patients from Authority approvals data as a proxy for patients supplied</w:t>
      </w:r>
    </w:p>
    <w:p w14:paraId="08617334" w14:textId="77777777" w:rsidR="002B64EF" w:rsidRDefault="002B64EF" w:rsidP="002B64EF">
      <w:pPr>
        <w:pStyle w:val="Tabletitle"/>
        <w:rPr>
          <w:b w:val="0"/>
        </w:rPr>
      </w:pPr>
      <w:r w:rsidRPr="00621C3E">
        <w:rPr>
          <w:b w:val="0"/>
        </w:rPr>
        <w:t>In 2014 there were 117,403 people granted authority approvals for ADHD medicines. For comparison, PBS subsidised ADHD medicines were supplied to 122,036 people.</w:t>
      </w:r>
      <w:r>
        <w:rPr>
          <w:b w:val="0"/>
        </w:rPr>
        <w:t xml:space="preserve"> </w:t>
      </w:r>
    </w:p>
    <w:p w14:paraId="1D8D587A" w14:textId="77777777" w:rsidR="002B64EF" w:rsidRDefault="002B64EF" w:rsidP="002B64EF">
      <w:pPr>
        <w:pStyle w:val="Tabletitle"/>
        <w:rPr>
          <w:b w:val="0"/>
        </w:rPr>
      </w:pPr>
      <w:r>
        <w:rPr>
          <w:b w:val="0"/>
        </w:rPr>
        <w:t xml:space="preserve">This demonstrates that people supplied authority approvals are a reasonable proxy for people dispensed ADHD medicines. </w:t>
      </w:r>
      <w:r w:rsidRPr="00990AA6">
        <w:rPr>
          <w:b w:val="0"/>
        </w:rPr>
        <w:t xml:space="preserve">The differences </w:t>
      </w:r>
      <w:r>
        <w:rPr>
          <w:b w:val="0"/>
        </w:rPr>
        <w:t>could be due to</w:t>
      </w:r>
      <w:r w:rsidRPr="00990AA6">
        <w:rPr>
          <w:b w:val="0"/>
        </w:rPr>
        <w:t xml:space="preserve"> </w:t>
      </w:r>
      <w:r>
        <w:rPr>
          <w:b w:val="0"/>
        </w:rPr>
        <w:t>narcolepsy being excluded</w:t>
      </w:r>
      <w:r w:rsidRPr="00990AA6">
        <w:rPr>
          <w:b w:val="0"/>
        </w:rPr>
        <w:t xml:space="preserve"> from </w:t>
      </w:r>
      <w:r>
        <w:rPr>
          <w:b w:val="0"/>
        </w:rPr>
        <w:t xml:space="preserve">analysis of </w:t>
      </w:r>
      <w:r w:rsidRPr="00990AA6">
        <w:rPr>
          <w:b w:val="0"/>
        </w:rPr>
        <w:t xml:space="preserve">authority data but not supply data, exclusion of atomoxetine from authorities data after August 2014, and </w:t>
      </w:r>
      <w:r>
        <w:rPr>
          <w:b w:val="0"/>
        </w:rPr>
        <w:t>medicines being dispensed more freque</w:t>
      </w:r>
      <w:r w:rsidRPr="00990AA6">
        <w:rPr>
          <w:b w:val="0"/>
        </w:rPr>
        <w:t>ntly than authority approvals granted.</w:t>
      </w:r>
      <w:r>
        <w:rPr>
          <w:b w:val="0"/>
        </w:rPr>
        <w:t xml:space="preserve">  </w:t>
      </w:r>
    </w:p>
    <w:p w14:paraId="5287F7D7" w14:textId="77777777" w:rsidR="002B64EF" w:rsidRPr="0005316E" w:rsidRDefault="002B64EF" w:rsidP="002B64EF">
      <w:pPr>
        <w:pStyle w:val="Heading3"/>
      </w:pPr>
      <w:r w:rsidRPr="0005316E">
        <w:t>Medica</w:t>
      </w:r>
      <w:r>
        <w:t>re pharmacy claims data</w:t>
      </w:r>
    </w:p>
    <w:p w14:paraId="453BE3CC" w14:textId="77777777" w:rsidR="002B64EF" w:rsidRDefault="002B64EF" w:rsidP="002B64EF">
      <w:r>
        <w:t xml:space="preserve">Where a snapshot of data from 2013 or 2014 is presented, the Medicare pharmacy claims line-by-line data were used. This database includes actual under co-payment data collection from April 2012. Age was determined to be the age at first supply in 2014. </w:t>
      </w:r>
    </w:p>
    <w:p w14:paraId="259EEA25" w14:textId="77777777" w:rsidR="002B64EF" w:rsidRDefault="002B64EF" w:rsidP="002B64EF">
      <w:r>
        <w:t xml:space="preserve">These data are presented as: </w:t>
      </w:r>
    </w:p>
    <w:p w14:paraId="5C894988" w14:textId="77777777" w:rsidR="002B64EF" w:rsidRDefault="002B64EF" w:rsidP="002B64EF">
      <w:pPr>
        <w:pStyle w:val="ListParagraph"/>
        <w:numPr>
          <w:ilvl w:val="0"/>
          <w:numId w:val="18"/>
        </w:numPr>
      </w:pPr>
      <w:r>
        <w:t xml:space="preserve">number of people supplied at least one PBS ADHD medicine by age (Figure 1) </w:t>
      </w:r>
    </w:p>
    <w:p w14:paraId="19D6DA2C" w14:textId="77777777" w:rsidR="002B64EF" w:rsidRDefault="002B64EF" w:rsidP="002B64EF">
      <w:pPr>
        <w:pStyle w:val="ListParagraph"/>
        <w:numPr>
          <w:ilvl w:val="0"/>
          <w:numId w:val="18"/>
        </w:numPr>
      </w:pPr>
      <w:r>
        <w:t>number of people supplied an ADHD medicine in 2014 by age and sex (Figure 3)</w:t>
      </w:r>
    </w:p>
    <w:p w14:paraId="627C95CF" w14:textId="77777777" w:rsidR="002B64EF" w:rsidRDefault="002B64EF" w:rsidP="002B64EF">
      <w:pPr>
        <w:pStyle w:val="ListParagraph"/>
        <w:numPr>
          <w:ilvl w:val="0"/>
          <w:numId w:val="18"/>
        </w:numPr>
      </w:pPr>
      <w:r>
        <w:t xml:space="preserve">medicines used to initiate PBS ADHD therapy by patient age (Figure 6). Initiators were defined as having no prior ADHD prescription since January 2011.  </w:t>
      </w:r>
    </w:p>
    <w:p w14:paraId="608C1F82" w14:textId="77777777" w:rsidR="002B64EF" w:rsidRDefault="002B64EF" w:rsidP="002B64EF">
      <w:pPr>
        <w:pStyle w:val="ListParagraph"/>
        <w:numPr>
          <w:ilvl w:val="0"/>
          <w:numId w:val="18"/>
        </w:numPr>
      </w:pPr>
      <w:r>
        <w:t xml:space="preserve">number of people supplied each PBS ADHD medicine by age (Figure 7). People can be counted in more than one category if supplied multiple medicines within a calendar year. </w:t>
      </w:r>
    </w:p>
    <w:p w14:paraId="7AA19AFC" w14:textId="77777777" w:rsidR="002B64EF" w:rsidRDefault="002B64EF" w:rsidP="002B64EF">
      <w:pPr>
        <w:pStyle w:val="ListParagraph"/>
        <w:numPr>
          <w:ilvl w:val="0"/>
          <w:numId w:val="18"/>
        </w:numPr>
      </w:pPr>
      <w:r>
        <w:t>number of people supplied an ADHD medicine by 1000 population (age and state population standardised)</w:t>
      </w:r>
      <w:r>
        <w:rPr>
          <w:rStyle w:val="FootnoteReference"/>
        </w:rPr>
        <w:footnoteReference w:id="3"/>
      </w:r>
      <w:r>
        <w:t xml:space="preserve"> by state/territory of residence and age group (Figure 11)</w:t>
      </w:r>
    </w:p>
    <w:p w14:paraId="24C3B0CE" w14:textId="77777777" w:rsidR="002B64EF" w:rsidRDefault="002B64EF" w:rsidP="002B64EF">
      <w:pPr>
        <w:pStyle w:val="ListParagraph"/>
        <w:numPr>
          <w:ilvl w:val="0"/>
          <w:numId w:val="18"/>
        </w:numPr>
      </w:pPr>
      <w:r>
        <w:t>number of people supplied an ADHD medicine per 1000 population (state population standardised) by state/territory of residence and medicine (Figure 12)</w:t>
      </w:r>
    </w:p>
    <w:p w14:paraId="0262A109" w14:textId="77777777" w:rsidR="002B64EF" w:rsidRDefault="002B64EF" w:rsidP="002B64EF">
      <w:pPr>
        <w:pStyle w:val="Heading5"/>
      </w:pPr>
      <w:r w:rsidRPr="005878FA">
        <w:t>Same day supply of medicines</w:t>
      </w:r>
      <w:r>
        <w:t xml:space="preserve"> (Table 8)</w:t>
      </w:r>
    </w:p>
    <w:p w14:paraId="1CC893B7" w14:textId="77777777" w:rsidR="002B64EF" w:rsidRDefault="002B64EF" w:rsidP="002B64EF">
      <w:pPr>
        <w:rPr>
          <w:rFonts w:ascii="Calibri" w:eastAsia="MS Mincho" w:hAnsi="Calibri" w:cs="Times New Roman"/>
        </w:rPr>
      </w:pPr>
      <w:r>
        <w:rPr>
          <w:rFonts w:ascii="Calibri" w:eastAsia="MS Mincho" w:hAnsi="Calibri" w:cs="Times New Roman"/>
        </w:rPr>
        <w:t>Data were extracted from the Medicare pharmacy claims database for each of the calendar years 2013 and 2014. The data were analysed to determine how many people were supplied with certain combinations of psychotropic medicines on the same day. The medicine combinations were:</w:t>
      </w:r>
    </w:p>
    <w:p w14:paraId="55D784DC" w14:textId="77777777" w:rsidR="002B64EF" w:rsidRDefault="002B64EF" w:rsidP="002B64EF">
      <w:pPr>
        <w:pStyle w:val="ListParagraph"/>
        <w:numPr>
          <w:ilvl w:val="0"/>
          <w:numId w:val="17"/>
        </w:numPr>
        <w:rPr>
          <w:rFonts w:ascii="Calibri" w:eastAsia="MS Mincho" w:hAnsi="Calibri" w:cs="Times New Roman"/>
        </w:rPr>
      </w:pPr>
      <w:r>
        <w:rPr>
          <w:rFonts w:ascii="Calibri" w:eastAsia="MS Mincho" w:hAnsi="Calibri" w:cs="Times New Roman"/>
        </w:rPr>
        <w:t>Multiple ADHD medicine (i.e. dexamphetamine, methylphenidate, atomoxetine)</w:t>
      </w:r>
    </w:p>
    <w:p w14:paraId="4810D14D" w14:textId="77777777" w:rsidR="002B64EF" w:rsidRDefault="002B64EF" w:rsidP="002B64EF">
      <w:pPr>
        <w:pStyle w:val="ListParagraph"/>
        <w:numPr>
          <w:ilvl w:val="0"/>
          <w:numId w:val="17"/>
        </w:numPr>
        <w:rPr>
          <w:rFonts w:ascii="Calibri" w:eastAsia="MS Mincho" w:hAnsi="Calibri" w:cs="Times New Roman"/>
        </w:rPr>
      </w:pPr>
      <w:r>
        <w:rPr>
          <w:rFonts w:ascii="Calibri" w:eastAsia="MS Mincho" w:hAnsi="Calibri" w:cs="Times New Roman"/>
        </w:rPr>
        <w:t>Multiple forms of methylphenidate (i.e. IR, either brand of MR)</w:t>
      </w:r>
    </w:p>
    <w:p w14:paraId="483A4798" w14:textId="77777777" w:rsidR="002B64EF" w:rsidRDefault="002B64EF" w:rsidP="002B64EF">
      <w:pPr>
        <w:pStyle w:val="ListParagraph"/>
        <w:numPr>
          <w:ilvl w:val="0"/>
          <w:numId w:val="17"/>
        </w:numPr>
        <w:rPr>
          <w:rFonts w:ascii="Calibri" w:eastAsia="MS Mincho" w:hAnsi="Calibri" w:cs="Times New Roman"/>
        </w:rPr>
      </w:pPr>
      <w:r>
        <w:rPr>
          <w:rFonts w:ascii="Calibri" w:eastAsia="MS Mincho" w:hAnsi="Calibri" w:cs="Times New Roman"/>
        </w:rPr>
        <w:t xml:space="preserve">Any ADHD medicine with any (non-ADHD N06BA) psychotropic medicine, by type of psychotropic medicine [i.e. ATC N05A (antipsychotics); N05B (anxiolytics); N05C (hypnotics and sedatives); N06A (antidepressants)]. </w:t>
      </w:r>
    </w:p>
    <w:p w14:paraId="7ED97D23" w14:textId="77777777" w:rsidR="002B64EF" w:rsidRPr="007D3C4B" w:rsidRDefault="002B64EF" w:rsidP="002B64EF">
      <w:pPr>
        <w:rPr>
          <w:rFonts w:ascii="Calibri" w:eastAsia="MS Mincho" w:hAnsi="Calibri" w:cs="Times New Roman"/>
        </w:rPr>
      </w:pPr>
      <w:r>
        <w:rPr>
          <w:rFonts w:ascii="Calibri" w:eastAsia="MS Mincho" w:hAnsi="Calibri" w:cs="Times New Roman"/>
        </w:rPr>
        <w:t>These data were presented as the proportion of people with same day supply by age group: under 6 years, 6-12 years, 13-17 years and 18+ years.</w:t>
      </w:r>
    </w:p>
    <w:p w14:paraId="78A2AFA2" w14:textId="77777777" w:rsidR="002B64EF" w:rsidRDefault="002B64EF" w:rsidP="002B64EF">
      <w:pPr>
        <w:rPr>
          <w:rFonts w:ascii="Calibri" w:eastAsia="MS Mincho" w:hAnsi="Calibri" w:cs="Times New Roman"/>
        </w:rPr>
      </w:pPr>
      <w:r>
        <w:rPr>
          <w:rFonts w:ascii="Calibri" w:eastAsia="MS Mincho" w:hAnsi="Calibri" w:cs="Times New Roman"/>
        </w:rPr>
        <w:t xml:space="preserve">This method provides a lower estimate of use of multiple psychotropic medicines. Using a co-administration analysis other than same day supply is difficult, as it relies on estimating the amount of coverage provided by each medicine, which is especially difficult where children receive lower dosing or weight based dosing; and where pack sizes are variable. </w:t>
      </w:r>
    </w:p>
    <w:p w14:paraId="1438C6BA" w14:textId="77777777" w:rsidR="002B64EF" w:rsidRDefault="002B64EF" w:rsidP="002B64EF">
      <w:pPr>
        <w:pStyle w:val="Heading5"/>
      </w:pPr>
      <w:r>
        <w:t>Prescriber type analysis (Table 9)</w:t>
      </w:r>
    </w:p>
    <w:p w14:paraId="612C7E32" w14:textId="77777777" w:rsidR="002B64EF" w:rsidRDefault="002B64EF" w:rsidP="002B64EF">
      <w:r>
        <w:t xml:space="preserve">The prescriber type for ADHD medicines supplied in 2014 was determined from the Medicare pharmacy claims database. New patients were defined as no prescription for an ADHD medicine supplied after January 2011. However, the full ADHD medicine history including under copayment medicines (dexamphetamine, methylphenidate-IR and methylphenidate-MR 10 mg) was not available until April 2012.  </w:t>
      </w:r>
    </w:p>
    <w:p w14:paraId="02F23FF3" w14:textId="77777777" w:rsidR="002B64EF" w:rsidRPr="0005316E" w:rsidRDefault="002B64EF" w:rsidP="002B64EF">
      <w:pPr>
        <w:pStyle w:val="Heading3"/>
      </w:pPr>
      <w:r>
        <w:t>DUSC database</w:t>
      </w:r>
    </w:p>
    <w:p w14:paraId="228C0374" w14:textId="77777777" w:rsidR="002B64EF" w:rsidRDefault="002B64EF" w:rsidP="002B64EF">
      <w:r>
        <w:t xml:space="preserve">Prescription data were extracted from the DUSC database for all prescriptions for medicines used in the treatment of ADHD between quarter 1 2010 and quarter 4 2014. </w:t>
      </w:r>
      <w:r w:rsidRPr="00486FD1">
        <w:t>Actual under co-payment data is available in the DUSC database from April</w:t>
      </w:r>
      <w:r>
        <w:t> </w:t>
      </w:r>
      <w:r w:rsidRPr="00486FD1">
        <w:t>2012; prior</w:t>
      </w:r>
      <w:r>
        <w:t xml:space="preserve"> to this an estimate of under co-payment prescriptions was included. An estimate of private </w:t>
      </w:r>
      <w:r w:rsidRPr="00486FD1">
        <w:t xml:space="preserve">prescriptions </w:t>
      </w:r>
      <w:r>
        <w:t xml:space="preserve">was included </w:t>
      </w:r>
      <w:r w:rsidRPr="00486FD1">
        <w:t xml:space="preserve">until August 2012. </w:t>
      </w:r>
      <w:r>
        <w:t>Analysis was by prescription counts by quarter.</w:t>
      </w:r>
    </w:p>
    <w:p w14:paraId="706D3921" w14:textId="77777777" w:rsidR="002B64EF" w:rsidRDefault="002B64EF" w:rsidP="002B64EF">
      <w:r>
        <w:t>Analysis was based on the date of supply, which may result in small differences if compared with published Medicare data that is based on the date of processing.</w:t>
      </w:r>
    </w:p>
    <w:p w14:paraId="29359C7A" w14:textId="77777777" w:rsidR="002B64EF" w:rsidRDefault="002B64EF" w:rsidP="002B64EF">
      <w:r>
        <w:t xml:space="preserve">These data are presented as: </w:t>
      </w:r>
    </w:p>
    <w:p w14:paraId="08C0C6F8" w14:textId="77777777" w:rsidR="002B64EF" w:rsidRDefault="002B64EF" w:rsidP="002B64EF">
      <w:pPr>
        <w:pStyle w:val="ListParagraph"/>
        <w:numPr>
          <w:ilvl w:val="0"/>
          <w:numId w:val="18"/>
        </w:numPr>
      </w:pPr>
      <w:r>
        <w:t xml:space="preserve">number of prescriptions for ADHD drugs (Figure 4; Table 5) </w:t>
      </w:r>
    </w:p>
    <w:p w14:paraId="669DD8FB" w14:textId="77777777" w:rsidR="002B64EF" w:rsidRDefault="002B64EF" w:rsidP="002B64EF">
      <w:pPr>
        <w:pStyle w:val="ListParagraph"/>
        <w:numPr>
          <w:ilvl w:val="0"/>
          <w:numId w:val="18"/>
        </w:numPr>
      </w:pPr>
      <w:r>
        <w:t>number of prescriptions for methylphenidate IR and MR forms (Figure 5; Table 5)</w:t>
      </w:r>
    </w:p>
    <w:p w14:paraId="5099FA90" w14:textId="77777777" w:rsidR="002B64EF" w:rsidRDefault="002B64EF" w:rsidP="002B64EF">
      <w:pPr>
        <w:pStyle w:val="ListParagraph"/>
        <w:numPr>
          <w:ilvl w:val="0"/>
          <w:numId w:val="18"/>
        </w:numPr>
      </w:pPr>
      <w:r>
        <w:t>PBS benefits paid for ADHD medicines (Table 10)</w:t>
      </w:r>
    </w:p>
    <w:p w14:paraId="3E2E36F0" w14:textId="77777777" w:rsidR="002B64EF" w:rsidRPr="0005316E" w:rsidRDefault="002B64EF" w:rsidP="002B64EF">
      <w:pPr>
        <w:pStyle w:val="Heading3"/>
      </w:pPr>
      <w:r>
        <w:t>Data handling for dexamphetamine regarding the treatment of narcolepsy</w:t>
      </w:r>
    </w:p>
    <w:p w14:paraId="0DFE59C0" w14:textId="77777777" w:rsidR="002B64EF" w:rsidRDefault="002B64EF" w:rsidP="002B64EF">
      <w:r>
        <w:t>People receiving dexamphetamine for the treatment of narcolepsy were excluded from analyses using the Medicare authority approvals database</w:t>
      </w:r>
      <w:r w:rsidRPr="00AF66E4">
        <w:t>. Where data were obtained from the Medicare pharmacy claim database or the DUSC database, patients receiving dexamphetamine for the treatment of narcolepsy were included. However, the 2012 DUSC review of ADHD medicines utilisation found that there was comparatively little use of dexamphetamine for the treatment of narcolepsy. The prevalence of narcolepsy is estimated around 0.03–0.16%, and narcolepsy with cataplexy at 0.00025–0.0005%.</w:t>
      </w:r>
      <w:r w:rsidRPr="00AF66E4">
        <w:rPr>
          <w:rStyle w:val="EndnoteReference"/>
        </w:rPr>
        <w:endnoteReference w:id="40"/>
      </w:r>
      <w:r>
        <w:t xml:space="preserve"> </w:t>
      </w:r>
    </w:p>
    <w:p w14:paraId="10FEE53B" w14:textId="77777777" w:rsidR="002B64EF" w:rsidRPr="004211B5" w:rsidRDefault="002B64EF" w:rsidP="002B64EF">
      <w:pPr>
        <w:spacing w:line="276" w:lineRule="auto"/>
        <w:rPr>
          <w:rFonts w:eastAsiaTheme="majorEastAsia" w:cstheme="majorBidi"/>
          <w:b/>
          <w:bCs/>
          <w:sz w:val="32"/>
          <w:szCs w:val="32"/>
          <w:u w:val="single"/>
        </w:rPr>
      </w:pPr>
      <w:r w:rsidRPr="004211B5">
        <w:rPr>
          <w:u w:val="single"/>
        </w:rPr>
        <w:br w:type="page"/>
      </w:r>
    </w:p>
    <w:p w14:paraId="1DACB77E" w14:textId="77777777" w:rsidR="002B64EF" w:rsidRDefault="002B64EF" w:rsidP="002B64EF">
      <w:pPr>
        <w:pStyle w:val="Heading1"/>
      </w:pPr>
      <w:r>
        <w:t xml:space="preserve">Appendix D: </w:t>
      </w:r>
      <w:r w:rsidRPr="0078576A">
        <w:t>Analysis of length of treatment</w:t>
      </w:r>
    </w:p>
    <w:p w14:paraId="060812F3" w14:textId="77777777" w:rsidR="002B64EF" w:rsidRPr="0078576A" w:rsidRDefault="002B64EF" w:rsidP="002B64EF">
      <w:r>
        <w:t>Approvals data from January 2002 to July 2014 inclusive were used, with i</w:t>
      </w:r>
      <w:r w:rsidRPr="0078576A">
        <w:t>nitiation defined as a first approval after 1 Jan</w:t>
      </w:r>
      <w:r>
        <w:t>uary</w:t>
      </w:r>
      <w:r w:rsidRPr="0078576A">
        <w:t xml:space="preserve"> 2003 (i</w:t>
      </w:r>
      <w:r>
        <w:t>.</w:t>
      </w:r>
      <w:r w:rsidRPr="0078576A">
        <w:t xml:space="preserve">e. no prior approval for at least </w:t>
      </w:r>
      <w:r>
        <w:t>one</w:t>
      </w:r>
      <w:r w:rsidRPr="0078576A">
        <w:t xml:space="preserve"> year).</w:t>
      </w:r>
      <w:r>
        <w:t xml:space="preserve"> Initiators to therapy in 2013 and 2014 were excluded due to insufficient follow-up. </w:t>
      </w:r>
      <w:r w:rsidRPr="0078576A">
        <w:t xml:space="preserve">Overall length of treatment </w:t>
      </w:r>
      <w:r>
        <w:t>was</w:t>
      </w:r>
      <w:r w:rsidRPr="0078576A">
        <w:t xml:space="preserve"> defined as the time from initiating approval to last approval plus the median time between approvals (calculated at the form and number of repeats level, see </w:t>
      </w:r>
      <w:r>
        <w:t>table E.1 below</w:t>
      </w:r>
      <w:r w:rsidRPr="0078576A">
        <w:t xml:space="preserve">). A </w:t>
      </w:r>
      <w:r>
        <w:t>person</w:t>
      </w:r>
      <w:r w:rsidRPr="0078576A">
        <w:t xml:space="preserve"> </w:t>
      </w:r>
      <w:r>
        <w:t>was</w:t>
      </w:r>
      <w:r w:rsidRPr="0078576A">
        <w:t xml:space="preserve"> deemed to be continuing treatment (i</w:t>
      </w:r>
      <w:r>
        <w:t>.</w:t>
      </w:r>
      <w:r w:rsidRPr="0078576A">
        <w:t xml:space="preserve">e. censored) at the end of the data period if the last approval </w:t>
      </w:r>
      <w:r>
        <w:t>was</w:t>
      </w:r>
      <w:r w:rsidRPr="0078576A">
        <w:t xml:space="preserve"> within 2 x “</w:t>
      </w:r>
      <w:r>
        <w:t xml:space="preserve">median time between approvals” </w:t>
      </w:r>
      <w:r w:rsidRPr="0078576A">
        <w:t xml:space="preserve">of the end of the </w:t>
      </w:r>
      <w:r>
        <w:t xml:space="preserve">data period (i.e. 31 July 2014). </w:t>
      </w:r>
      <w:r w:rsidRPr="0078576A">
        <w:t xml:space="preserve">Otherwise the </w:t>
      </w:r>
      <w:r>
        <w:t>person</w:t>
      </w:r>
      <w:r w:rsidRPr="0078576A">
        <w:t xml:space="preserve"> </w:t>
      </w:r>
      <w:r>
        <w:t>was</w:t>
      </w:r>
      <w:r w:rsidRPr="0078576A">
        <w:t xml:space="preserve"> deemed to have finished treatment. </w:t>
      </w:r>
    </w:p>
    <w:p w14:paraId="7ECBB443" w14:textId="77777777" w:rsidR="002B64EF" w:rsidRDefault="002B64EF" w:rsidP="002B64EF">
      <w:r>
        <w:t xml:space="preserve">The median number of days between approvals is shown below. </w:t>
      </w:r>
    </w:p>
    <w:p w14:paraId="67CF7330" w14:textId="77777777" w:rsidR="002B64EF" w:rsidRPr="00922C49" w:rsidRDefault="002B64EF" w:rsidP="002B64EF">
      <w:pPr>
        <w:spacing w:after="0"/>
        <w:rPr>
          <w:b/>
        </w:rPr>
      </w:pPr>
      <w:r w:rsidRPr="00922C49">
        <w:rPr>
          <w:b/>
        </w:rPr>
        <w:t>Table E.1.</w:t>
      </w:r>
      <w:r>
        <w:rPr>
          <w:b/>
        </w:rPr>
        <w:t xml:space="preserve"> Median days between Authority approvals by form and number of repeats</w:t>
      </w:r>
    </w:p>
    <w:tbl>
      <w:tblPr>
        <w:tblStyle w:val="TableGrid"/>
        <w:tblW w:w="0" w:type="auto"/>
        <w:tblLook w:val="04A0" w:firstRow="1" w:lastRow="0" w:firstColumn="1" w:lastColumn="0" w:noHBand="0" w:noVBand="1"/>
        <w:tblCaption w:val="Table E.1. Median days between Authority approvals by form and number of repeats"/>
        <w:tblDescription w:val="A table that displays the median number of days between approvals for each ADHD medicine, based on the number of repeats granted at the time of the authority approval."/>
      </w:tblPr>
      <w:tblGrid>
        <w:gridCol w:w="3063"/>
        <w:gridCol w:w="3054"/>
        <w:gridCol w:w="3056"/>
      </w:tblGrid>
      <w:tr w:rsidR="002B64EF" w:rsidRPr="00065377" w14:paraId="1347F443" w14:textId="77777777" w:rsidTr="00681132">
        <w:trPr>
          <w:tblHeader/>
        </w:trPr>
        <w:tc>
          <w:tcPr>
            <w:tcW w:w="3080" w:type="dxa"/>
          </w:tcPr>
          <w:p w14:paraId="1C82D43A" w14:textId="77777777" w:rsidR="002B64EF" w:rsidRPr="00065377" w:rsidRDefault="002B64EF" w:rsidP="002B64EF">
            <w:pPr>
              <w:pStyle w:val="Figurecaption"/>
              <w:rPr>
                <w:b/>
              </w:rPr>
            </w:pPr>
            <w:r w:rsidRPr="00065377">
              <w:rPr>
                <w:b/>
              </w:rPr>
              <w:t>Form</w:t>
            </w:r>
          </w:p>
        </w:tc>
        <w:tc>
          <w:tcPr>
            <w:tcW w:w="3081" w:type="dxa"/>
          </w:tcPr>
          <w:p w14:paraId="62147C1A" w14:textId="77777777" w:rsidR="002B64EF" w:rsidRPr="00065377" w:rsidRDefault="002B64EF" w:rsidP="002B64EF">
            <w:pPr>
              <w:pStyle w:val="Figurecaption"/>
              <w:rPr>
                <w:b/>
              </w:rPr>
            </w:pPr>
            <w:r w:rsidRPr="00065377">
              <w:rPr>
                <w:b/>
              </w:rPr>
              <w:t>Number of repeats</w:t>
            </w:r>
          </w:p>
        </w:tc>
        <w:tc>
          <w:tcPr>
            <w:tcW w:w="3081" w:type="dxa"/>
          </w:tcPr>
          <w:p w14:paraId="46E9D2C7" w14:textId="77777777" w:rsidR="002B64EF" w:rsidRPr="00065377" w:rsidRDefault="002B64EF" w:rsidP="002B64EF">
            <w:pPr>
              <w:pStyle w:val="Figurecaption"/>
              <w:rPr>
                <w:b/>
              </w:rPr>
            </w:pPr>
            <w:r w:rsidRPr="00065377">
              <w:rPr>
                <w:b/>
              </w:rPr>
              <w:t>median days between approvals</w:t>
            </w:r>
          </w:p>
        </w:tc>
      </w:tr>
      <w:tr w:rsidR="002B64EF" w14:paraId="31A6E63B" w14:textId="77777777" w:rsidTr="002B64EF">
        <w:tc>
          <w:tcPr>
            <w:tcW w:w="3080" w:type="dxa"/>
          </w:tcPr>
          <w:p w14:paraId="4A726B42" w14:textId="77777777" w:rsidR="002B64EF" w:rsidRDefault="002B64EF" w:rsidP="002B64EF">
            <w:pPr>
              <w:pStyle w:val="Figurecaption"/>
              <w:rPr>
                <w:sz w:val="24"/>
                <w:szCs w:val="24"/>
              </w:rPr>
            </w:pPr>
            <w:r w:rsidRPr="00316A1F">
              <w:t>Atomoxetine (Strattera)</w:t>
            </w:r>
          </w:p>
        </w:tc>
        <w:tc>
          <w:tcPr>
            <w:tcW w:w="3081" w:type="dxa"/>
          </w:tcPr>
          <w:p w14:paraId="2289904E" w14:textId="77777777" w:rsidR="002B64EF" w:rsidRDefault="002B64EF" w:rsidP="002B64EF">
            <w:pPr>
              <w:pStyle w:val="Figurecaption"/>
              <w:rPr>
                <w:sz w:val="24"/>
                <w:szCs w:val="24"/>
              </w:rPr>
            </w:pPr>
            <w:r w:rsidRPr="00316A1F">
              <w:t>0</w:t>
            </w:r>
          </w:p>
        </w:tc>
        <w:tc>
          <w:tcPr>
            <w:tcW w:w="3081" w:type="dxa"/>
          </w:tcPr>
          <w:p w14:paraId="1271C533" w14:textId="77777777" w:rsidR="002B64EF" w:rsidRDefault="002B64EF" w:rsidP="002B64EF">
            <w:pPr>
              <w:pStyle w:val="Figurecaption"/>
              <w:rPr>
                <w:sz w:val="24"/>
                <w:szCs w:val="24"/>
              </w:rPr>
            </w:pPr>
            <w:r w:rsidRPr="00316A1F">
              <w:t>47</w:t>
            </w:r>
          </w:p>
        </w:tc>
      </w:tr>
      <w:tr w:rsidR="002B64EF" w14:paraId="14B8CEF0" w14:textId="77777777" w:rsidTr="002B64EF">
        <w:tc>
          <w:tcPr>
            <w:tcW w:w="3080" w:type="dxa"/>
          </w:tcPr>
          <w:p w14:paraId="6ADB41D1" w14:textId="77777777" w:rsidR="002B64EF" w:rsidRDefault="002B64EF" w:rsidP="002B64EF">
            <w:pPr>
              <w:pStyle w:val="Figurecaption"/>
              <w:rPr>
                <w:sz w:val="24"/>
                <w:szCs w:val="24"/>
              </w:rPr>
            </w:pPr>
            <w:r w:rsidRPr="00316A1F">
              <w:t>Atomoxetine (Strattera)</w:t>
            </w:r>
          </w:p>
        </w:tc>
        <w:tc>
          <w:tcPr>
            <w:tcW w:w="3081" w:type="dxa"/>
          </w:tcPr>
          <w:p w14:paraId="7878EDB4" w14:textId="77777777" w:rsidR="002B64EF" w:rsidRDefault="002B64EF" w:rsidP="002B64EF">
            <w:pPr>
              <w:pStyle w:val="Figurecaption"/>
              <w:rPr>
                <w:sz w:val="24"/>
                <w:szCs w:val="24"/>
              </w:rPr>
            </w:pPr>
            <w:r w:rsidRPr="00316A1F">
              <w:t>1</w:t>
            </w:r>
          </w:p>
        </w:tc>
        <w:tc>
          <w:tcPr>
            <w:tcW w:w="3081" w:type="dxa"/>
          </w:tcPr>
          <w:p w14:paraId="5243F91E" w14:textId="77777777" w:rsidR="002B64EF" w:rsidRDefault="002B64EF" w:rsidP="002B64EF">
            <w:pPr>
              <w:pStyle w:val="Figurecaption"/>
              <w:rPr>
                <w:sz w:val="24"/>
                <w:szCs w:val="24"/>
              </w:rPr>
            </w:pPr>
            <w:r w:rsidRPr="00316A1F">
              <w:t>88</w:t>
            </w:r>
          </w:p>
        </w:tc>
      </w:tr>
      <w:tr w:rsidR="002B64EF" w14:paraId="1E28C6E8" w14:textId="77777777" w:rsidTr="002B64EF">
        <w:tc>
          <w:tcPr>
            <w:tcW w:w="3080" w:type="dxa"/>
          </w:tcPr>
          <w:p w14:paraId="10E79B44" w14:textId="77777777" w:rsidR="002B64EF" w:rsidRDefault="002B64EF" w:rsidP="002B64EF">
            <w:pPr>
              <w:pStyle w:val="Figurecaption"/>
              <w:rPr>
                <w:sz w:val="24"/>
                <w:szCs w:val="24"/>
              </w:rPr>
            </w:pPr>
            <w:r w:rsidRPr="00316A1F">
              <w:t>Atomoxetine (Strattera)</w:t>
            </w:r>
          </w:p>
        </w:tc>
        <w:tc>
          <w:tcPr>
            <w:tcW w:w="3081" w:type="dxa"/>
          </w:tcPr>
          <w:p w14:paraId="203C3D85" w14:textId="77777777" w:rsidR="002B64EF" w:rsidRDefault="002B64EF" w:rsidP="002B64EF">
            <w:pPr>
              <w:pStyle w:val="Figurecaption"/>
              <w:rPr>
                <w:sz w:val="24"/>
                <w:szCs w:val="24"/>
              </w:rPr>
            </w:pPr>
            <w:r w:rsidRPr="00316A1F">
              <w:t>2</w:t>
            </w:r>
          </w:p>
        </w:tc>
        <w:tc>
          <w:tcPr>
            <w:tcW w:w="3081" w:type="dxa"/>
          </w:tcPr>
          <w:p w14:paraId="4210EB89" w14:textId="77777777" w:rsidR="002B64EF" w:rsidRDefault="002B64EF" w:rsidP="002B64EF">
            <w:pPr>
              <w:pStyle w:val="Figurecaption"/>
              <w:rPr>
                <w:sz w:val="24"/>
                <w:szCs w:val="24"/>
              </w:rPr>
            </w:pPr>
            <w:r w:rsidRPr="00316A1F">
              <w:t>162</w:t>
            </w:r>
          </w:p>
        </w:tc>
      </w:tr>
      <w:tr w:rsidR="002B64EF" w14:paraId="535EFD0D" w14:textId="77777777" w:rsidTr="002B64EF">
        <w:tc>
          <w:tcPr>
            <w:tcW w:w="3080" w:type="dxa"/>
          </w:tcPr>
          <w:p w14:paraId="1D63677C" w14:textId="77777777" w:rsidR="002B64EF" w:rsidRDefault="002B64EF" w:rsidP="002B64EF">
            <w:pPr>
              <w:pStyle w:val="Figurecaption"/>
              <w:rPr>
                <w:sz w:val="24"/>
                <w:szCs w:val="24"/>
              </w:rPr>
            </w:pPr>
            <w:r w:rsidRPr="00316A1F">
              <w:t>Atomoxetine (Strattera)</w:t>
            </w:r>
          </w:p>
        </w:tc>
        <w:tc>
          <w:tcPr>
            <w:tcW w:w="3081" w:type="dxa"/>
          </w:tcPr>
          <w:p w14:paraId="0985B22D" w14:textId="77777777" w:rsidR="002B64EF" w:rsidRDefault="002B64EF" w:rsidP="002B64EF">
            <w:pPr>
              <w:pStyle w:val="Figurecaption"/>
              <w:rPr>
                <w:sz w:val="24"/>
                <w:szCs w:val="24"/>
              </w:rPr>
            </w:pPr>
            <w:r w:rsidRPr="00316A1F">
              <w:t>3</w:t>
            </w:r>
          </w:p>
        </w:tc>
        <w:tc>
          <w:tcPr>
            <w:tcW w:w="3081" w:type="dxa"/>
          </w:tcPr>
          <w:p w14:paraId="69112FAD" w14:textId="77777777" w:rsidR="002B64EF" w:rsidRDefault="002B64EF" w:rsidP="002B64EF">
            <w:pPr>
              <w:pStyle w:val="Figurecaption"/>
              <w:rPr>
                <w:sz w:val="24"/>
                <w:szCs w:val="24"/>
              </w:rPr>
            </w:pPr>
            <w:r w:rsidRPr="00316A1F">
              <w:t>121</w:t>
            </w:r>
          </w:p>
        </w:tc>
      </w:tr>
      <w:tr w:rsidR="002B64EF" w14:paraId="20E9CD80" w14:textId="77777777" w:rsidTr="002B64EF">
        <w:tc>
          <w:tcPr>
            <w:tcW w:w="3080" w:type="dxa"/>
          </w:tcPr>
          <w:p w14:paraId="7E1EC990" w14:textId="77777777" w:rsidR="002B64EF" w:rsidRDefault="002B64EF" w:rsidP="002B64EF">
            <w:pPr>
              <w:pStyle w:val="Figurecaption"/>
              <w:rPr>
                <w:sz w:val="24"/>
                <w:szCs w:val="24"/>
              </w:rPr>
            </w:pPr>
            <w:r w:rsidRPr="00316A1F">
              <w:t>Atomoxetine (Strattera)</w:t>
            </w:r>
          </w:p>
        </w:tc>
        <w:tc>
          <w:tcPr>
            <w:tcW w:w="3081" w:type="dxa"/>
          </w:tcPr>
          <w:p w14:paraId="7E27A473" w14:textId="77777777" w:rsidR="002B64EF" w:rsidRDefault="002B64EF" w:rsidP="002B64EF">
            <w:pPr>
              <w:pStyle w:val="Figurecaption"/>
              <w:rPr>
                <w:sz w:val="24"/>
                <w:szCs w:val="24"/>
              </w:rPr>
            </w:pPr>
            <w:r w:rsidRPr="00316A1F">
              <w:t>4</w:t>
            </w:r>
          </w:p>
        </w:tc>
        <w:tc>
          <w:tcPr>
            <w:tcW w:w="3081" w:type="dxa"/>
          </w:tcPr>
          <w:p w14:paraId="51DCDBD1" w14:textId="77777777" w:rsidR="002B64EF" w:rsidRDefault="002B64EF" w:rsidP="002B64EF">
            <w:pPr>
              <w:pStyle w:val="Figurecaption"/>
              <w:rPr>
                <w:sz w:val="24"/>
                <w:szCs w:val="24"/>
              </w:rPr>
            </w:pPr>
            <w:r w:rsidRPr="00316A1F">
              <w:t>155</w:t>
            </w:r>
          </w:p>
        </w:tc>
      </w:tr>
      <w:tr w:rsidR="002B64EF" w14:paraId="1CDCF6F7" w14:textId="77777777" w:rsidTr="002B64EF">
        <w:tc>
          <w:tcPr>
            <w:tcW w:w="3080" w:type="dxa"/>
          </w:tcPr>
          <w:p w14:paraId="447D628B" w14:textId="77777777" w:rsidR="002B64EF" w:rsidRDefault="002B64EF" w:rsidP="002B64EF">
            <w:pPr>
              <w:pStyle w:val="Figurecaption"/>
              <w:rPr>
                <w:sz w:val="24"/>
                <w:szCs w:val="24"/>
              </w:rPr>
            </w:pPr>
            <w:r w:rsidRPr="00316A1F">
              <w:t>Atomoxetine (Strattera)</w:t>
            </w:r>
          </w:p>
        </w:tc>
        <w:tc>
          <w:tcPr>
            <w:tcW w:w="3081" w:type="dxa"/>
          </w:tcPr>
          <w:p w14:paraId="193A4D6F" w14:textId="77777777" w:rsidR="002B64EF" w:rsidRDefault="002B64EF" w:rsidP="002B64EF">
            <w:pPr>
              <w:pStyle w:val="Figurecaption"/>
              <w:rPr>
                <w:sz w:val="24"/>
                <w:szCs w:val="24"/>
              </w:rPr>
            </w:pPr>
            <w:r w:rsidRPr="00316A1F">
              <w:t>5</w:t>
            </w:r>
          </w:p>
        </w:tc>
        <w:tc>
          <w:tcPr>
            <w:tcW w:w="3081" w:type="dxa"/>
          </w:tcPr>
          <w:p w14:paraId="6CB9541E" w14:textId="77777777" w:rsidR="002B64EF" w:rsidRDefault="002B64EF" w:rsidP="002B64EF">
            <w:pPr>
              <w:pStyle w:val="Figurecaption"/>
              <w:rPr>
                <w:sz w:val="24"/>
                <w:szCs w:val="24"/>
              </w:rPr>
            </w:pPr>
            <w:r w:rsidRPr="00316A1F">
              <w:t>165</w:t>
            </w:r>
          </w:p>
        </w:tc>
      </w:tr>
      <w:tr w:rsidR="002B64EF" w14:paraId="4EC75359" w14:textId="77777777" w:rsidTr="002B64EF">
        <w:tc>
          <w:tcPr>
            <w:tcW w:w="3080" w:type="dxa"/>
          </w:tcPr>
          <w:p w14:paraId="63FB2324" w14:textId="77777777" w:rsidR="002B64EF" w:rsidRDefault="002B64EF" w:rsidP="002B64EF">
            <w:pPr>
              <w:pStyle w:val="Figurecaption"/>
              <w:rPr>
                <w:sz w:val="24"/>
                <w:szCs w:val="24"/>
              </w:rPr>
            </w:pPr>
            <w:r w:rsidRPr="00316A1F">
              <w:t>Atomoxetine (Strattera)</w:t>
            </w:r>
          </w:p>
        </w:tc>
        <w:tc>
          <w:tcPr>
            <w:tcW w:w="3081" w:type="dxa"/>
          </w:tcPr>
          <w:p w14:paraId="34800BDF" w14:textId="77777777" w:rsidR="002B64EF" w:rsidRDefault="002B64EF" w:rsidP="002B64EF">
            <w:pPr>
              <w:pStyle w:val="Figurecaption"/>
              <w:rPr>
                <w:sz w:val="24"/>
                <w:szCs w:val="24"/>
              </w:rPr>
            </w:pPr>
            <w:r w:rsidRPr="00316A1F">
              <w:t>&gt; 5</w:t>
            </w:r>
          </w:p>
        </w:tc>
        <w:tc>
          <w:tcPr>
            <w:tcW w:w="3081" w:type="dxa"/>
          </w:tcPr>
          <w:p w14:paraId="2F544427" w14:textId="77777777" w:rsidR="002B64EF" w:rsidRDefault="002B64EF" w:rsidP="002B64EF">
            <w:pPr>
              <w:pStyle w:val="Figurecaption"/>
              <w:rPr>
                <w:sz w:val="24"/>
                <w:szCs w:val="24"/>
              </w:rPr>
            </w:pPr>
            <w:r w:rsidRPr="00316A1F">
              <w:t>105</w:t>
            </w:r>
          </w:p>
        </w:tc>
      </w:tr>
      <w:tr w:rsidR="002B64EF" w14:paraId="29F7E974" w14:textId="77777777" w:rsidTr="002B64EF">
        <w:tc>
          <w:tcPr>
            <w:tcW w:w="3080" w:type="dxa"/>
          </w:tcPr>
          <w:p w14:paraId="4FD56C9A" w14:textId="77777777" w:rsidR="002B64EF" w:rsidRDefault="002B64EF" w:rsidP="002B64EF">
            <w:pPr>
              <w:pStyle w:val="Figurecaption"/>
              <w:rPr>
                <w:sz w:val="24"/>
                <w:szCs w:val="24"/>
              </w:rPr>
            </w:pPr>
            <w:r w:rsidRPr="00316A1F">
              <w:t>Dexamphetamine</w:t>
            </w:r>
          </w:p>
        </w:tc>
        <w:tc>
          <w:tcPr>
            <w:tcW w:w="3081" w:type="dxa"/>
          </w:tcPr>
          <w:p w14:paraId="49B41FAB" w14:textId="77777777" w:rsidR="002B64EF" w:rsidRDefault="002B64EF" w:rsidP="002B64EF">
            <w:pPr>
              <w:pStyle w:val="Figurecaption"/>
              <w:rPr>
                <w:sz w:val="24"/>
                <w:szCs w:val="24"/>
              </w:rPr>
            </w:pPr>
            <w:r w:rsidRPr="00316A1F">
              <w:t>0</w:t>
            </w:r>
          </w:p>
        </w:tc>
        <w:tc>
          <w:tcPr>
            <w:tcW w:w="3081" w:type="dxa"/>
          </w:tcPr>
          <w:p w14:paraId="1E2FC727" w14:textId="77777777" w:rsidR="002B64EF" w:rsidRDefault="002B64EF" w:rsidP="002B64EF">
            <w:pPr>
              <w:pStyle w:val="Figurecaption"/>
              <w:rPr>
                <w:sz w:val="24"/>
                <w:szCs w:val="24"/>
              </w:rPr>
            </w:pPr>
            <w:r w:rsidRPr="00316A1F">
              <w:t>39</w:t>
            </w:r>
          </w:p>
        </w:tc>
      </w:tr>
      <w:tr w:rsidR="002B64EF" w14:paraId="39DA1806" w14:textId="77777777" w:rsidTr="002B64EF">
        <w:tc>
          <w:tcPr>
            <w:tcW w:w="3080" w:type="dxa"/>
          </w:tcPr>
          <w:p w14:paraId="26C3C928" w14:textId="77777777" w:rsidR="002B64EF" w:rsidRDefault="002B64EF" w:rsidP="002B64EF">
            <w:pPr>
              <w:pStyle w:val="Figurecaption"/>
              <w:rPr>
                <w:sz w:val="24"/>
                <w:szCs w:val="24"/>
              </w:rPr>
            </w:pPr>
            <w:r w:rsidRPr="00316A1F">
              <w:t>Dexamphetamine</w:t>
            </w:r>
          </w:p>
        </w:tc>
        <w:tc>
          <w:tcPr>
            <w:tcW w:w="3081" w:type="dxa"/>
          </w:tcPr>
          <w:p w14:paraId="4008B7FB" w14:textId="77777777" w:rsidR="002B64EF" w:rsidRDefault="002B64EF" w:rsidP="002B64EF">
            <w:pPr>
              <w:pStyle w:val="Figurecaption"/>
              <w:rPr>
                <w:sz w:val="24"/>
                <w:szCs w:val="24"/>
              </w:rPr>
            </w:pPr>
            <w:r w:rsidRPr="00316A1F">
              <w:t>1</w:t>
            </w:r>
          </w:p>
        </w:tc>
        <w:tc>
          <w:tcPr>
            <w:tcW w:w="3081" w:type="dxa"/>
          </w:tcPr>
          <w:p w14:paraId="2986F7B8" w14:textId="77777777" w:rsidR="002B64EF" w:rsidRDefault="002B64EF" w:rsidP="002B64EF">
            <w:pPr>
              <w:pStyle w:val="Figurecaption"/>
              <w:rPr>
                <w:sz w:val="24"/>
                <w:szCs w:val="24"/>
              </w:rPr>
            </w:pPr>
            <w:r w:rsidRPr="00316A1F">
              <w:t>86</w:t>
            </w:r>
          </w:p>
        </w:tc>
      </w:tr>
      <w:tr w:rsidR="002B64EF" w14:paraId="6D764972" w14:textId="77777777" w:rsidTr="002B64EF">
        <w:tc>
          <w:tcPr>
            <w:tcW w:w="3080" w:type="dxa"/>
          </w:tcPr>
          <w:p w14:paraId="7ED87146" w14:textId="77777777" w:rsidR="002B64EF" w:rsidRDefault="002B64EF" w:rsidP="002B64EF">
            <w:pPr>
              <w:pStyle w:val="Figurecaption"/>
              <w:rPr>
                <w:sz w:val="24"/>
                <w:szCs w:val="24"/>
              </w:rPr>
            </w:pPr>
            <w:r w:rsidRPr="00316A1F">
              <w:t>Dexamphetamine</w:t>
            </w:r>
          </w:p>
        </w:tc>
        <w:tc>
          <w:tcPr>
            <w:tcW w:w="3081" w:type="dxa"/>
          </w:tcPr>
          <w:p w14:paraId="507E7520" w14:textId="77777777" w:rsidR="002B64EF" w:rsidRDefault="002B64EF" w:rsidP="002B64EF">
            <w:pPr>
              <w:pStyle w:val="Figurecaption"/>
              <w:rPr>
                <w:sz w:val="24"/>
                <w:szCs w:val="24"/>
              </w:rPr>
            </w:pPr>
            <w:r w:rsidRPr="00316A1F">
              <w:t>2</w:t>
            </w:r>
          </w:p>
        </w:tc>
        <w:tc>
          <w:tcPr>
            <w:tcW w:w="3081" w:type="dxa"/>
          </w:tcPr>
          <w:p w14:paraId="1E603FA4" w14:textId="77777777" w:rsidR="002B64EF" w:rsidRDefault="002B64EF" w:rsidP="002B64EF">
            <w:pPr>
              <w:pStyle w:val="Figurecaption"/>
              <w:rPr>
                <w:sz w:val="24"/>
                <w:szCs w:val="24"/>
              </w:rPr>
            </w:pPr>
            <w:r w:rsidRPr="00316A1F">
              <w:t>116</w:t>
            </w:r>
          </w:p>
        </w:tc>
      </w:tr>
      <w:tr w:rsidR="002B64EF" w14:paraId="69020F7F" w14:textId="77777777" w:rsidTr="002B64EF">
        <w:tc>
          <w:tcPr>
            <w:tcW w:w="3080" w:type="dxa"/>
          </w:tcPr>
          <w:p w14:paraId="6DEC9691" w14:textId="77777777" w:rsidR="002B64EF" w:rsidRDefault="002B64EF" w:rsidP="002B64EF">
            <w:pPr>
              <w:pStyle w:val="Figurecaption"/>
              <w:rPr>
                <w:sz w:val="24"/>
                <w:szCs w:val="24"/>
              </w:rPr>
            </w:pPr>
            <w:r w:rsidRPr="00316A1F">
              <w:t>Dexamphetamine</w:t>
            </w:r>
          </w:p>
        </w:tc>
        <w:tc>
          <w:tcPr>
            <w:tcW w:w="3081" w:type="dxa"/>
          </w:tcPr>
          <w:p w14:paraId="28593821" w14:textId="77777777" w:rsidR="002B64EF" w:rsidRDefault="002B64EF" w:rsidP="002B64EF">
            <w:pPr>
              <w:pStyle w:val="Figurecaption"/>
              <w:rPr>
                <w:sz w:val="24"/>
                <w:szCs w:val="24"/>
              </w:rPr>
            </w:pPr>
            <w:r w:rsidRPr="00316A1F">
              <w:t>3</w:t>
            </w:r>
          </w:p>
        </w:tc>
        <w:tc>
          <w:tcPr>
            <w:tcW w:w="3081" w:type="dxa"/>
          </w:tcPr>
          <w:p w14:paraId="01CB22C8" w14:textId="77777777" w:rsidR="002B64EF" w:rsidRDefault="002B64EF" w:rsidP="002B64EF">
            <w:pPr>
              <w:pStyle w:val="Figurecaption"/>
              <w:rPr>
                <w:sz w:val="24"/>
                <w:szCs w:val="24"/>
              </w:rPr>
            </w:pPr>
            <w:r w:rsidRPr="00316A1F">
              <w:t>182</w:t>
            </w:r>
          </w:p>
        </w:tc>
      </w:tr>
      <w:tr w:rsidR="002B64EF" w14:paraId="2BAD2404" w14:textId="77777777" w:rsidTr="002B64EF">
        <w:tc>
          <w:tcPr>
            <w:tcW w:w="3080" w:type="dxa"/>
          </w:tcPr>
          <w:p w14:paraId="0F1967DD" w14:textId="77777777" w:rsidR="002B64EF" w:rsidRDefault="002B64EF" w:rsidP="002B64EF">
            <w:pPr>
              <w:pStyle w:val="Figurecaption"/>
              <w:rPr>
                <w:sz w:val="24"/>
                <w:szCs w:val="24"/>
              </w:rPr>
            </w:pPr>
            <w:r w:rsidRPr="00316A1F">
              <w:t>Dexamphetamine</w:t>
            </w:r>
          </w:p>
        </w:tc>
        <w:tc>
          <w:tcPr>
            <w:tcW w:w="3081" w:type="dxa"/>
          </w:tcPr>
          <w:p w14:paraId="5CB242E7" w14:textId="77777777" w:rsidR="002B64EF" w:rsidRDefault="002B64EF" w:rsidP="002B64EF">
            <w:pPr>
              <w:pStyle w:val="Figurecaption"/>
              <w:rPr>
                <w:sz w:val="24"/>
                <w:szCs w:val="24"/>
              </w:rPr>
            </w:pPr>
            <w:r w:rsidRPr="00316A1F">
              <w:t>4</w:t>
            </w:r>
          </w:p>
        </w:tc>
        <w:tc>
          <w:tcPr>
            <w:tcW w:w="3081" w:type="dxa"/>
          </w:tcPr>
          <w:p w14:paraId="3DBD8BE8" w14:textId="77777777" w:rsidR="002B64EF" w:rsidRDefault="002B64EF" w:rsidP="002B64EF">
            <w:pPr>
              <w:pStyle w:val="Figurecaption"/>
              <w:rPr>
                <w:sz w:val="24"/>
                <w:szCs w:val="24"/>
              </w:rPr>
            </w:pPr>
            <w:r w:rsidRPr="00316A1F">
              <w:t>182</w:t>
            </w:r>
          </w:p>
        </w:tc>
      </w:tr>
      <w:tr w:rsidR="002B64EF" w14:paraId="6C8DF3F4" w14:textId="77777777" w:rsidTr="002B64EF">
        <w:tc>
          <w:tcPr>
            <w:tcW w:w="3080" w:type="dxa"/>
          </w:tcPr>
          <w:p w14:paraId="2C4B7409" w14:textId="77777777" w:rsidR="002B64EF" w:rsidRDefault="002B64EF" w:rsidP="002B64EF">
            <w:pPr>
              <w:pStyle w:val="Figurecaption"/>
              <w:rPr>
                <w:sz w:val="24"/>
                <w:szCs w:val="24"/>
              </w:rPr>
            </w:pPr>
            <w:r w:rsidRPr="00316A1F">
              <w:t>Dexamphetamine</w:t>
            </w:r>
          </w:p>
        </w:tc>
        <w:tc>
          <w:tcPr>
            <w:tcW w:w="3081" w:type="dxa"/>
          </w:tcPr>
          <w:p w14:paraId="65AF5B27" w14:textId="77777777" w:rsidR="002B64EF" w:rsidRDefault="002B64EF" w:rsidP="002B64EF">
            <w:pPr>
              <w:pStyle w:val="Figurecaption"/>
              <w:rPr>
                <w:sz w:val="24"/>
                <w:szCs w:val="24"/>
              </w:rPr>
            </w:pPr>
            <w:r w:rsidRPr="00316A1F">
              <w:t>5</w:t>
            </w:r>
          </w:p>
        </w:tc>
        <w:tc>
          <w:tcPr>
            <w:tcW w:w="3081" w:type="dxa"/>
          </w:tcPr>
          <w:p w14:paraId="1348D7DD" w14:textId="77777777" w:rsidR="002B64EF" w:rsidRDefault="002B64EF" w:rsidP="002B64EF">
            <w:pPr>
              <w:pStyle w:val="Figurecaption"/>
              <w:rPr>
                <w:sz w:val="24"/>
                <w:szCs w:val="24"/>
              </w:rPr>
            </w:pPr>
            <w:r w:rsidRPr="00316A1F">
              <w:t>183</w:t>
            </w:r>
          </w:p>
        </w:tc>
      </w:tr>
      <w:tr w:rsidR="002B64EF" w14:paraId="18A5D253" w14:textId="77777777" w:rsidTr="002B64EF">
        <w:tc>
          <w:tcPr>
            <w:tcW w:w="3080" w:type="dxa"/>
          </w:tcPr>
          <w:p w14:paraId="1CD4BA19" w14:textId="77777777" w:rsidR="002B64EF" w:rsidRDefault="002B64EF" w:rsidP="002B64EF">
            <w:pPr>
              <w:pStyle w:val="Figurecaption"/>
              <w:rPr>
                <w:sz w:val="24"/>
                <w:szCs w:val="24"/>
              </w:rPr>
            </w:pPr>
            <w:r w:rsidRPr="00316A1F">
              <w:t>Dexamphetamine</w:t>
            </w:r>
          </w:p>
        </w:tc>
        <w:tc>
          <w:tcPr>
            <w:tcW w:w="3081" w:type="dxa"/>
          </w:tcPr>
          <w:p w14:paraId="27F41E7C" w14:textId="77777777" w:rsidR="002B64EF" w:rsidRDefault="002B64EF" w:rsidP="002B64EF">
            <w:pPr>
              <w:pStyle w:val="Figurecaption"/>
              <w:rPr>
                <w:sz w:val="24"/>
                <w:szCs w:val="24"/>
              </w:rPr>
            </w:pPr>
            <w:r w:rsidRPr="00316A1F">
              <w:t>&gt; 5</w:t>
            </w:r>
          </w:p>
        </w:tc>
        <w:tc>
          <w:tcPr>
            <w:tcW w:w="3081" w:type="dxa"/>
          </w:tcPr>
          <w:p w14:paraId="5B4246DF" w14:textId="77777777" w:rsidR="002B64EF" w:rsidRDefault="002B64EF" w:rsidP="002B64EF">
            <w:pPr>
              <w:pStyle w:val="Figurecaption"/>
              <w:rPr>
                <w:sz w:val="24"/>
                <w:szCs w:val="24"/>
              </w:rPr>
            </w:pPr>
            <w:r w:rsidRPr="00316A1F">
              <w:t>182</w:t>
            </w:r>
          </w:p>
        </w:tc>
      </w:tr>
      <w:tr w:rsidR="002B64EF" w14:paraId="02B25FA8" w14:textId="77777777" w:rsidTr="002B64EF">
        <w:tc>
          <w:tcPr>
            <w:tcW w:w="3080" w:type="dxa"/>
          </w:tcPr>
          <w:p w14:paraId="2C82708D" w14:textId="77777777" w:rsidR="002B64EF" w:rsidRDefault="002B64EF" w:rsidP="002B64EF">
            <w:pPr>
              <w:pStyle w:val="Figurecaption"/>
              <w:rPr>
                <w:sz w:val="24"/>
                <w:szCs w:val="24"/>
              </w:rPr>
            </w:pPr>
            <w:r w:rsidRPr="00316A1F">
              <w:t>MPH-CR (Concerta)</w:t>
            </w:r>
          </w:p>
        </w:tc>
        <w:tc>
          <w:tcPr>
            <w:tcW w:w="3081" w:type="dxa"/>
          </w:tcPr>
          <w:p w14:paraId="2324A61E" w14:textId="77777777" w:rsidR="002B64EF" w:rsidRDefault="002B64EF" w:rsidP="002B64EF">
            <w:pPr>
              <w:pStyle w:val="Figurecaption"/>
              <w:rPr>
                <w:sz w:val="24"/>
                <w:szCs w:val="24"/>
              </w:rPr>
            </w:pPr>
            <w:r w:rsidRPr="00316A1F">
              <w:t>0</w:t>
            </w:r>
          </w:p>
        </w:tc>
        <w:tc>
          <w:tcPr>
            <w:tcW w:w="3081" w:type="dxa"/>
          </w:tcPr>
          <w:p w14:paraId="50059F05" w14:textId="77777777" w:rsidR="002B64EF" w:rsidRDefault="002B64EF" w:rsidP="002B64EF">
            <w:pPr>
              <w:pStyle w:val="Figurecaption"/>
              <w:rPr>
                <w:sz w:val="24"/>
                <w:szCs w:val="24"/>
              </w:rPr>
            </w:pPr>
            <w:r w:rsidRPr="00316A1F">
              <w:t>30</w:t>
            </w:r>
          </w:p>
        </w:tc>
      </w:tr>
      <w:tr w:rsidR="002B64EF" w14:paraId="4CCDAAE9" w14:textId="77777777" w:rsidTr="002B64EF">
        <w:tc>
          <w:tcPr>
            <w:tcW w:w="3080" w:type="dxa"/>
          </w:tcPr>
          <w:p w14:paraId="100C6589" w14:textId="77777777" w:rsidR="002B64EF" w:rsidRDefault="002B64EF" w:rsidP="002B64EF">
            <w:pPr>
              <w:pStyle w:val="Figurecaption"/>
              <w:rPr>
                <w:sz w:val="24"/>
                <w:szCs w:val="24"/>
              </w:rPr>
            </w:pPr>
            <w:r w:rsidRPr="00316A1F">
              <w:t>MPH-CR (Concerta)</w:t>
            </w:r>
          </w:p>
        </w:tc>
        <w:tc>
          <w:tcPr>
            <w:tcW w:w="3081" w:type="dxa"/>
          </w:tcPr>
          <w:p w14:paraId="469FE069" w14:textId="77777777" w:rsidR="002B64EF" w:rsidRDefault="002B64EF" w:rsidP="002B64EF">
            <w:pPr>
              <w:pStyle w:val="Figurecaption"/>
              <w:rPr>
                <w:sz w:val="24"/>
                <w:szCs w:val="24"/>
              </w:rPr>
            </w:pPr>
            <w:r w:rsidRPr="00316A1F">
              <w:t>1</w:t>
            </w:r>
          </w:p>
        </w:tc>
        <w:tc>
          <w:tcPr>
            <w:tcW w:w="3081" w:type="dxa"/>
          </w:tcPr>
          <w:p w14:paraId="7E70E9FE" w14:textId="77777777" w:rsidR="002B64EF" w:rsidRDefault="002B64EF" w:rsidP="002B64EF">
            <w:pPr>
              <w:pStyle w:val="Figurecaption"/>
              <w:rPr>
                <w:sz w:val="24"/>
                <w:szCs w:val="24"/>
              </w:rPr>
            </w:pPr>
            <w:r w:rsidRPr="00316A1F">
              <w:t>58</w:t>
            </w:r>
          </w:p>
        </w:tc>
      </w:tr>
      <w:tr w:rsidR="002B64EF" w14:paraId="4DF2EE45" w14:textId="77777777" w:rsidTr="002B64EF">
        <w:tc>
          <w:tcPr>
            <w:tcW w:w="3080" w:type="dxa"/>
          </w:tcPr>
          <w:p w14:paraId="09228D3B" w14:textId="77777777" w:rsidR="002B64EF" w:rsidRDefault="002B64EF" w:rsidP="002B64EF">
            <w:pPr>
              <w:pStyle w:val="Figurecaption"/>
              <w:rPr>
                <w:sz w:val="24"/>
                <w:szCs w:val="24"/>
              </w:rPr>
            </w:pPr>
            <w:r w:rsidRPr="00316A1F">
              <w:t>MPH-CR (Concerta)</w:t>
            </w:r>
          </w:p>
        </w:tc>
        <w:tc>
          <w:tcPr>
            <w:tcW w:w="3081" w:type="dxa"/>
          </w:tcPr>
          <w:p w14:paraId="0D90C915" w14:textId="77777777" w:rsidR="002B64EF" w:rsidRDefault="002B64EF" w:rsidP="002B64EF">
            <w:pPr>
              <w:pStyle w:val="Figurecaption"/>
              <w:rPr>
                <w:sz w:val="24"/>
                <w:szCs w:val="24"/>
              </w:rPr>
            </w:pPr>
            <w:r w:rsidRPr="00316A1F">
              <w:t>2</w:t>
            </w:r>
          </w:p>
        </w:tc>
        <w:tc>
          <w:tcPr>
            <w:tcW w:w="3081" w:type="dxa"/>
          </w:tcPr>
          <w:p w14:paraId="067EEA66" w14:textId="77777777" w:rsidR="002B64EF" w:rsidRDefault="002B64EF" w:rsidP="002B64EF">
            <w:pPr>
              <w:pStyle w:val="Figurecaption"/>
              <w:rPr>
                <w:sz w:val="24"/>
                <w:szCs w:val="24"/>
              </w:rPr>
            </w:pPr>
            <w:r w:rsidRPr="00316A1F">
              <w:t>91</w:t>
            </w:r>
          </w:p>
        </w:tc>
      </w:tr>
      <w:tr w:rsidR="002B64EF" w14:paraId="3EC844A8" w14:textId="77777777" w:rsidTr="002B64EF">
        <w:tc>
          <w:tcPr>
            <w:tcW w:w="3080" w:type="dxa"/>
          </w:tcPr>
          <w:p w14:paraId="7BABB523" w14:textId="77777777" w:rsidR="002B64EF" w:rsidRDefault="002B64EF" w:rsidP="002B64EF">
            <w:pPr>
              <w:pStyle w:val="Figurecaption"/>
              <w:rPr>
                <w:sz w:val="24"/>
                <w:szCs w:val="24"/>
              </w:rPr>
            </w:pPr>
            <w:r w:rsidRPr="00316A1F">
              <w:t>MPH-CR (Concerta)</w:t>
            </w:r>
          </w:p>
        </w:tc>
        <w:tc>
          <w:tcPr>
            <w:tcW w:w="3081" w:type="dxa"/>
          </w:tcPr>
          <w:p w14:paraId="05510B63" w14:textId="77777777" w:rsidR="002B64EF" w:rsidRDefault="002B64EF" w:rsidP="002B64EF">
            <w:pPr>
              <w:pStyle w:val="Figurecaption"/>
              <w:rPr>
                <w:sz w:val="24"/>
                <w:szCs w:val="24"/>
              </w:rPr>
            </w:pPr>
            <w:r w:rsidRPr="00316A1F">
              <w:t>3</w:t>
            </w:r>
          </w:p>
        </w:tc>
        <w:tc>
          <w:tcPr>
            <w:tcW w:w="3081" w:type="dxa"/>
          </w:tcPr>
          <w:p w14:paraId="112E7842" w14:textId="77777777" w:rsidR="002B64EF" w:rsidRDefault="002B64EF" w:rsidP="002B64EF">
            <w:pPr>
              <w:pStyle w:val="Figurecaption"/>
              <w:rPr>
                <w:sz w:val="24"/>
                <w:szCs w:val="24"/>
              </w:rPr>
            </w:pPr>
            <w:r w:rsidRPr="00316A1F">
              <w:t>120</w:t>
            </w:r>
          </w:p>
        </w:tc>
      </w:tr>
      <w:tr w:rsidR="002B64EF" w14:paraId="4928CDE7" w14:textId="77777777" w:rsidTr="002B64EF">
        <w:tc>
          <w:tcPr>
            <w:tcW w:w="3080" w:type="dxa"/>
          </w:tcPr>
          <w:p w14:paraId="23FEC237" w14:textId="77777777" w:rsidR="002B64EF" w:rsidRDefault="002B64EF" w:rsidP="002B64EF">
            <w:pPr>
              <w:pStyle w:val="Figurecaption"/>
              <w:rPr>
                <w:sz w:val="24"/>
                <w:szCs w:val="24"/>
              </w:rPr>
            </w:pPr>
            <w:r w:rsidRPr="00316A1F">
              <w:t>MPH-CR (Concerta)</w:t>
            </w:r>
          </w:p>
        </w:tc>
        <w:tc>
          <w:tcPr>
            <w:tcW w:w="3081" w:type="dxa"/>
          </w:tcPr>
          <w:p w14:paraId="7F6D8202" w14:textId="77777777" w:rsidR="002B64EF" w:rsidRDefault="002B64EF" w:rsidP="002B64EF">
            <w:pPr>
              <w:pStyle w:val="Figurecaption"/>
              <w:rPr>
                <w:sz w:val="24"/>
                <w:szCs w:val="24"/>
              </w:rPr>
            </w:pPr>
            <w:r w:rsidRPr="00316A1F">
              <w:t>4</w:t>
            </w:r>
          </w:p>
        </w:tc>
        <w:tc>
          <w:tcPr>
            <w:tcW w:w="3081" w:type="dxa"/>
          </w:tcPr>
          <w:p w14:paraId="27217240" w14:textId="77777777" w:rsidR="002B64EF" w:rsidRDefault="002B64EF" w:rsidP="002B64EF">
            <w:pPr>
              <w:pStyle w:val="Figurecaption"/>
              <w:rPr>
                <w:sz w:val="24"/>
                <w:szCs w:val="24"/>
              </w:rPr>
            </w:pPr>
            <w:r w:rsidRPr="00316A1F">
              <w:t>156</w:t>
            </w:r>
          </w:p>
        </w:tc>
      </w:tr>
      <w:tr w:rsidR="002B64EF" w14:paraId="52A15C88" w14:textId="77777777" w:rsidTr="002B64EF">
        <w:tc>
          <w:tcPr>
            <w:tcW w:w="3080" w:type="dxa"/>
          </w:tcPr>
          <w:p w14:paraId="3D6FE9CA" w14:textId="77777777" w:rsidR="002B64EF" w:rsidRDefault="002B64EF" w:rsidP="002B64EF">
            <w:pPr>
              <w:pStyle w:val="Figurecaption"/>
              <w:rPr>
                <w:sz w:val="24"/>
                <w:szCs w:val="24"/>
              </w:rPr>
            </w:pPr>
            <w:r w:rsidRPr="00316A1F">
              <w:t>MPH-CR (Concerta)</w:t>
            </w:r>
          </w:p>
        </w:tc>
        <w:tc>
          <w:tcPr>
            <w:tcW w:w="3081" w:type="dxa"/>
          </w:tcPr>
          <w:p w14:paraId="0968C02E" w14:textId="77777777" w:rsidR="002B64EF" w:rsidRDefault="002B64EF" w:rsidP="002B64EF">
            <w:pPr>
              <w:pStyle w:val="Figurecaption"/>
              <w:rPr>
                <w:sz w:val="24"/>
                <w:szCs w:val="24"/>
              </w:rPr>
            </w:pPr>
            <w:r w:rsidRPr="00316A1F">
              <w:t>5</w:t>
            </w:r>
          </w:p>
        </w:tc>
        <w:tc>
          <w:tcPr>
            <w:tcW w:w="3081" w:type="dxa"/>
          </w:tcPr>
          <w:p w14:paraId="12A1575E" w14:textId="77777777" w:rsidR="002B64EF" w:rsidRDefault="002B64EF" w:rsidP="002B64EF">
            <w:pPr>
              <w:pStyle w:val="Figurecaption"/>
              <w:rPr>
                <w:sz w:val="24"/>
                <w:szCs w:val="24"/>
              </w:rPr>
            </w:pPr>
            <w:r w:rsidRPr="00316A1F">
              <w:t>180</w:t>
            </w:r>
          </w:p>
        </w:tc>
      </w:tr>
      <w:tr w:rsidR="002B64EF" w14:paraId="1DB8F979" w14:textId="77777777" w:rsidTr="002B64EF">
        <w:tc>
          <w:tcPr>
            <w:tcW w:w="3080" w:type="dxa"/>
          </w:tcPr>
          <w:p w14:paraId="1367ADC4" w14:textId="77777777" w:rsidR="002B64EF" w:rsidRDefault="002B64EF" w:rsidP="002B64EF">
            <w:pPr>
              <w:pStyle w:val="Figurecaption"/>
              <w:rPr>
                <w:sz w:val="24"/>
                <w:szCs w:val="24"/>
              </w:rPr>
            </w:pPr>
            <w:r w:rsidRPr="00316A1F">
              <w:t>MPH-CR (Concerta)</w:t>
            </w:r>
          </w:p>
        </w:tc>
        <w:tc>
          <w:tcPr>
            <w:tcW w:w="3081" w:type="dxa"/>
          </w:tcPr>
          <w:p w14:paraId="0B820250" w14:textId="77777777" w:rsidR="002B64EF" w:rsidRDefault="002B64EF" w:rsidP="002B64EF">
            <w:pPr>
              <w:pStyle w:val="Figurecaption"/>
              <w:rPr>
                <w:sz w:val="24"/>
                <w:szCs w:val="24"/>
              </w:rPr>
            </w:pPr>
            <w:r w:rsidRPr="00316A1F">
              <w:t>&gt; 5</w:t>
            </w:r>
          </w:p>
        </w:tc>
        <w:tc>
          <w:tcPr>
            <w:tcW w:w="3081" w:type="dxa"/>
          </w:tcPr>
          <w:p w14:paraId="159F5CD4" w14:textId="77777777" w:rsidR="002B64EF" w:rsidRDefault="002B64EF" w:rsidP="002B64EF">
            <w:pPr>
              <w:pStyle w:val="Figurecaption"/>
              <w:rPr>
                <w:sz w:val="24"/>
                <w:szCs w:val="24"/>
              </w:rPr>
            </w:pPr>
            <w:r w:rsidRPr="00316A1F">
              <w:t>212</w:t>
            </w:r>
          </w:p>
        </w:tc>
      </w:tr>
      <w:tr w:rsidR="002B64EF" w14:paraId="26E11AE3" w14:textId="77777777" w:rsidTr="002B64EF">
        <w:tc>
          <w:tcPr>
            <w:tcW w:w="3080" w:type="dxa"/>
          </w:tcPr>
          <w:p w14:paraId="5C47633C" w14:textId="77777777" w:rsidR="002B64EF" w:rsidRDefault="002B64EF" w:rsidP="002B64EF">
            <w:pPr>
              <w:pStyle w:val="Figurecaption"/>
              <w:rPr>
                <w:sz w:val="24"/>
                <w:szCs w:val="24"/>
              </w:rPr>
            </w:pPr>
            <w:r w:rsidRPr="00316A1F">
              <w:t>MPH-CR (Ritalin LA)</w:t>
            </w:r>
          </w:p>
        </w:tc>
        <w:tc>
          <w:tcPr>
            <w:tcW w:w="3081" w:type="dxa"/>
          </w:tcPr>
          <w:p w14:paraId="39B6CB31" w14:textId="77777777" w:rsidR="002B64EF" w:rsidRDefault="002B64EF" w:rsidP="002B64EF">
            <w:pPr>
              <w:pStyle w:val="Figurecaption"/>
              <w:rPr>
                <w:sz w:val="24"/>
                <w:szCs w:val="24"/>
              </w:rPr>
            </w:pPr>
            <w:r w:rsidRPr="00316A1F">
              <w:t>0</w:t>
            </w:r>
          </w:p>
        </w:tc>
        <w:tc>
          <w:tcPr>
            <w:tcW w:w="3081" w:type="dxa"/>
          </w:tcPr>
          <w:p w14:paraId="349DDAD6" w14:textId="77777777" w:rsidR="002B64EF" w:rsidRDefault="002B64EF" w:rsidP="002B64EF">
            <w:pPr>
              <w:pStyle w:val="Figurecaption"/>
              <w:rPr>
                <w:sz w:val="24"/>
                <w:szCs w:val="24"/>
              </w:rPr>
            </w:pPr>
            <w:r w:rsidRPr="00316A1F">
              <w:t>31</w:t>
            </w:r>
          </w:p>
        </w:tc>
      </w:tr>
      <w:tr w:rsidR="002B64EF" w14:paraId="77861F0E" w14:textId="77777777" w:rsidTr="002B64EF">
        <w:tc>
          <w:tcPr>
            <w:tcW w:w="3080" w:type="dxa"/>
          </w:tcPr>
          <w:p w14:paraId="24D13375" w14:textId="77777777" w:rsidR="002B64EF" w:rsidRDefault="002B64EF" w:rsidP="002B64EF">
            <w:pPr>
              <w:pStyle w:val="Figurecaption"/>
              <w:rPr>
                <w:sz w:val="24"/>
                <w:szCs w:val="24"/>
              </w:rPr>
            </w:pPr>
            <w:r w:rsidRPr="00316A1F">
              <w:t>MPH-CR (Ritalin LA)</w:t>
            </w:r>
          </w:p>
        </w:tc>
        <w:tc>
          <w:tcPr>
            <w:tcW w:w="3081" w:type="dxa"/>
          </w:tcPr>
          <w:p w14:paraId="08AFE3CD" w14:textId="77777777" w:rsidR="002B64EF" w:rsidRDefault="002B64EF" w:rsidP="002B64EF">
            <w:pPr>
              <w:pStyle w:val="Figurecaption"/>
              <w:rPr>
                <w:sz w:val="24"/>
                <w:szCs w:val="24"/>
              </w:rPr>
            </w:pPr>
            <w:r w:rsidRPr="00316A1F">
              <w:t>1</w:t>
            </w:r>
          </w:p>
        </w:tc>
        <w:tc>
          <w:tcPr>
            <w:tcW w:w="3081" w:type="dxa"/>
          </w:tcPr>
          <w:p w14:paraId="5EC2F036" w14:textId="77777777" w:rsidR="002B64EF" w:rsidRDefault="002B64EF" w:rsidP="002B64EF">
            <w:pPr>
              <w:pStyle w:val="Figurecaption"/>
              <w:rPr>
                <w:sz w:val="24"/>
                <w:szCs w:val="24"/>
              </w:rPr>
            </w:pPr>
            <w:r w:rsidRPr="00316A1F">
              <w:t>59</w:t>
            </w:r>
          </w:p>
        </w:tc>
      </w:tr>
      <w:tr w:rsidR="002B64EF" w14:paraId="3953A648" w14:textId="77777777" w:rsidTr="002B64EF">
        <w:tc>
          <w:tcPr>
            <w:tcW w:w="3080" w:type="dxa"/>
          </w:tcPr>
          <w:p w14:paraId="6F625B50" w14:textId="77777777" w:rsidR="002B64EF" w:rsidRDefault="002B64EF" w:rsidP="002B64EF">
            <w:pPr>
              <w:pStyle w:val="Figurecaption"/>
              <w:rPr>
                <w:sz w:val="24"/>
                <w:szCs w:val="24"/>
              </w:rPr>
            </w:pPr>
            <w:r w:rsidRPr="00316A1F">
              <w:t>MPH-CR (Ritalin LA)</w:t>
            </w:r>
          </w:p>
        </w:tc>
        <w:tc>
          <w:tcPr>
            <w:tcW w:w="3081" w:type="dxa"/>
          </w:tcPr>
          <w:p w14:paraId="2B55F63D" w14:textId="77777777" w:rsidR="002B64EF" w:rsidRDefault="002B64EF" w:rsidP="002B64EF">
            <w:pPr>
              <w:pStyle w:val="Figurecaption"/>
              <w:rPr>
                <w:sz w:val="24"/>
                <w:szCs w:val="24"/>
              </w:rPr>
            </w:pPr>
            <w:r w:rsidRPr="00316A1F">
              <w:t>2</w:t>
            </w:r>
          </w:p>
        </w:tc>
        <w:tc>
          <w:tcPr>
            <w:tcW w:w="3081" w:type="dxa"/>
          </w:tcPr>
          <w:p w14:paraId="1BD44479" w14:textId="77777777" w:rsidR="002B64EF" w:rsidRDefault="002B64EF" w:rsidP="002B64EF">
            <w:pPr>
              <w:pStyle w:val="Figurecaption"/>
              <w:rPr>
                <w:sz w:val="24"/>
                <w:szCs w:val="24"/>
              </w:rPr>
            </w:pPr>
            <w:r w:rsidRPr="00316A1F">
              <w:t>91</w:t>
            </w:r>
          </w:p>
        </w:tc>
      </w:tr>
      <w:tr w:rsidR="002B64EF" w14:paraId="4F171062" w14:textId="77777777" w:rsidTr="002B64EF">
        <w:tc>
          <w:tcPr>
            <w:tcW w:w="3080" w:type="dxa"/>
          </w:tcPr>
          <w:p w14:paraId="591EE734" w14:textId="77777777" w:rsidR="002B64EF" w:rsidRDefault="002B64EF" w:rsidP="002B64EF">
            <w:pPr>
              <w:pStyle w:val="Figurecaption"/>
              <w:rPr>
                <w:sz w:val="24"/>
                <w:szCs w:val="24"/>
              </w:rPr>
            </w:pPr>
            <w:r w:rsidRPr="00316A1F">
              <w:t>MPH-CR (Ritalin LA)</w:t>
            </w:r>
          </w:p>
        </w:tc>
        <w:tc>
          <w:tcPr>
            <w:tcW w:w="3081" w:type="dxa"/>
          </w:tcPr>
          <w:p w14:paraId="1198A7EF" w14:textId="77777777" w:rsidR="002B64EF" w:rsidRDefault="002B64EF" w:rsidP="002B64EF">
            <w:pPr>
              <w:pStyle w:val="Figurecaption"/>
              <w:rPr>
                <w:sz w:val="24"/>
                <w:szCs w:val="24"/>
              </w:rPr>
            </w:pPr>
            <w:r w:rsidRPr="00316A1F">
              <w:t>3</w:t>
            </w:r>
          </w:p>
        </w:tc>
        <w:tc>
          <w:tcPr>
            <w:tcW w:w="3081" w:type="dxa"/>
          </w:tcPr>
          <w:p w14:paraId="286F40D6" w14:textId="77777777" w:rsidR="002B64EF" w:rsidRDefault="002B64EF" w:rsidP="002B64EF">
            <w:pPr>
              <w:pStyle w:val="Figurecaption"/>
              <w:rPr>
                <w:sz w:val="24"/>
                <w:szCs w:val="24"/>
              </w:rPr>
            </w:pPr>
            <w:r w:rsidRPr="00316A1F">
              <w:t>120</w:t>
            </w:r>
          </w:p>
        </w:tc>
      </w:tr>
      <w:tr w:rsidR="002B64EF" w14:paraId="53D67365" w14:textId="77777777" w:rsidTr="002B64EF">
        <w:tc>
          <w:tcPr>
            <w:tcW w:w="3080" w:type="dxa"/>
          </w:tcPr>
          <w:p w14:paraId="42DC53BF" w14:textId="77777777" w:rsidR="002B64EF" w:rsidRDefault="002B64EF" w:rsidP="002B64EF">
            <w:pPr>
              <w:pStyle w:val="Figurecaption"/>
              <w:rPr>
                <w:sz w:val="24"/>
                <w:szCs w:val="24"/>
              </w:rPr>
            </w:pPr>
            <w:r w:rsidRPr="00316A1F">
              <w:t>MPH-CR (Ritalin LA)</w:t>
            </w:r>
          </w:p>
        </w:tc>
        <w:tc>
          <w:tcPr>
            <w:tcW w:w="3081" w:type="dxa"/>
          </w:tcPr>
          <w:p w14:paraId="19859F8E" w14:textId="77777777" w:rsidR="002B64EF" w:rsidRDefault="002B64EF" w:rsidP="002B64EF">
            <w:pPr>
              <w:pStyle w:val="Figurecaption"/>
              <w:rPr>
                <w:sz w:val="24"/>
                <w:szCs w:val="24"/>
              </w:rPr>
            </w:pPr>
            <w:r w:rsidRPr="00316A1F">
              <w:t>4</w:t>
            </w:r>
          </w:p>
        </w:tc>
        <w:tc>
          <w:tcPr>
            <w:tcW w:w="3081" w:type="dxa"/>
          </w:tcPr>
          <w:p w14:paraId="3646C3E8" w14:textId="77777777" w:rsidR="002B64EF" w:rsidRDefault="002B64EF" w:rsidP="002B64EF">
            <w:pPr>
              <w:pStyle w:val="Figurecaption"/>
              <w:rPr>
                <w:sz w:val="24"/>
                <w:szCs w:val="24"/>
              </w:rPr>
            </w:pPr>
            <w:r w:rsidRPr="00316A1F">
              <w:t>157</w:t>
            </w:r>
          </w:p>
        </w:tc>
      </w:tr>
      <w:tr w:rsidR="002B64EF" w14:paraId="5E760C85" w14:textId="77777777" w:rsidTr="002B64EF">
        <w:tc>
          <w:tcPr>
            <w:tcW w:w="3080" w:type="dxa"/>
          </w:tcPr>
          <w:p w14:paraId="6515DAE8" w14:textId="77777777" w:rsidR="002B64EF" w:rsidRPr="00A82C53" w:rsidRDefault="002B64EF" w:rsidP="002B64EF">
            <w:pPr>
              <w:pStyle w:val="Figurecaption"/>
            </w:pPr>
            <w:r w:rsidRPr="00316A1F">
              <w:t>MPH-CR (Ritalin LA)</w:t>
            </w:r>
          </w:p>
        </w:tc>
        <w:tc>
          <w:tcPr>
            <w:tcW w:w="3081" w:type="dxa"/>
          </w:tcPr>
          <w:p w14:paraId="127BE1BB" w14:textId="77777777" w:rsidR="002B64EF" w:rsidRPr="00A82C53" w:rsidRDefault="002B64EF" w:rsidP="002B64EF">
            <w:pPr>
              <w:pStyle w:val="Figurecaption"/>
            </w:pPr>
            <w:r w:rsidRPr="00316A1F">
              <w:t>5</w:t>
            </w:r>
          </w:p>
        </w:tc>
        <w:tc>
          <w:tcPr>
            <w:tcW w:w="3081" w:type="dxa"/>
          </w:tcPr>
          <w:p w14:paraId="358F888B" w14:textId="77777777" w:rsidR="002B64EF" w:rsidRPr="00A82C53" w:rsidRDefault="002B64EF" w:rsidP="002B64EF">
            <w:pPr>
              <w:pStyle w:val="Figurecaption"/>
            </w:pPr>
            <w:r w:rsidRPr="00316A1F">
              <w:t>178</w:t>
            </w:r>
          </w:p>
        </w:tc>
      </w:tr>
      <w:tr w:rsidR="002B64EF" w14:paraId="632AEF92" w14:textId="77777777" w:rsidTr="002B64EF">
        <w:tc>
          <w:tcPr>
            <w:tcW w:w="3080" w:type="dxa"/>
          </w:tcPr>
          <w:p w14:paraId="71CB23DA" w14:textId="77777777" w:rsidR="002B64EF" w:rsidRPr="00A82C53" w:rsidRDefault="002B64EF" w:rsidP="002B64EF">
            <w:pPr>
              <w:pStyle w:val="Figurecaption"/>
            </w:pPr>
            <w:r w:rsidRPr="00316A1F">
              <w:t>MPH-CR (Ritalin LA)</w:t>
            </w:r>
          </w:p>
        </w:tc>
        <w:tc>
          <w:tcPr>
            <w:tcW w:w="3081" w:type="dxa"/>
          </w:tcPr>
          <w:p w14:paraId="192B64B9" w14:textId="77777777" w:rsidR="002B64EF" w:rsidRPr="00A82C53" w:rsidRDefault="002B64EF" w:rsidP="002B64EF">
            <w:pPr>
              <w:pStyle w:val="Figurecaption"/>
            </w:pPr>
            <w:r w:rsidRPr="00316A1F">
              <w:t>&gt; 5</w:t>
            </w:r>
          </w:p>
        </w:tc>
        <w:tc>
          <w:tcPr>
            <w:tcW w:w="3081" w:type="dxa"/>
          </w:tcPr>
          <w:p w14:paraId="30C3D0B8" w14:textId="77777777" w:rsidR="002B64EF" w:rsidRPr="00A82C53" w:rsidRDefault="002B64EF" w:rsidP="002B64EF">
            <w:pPr>
              <w:pStyle w:val="Figurecaption"/>
            </w:pPr>
            <w:r w:rsidRPr="00316A1F">
              <w:t>223</w:t>
            </w:r>
          </w:p>
        </w:tc>
      </w:tr>
      <w:tr w:rsidR="002B64EF" w14:paraId="2F83D476" w14:textId="77777777" w:rsidTr="002B64EF">
        <w:tc>
          <w:tcPr>
            <w:tcW w:w="3080" w:type="dxa"/>
          </w:tcPr>
          <w:p w14:paraId="01358DE2" w14:textId="77777777" w:rsidR="002B64EF" w:rsidRPr="00A82C53" w:rsidRDefault="002B64EF" w:rsidP="002B64EF">
            <w:pPr>
              <w:pStyle w:val="Figurecaption"/>
            </w:pPr>
            <w:r w:rsidRPr="00316A1F">
              <w:t>MPH-IR (Attenta or Ritalin)</w:t>
            </w:r>
          </w:p>
        </w:tc>
        <w:tc>
          <w:tcPr>
            <w:tcW w:w="3081" w:type="dxa"/>
          </w:tcPr>
          <w:p w14:paraId="7E90C268" w14:textId="77777777" w:rsidR="002B64EF" w:rsidRPr="00A82C53" w:rsidRDefault="002B64EF" w:rsidP="002B64EF">
            <w:pPr>
              <w:pStyle w:val="Figurecaption"/>
            </w:pPr>
            <w:r w:rsidRPr="00316A1F">
              <w:t>0</w:t>
            </w:r>
          </w:p>
        </w:tc>
        <w:tc>
          <w:tcPr>
            <w:tcW w:w="3081" w:type="dxa"/>
          </w:tcPr>
          <w:p w14:paraId="127F0F8A" w14:textId="77777777" w:rsidR="002B64EF" w:rsidRPr="00A82C53" w:rsidRDefault="002B64EF" w:rsidP="002B64EF">
            <w:pPr>
              <w:pStyle w:val="Figurecaption"/>
            </w:pPr>
            <w:r w:rsidRPr="00316A1F">
              <w:t>56</w:t>
            </w:r>
          </w:p>
        </w:tc>
      </w:tr>
      <w:tr w:rsidR="002B64EF" w14:paraId="69C0D730" w14:textId="77777777" w:rsidTr="002B64EF">
        <w:tc>
          <w:tcPr>
            <w:tcW w:w="3080" w:type="dxa"/>
          </w:tcPr>
          <w:p w14:paraId="6F7A769A" w14:textId="77777777" w:rsidR="002B64EF" w:rsidRPr="00A82C53" w:rsidRDefault="002B64EF" w:rsidP="002B64EF">
            <w:pPr>
              <w:pStyle w:val="Figurecaption"/>
            </w:pPr>
            <w:r w:rsidRPr="00316A1F">
              <w:t>MPH-IR (Attenta or Ritalin)</w:t>
            </w:r>
          </w:p>
        </w:tc>
        <w:tc>
          <w:tcPr>
            <w:tcW w:w="3081" w:type="dxa"/>
          </w:tcPr>
          <w:p w14:paraId="4824D394" w14:textId="77777777" w:rsidR="002B64EF" w:rsidRPr="00A82C53" w:rsidRDefault="002B64EF" w:rsidP="002B64EF">
            <w:pPr>
              <w:pStyle w:val="Figurecaption"/>
            </w:pPr>
            <w:r w:rsidRPr="00316A1F">
              <w:t>1</w:t>
            </w:r>
          </w:p>
        </w:tc>
        <w:tc>
          <w:tcPr>
            <w:tcW w:w="3081" w:type="dxa"/>
          </w:tcPr>
          <w:p w14:paraId="47D5A251" w14:textId="77777777" w:rsidR="002B64EF" w:rsidRPr="00A82C53" w:rsidRDefault="002B64EF" w:rsidP="002B64EF">
            <w:pPr>
              <w:pStyle w:val="Figurecaption"/>
            </w:pPr>
            <w:r w:rsidRPr="00316A1F">
              <w:t>118</w:t>
            </w:r>
          </w:p>
        </w:tc>
      </w:tr>
      <w:tr w:rsidR="002B64EF" w14:paraId="713F91D7" w14:textId="77777777" w:rsidTr="002B64EF">
        <w:tc>
          <w:tcPr>
            <w:tcW w:w="3080" w:type="dxa"/>
          </w:tcPr>
          <w:p w14:paraId="260C3D82" w14:textId="77777777" w:rsidR="002B64EF" w:rsidRPr="00A82C53" w:rsidRDefault="002B64EF" w:rsidP="002B64EF">
            <w:pPr>
              <w:pStyle w:val="Figurecaption"/>
            </w:pPr>
            <w:r w:rsidRPr="00316A1F">
              <w:t>MPH-IR (Attenta or Ritalin)</w:t>
            </w:r>
          </w:p>
        </w:tc>
        <w:tc>
          <w:tcPr>
            <w:tcW w:w="3081" w:type="dxa"/>
          </w:tcPr>
          <w:p w14:paraId="3EA05B60" w14:textId="77777777" w:rsidR="002B64EF" w:rsidRPr="00A82C53" w:rsidRDefault="002B64EF" w:rsidP="002B64EF">
            <w:pPr>
              <w:pStyle w:val="Figurecaption"/>
            </w:pPr>
            <w:r w:rsidRPr="00316A1F">
              <w:t>2</w:t>
            </w:r>
          </w:p>
        </w:tc>
        <w:tc>
          <w:tcPr>
            <w:tcW w:w="3081" w:type="dxa"/>
          </w:tcPr>
          <w:p w14:paraId="28DE3FBA" w14:textId="77777777" w:rsidR="002B64EF" w:rsidRPr="00A82C53" w:rsidRDefault="002B64EF" w:rsidP="002B64EF">
            <w:pPr>
              <w:pStyle w:val="Figurecaption"/>
            </w:pPr>
            <w:r w:rsidRPr="00316A1F">
              <w:t>141</w:t>
            </w:r>
          </w:p>
        </w:tc>
      </w:tr>
      <w:tr w:rsidR="002B64EF" w14:paraId="0E810A49" w14:textId="77777777" w:rsidTr="002B64EF">
        <w:tc>
          <w:tcPr>
            <w:tcW w:w="3080" w:type="dxa"/>
          </w:tcPr>
          <w:p w14:paraId="2ECAEC0D" w14:textId="77777777" w:rsidR="002B64EF" w:rsidRPr="00A82C53" w:rsidRDefault="002B64EF" w:rsidP="002B64EF">
            <w:pPr>
              <w:pStyle w:val="Figurecaption"/>
            </w:pPr>
            <w:r w:rsidRPr="00316A1F">
              <w:t>MPH-IR (Attenta or Ritalin)</w:t>
            </w:r>
          </w:p>
        </w:tc>
        <w:tc>
          <w:tcPr>
            <w:tcW w:w="3081" w:type="dxa"/>
          </w:tcPr>
          <w:p w14:paraId="39CE8DCF" w14:textId="77777777" w:rsidR="002B64EF" w:rsidRPr="00A82C53" w:rsidRDefault="002B64EF" w:rsidP="002B64EF">
            <w:pPr>
              <w:pStyle w:val="Figurecaption"/>
            </w:pPr>
            <w:r w:rsidRPr="00316A1F">
              <w:t>3</w:t>
            </w:r>
          </w:p>
        </w:tc>
        <w:tc>
          <w:tcPr>
            <w:tcW w:w="3081" w:type="dxa"/>
          </w:tcPr>
          <w:p w14:paraId="442304EE" w14:textId="77777777" w:rsidR="002B64EF" w:rsidRPr="00A82C53" w:rsidRDefault="002B64EF" w:rsidP="002B64EF">
            <w:pPr>
              <w:pStyle w:val="Figurecaption"/>
            </w:pPr>
            <w:r w:rsidRPr="00316A1F">
              <w:t>182</w:t>
            </w:r>
          </w:p>
        </w:tc>
      </w:tr>
      <w:tr w:rsidR="002B64EF" w14:paraId="7A6FE91E" w14:textId="77777777" w:rsidTr="002B64EF">
        <w:tc>
          <w:tcPr>
            <w:tcW w:w="3080" w:type="dxa"/>
          </w:tcPr>
          <w:p w14:paraId="0774549C" w14:textId="77777777" w:rsidR="002B64EF" w:rsidRPr="00A82C53" w:rsidRDefault="002B64EF" w:rsidP="002B64EF">
            <w:pPr>
              <w:pStyle w:val="Figurecaption"/>
            </w:pPr>
            <w:r w:rsidRPr="00316A1F">
              <w:t>MPH-IR (Attenta or Ritalin)</w:t>
            </w:r>
          </w:p>
        </w:tc>
        <w:tc>
          <w:tcPr>
            <w:tcW w:w="3081" w:type="dxa"/>
          </w:tcPr>
          <w:p w14:paraId="14DEA018" w14:textId="77777777" w:rsidR="002B64EF" w:rsidRPr="00A82C53" w:rsidRDefault="002B64EF" w:rsidP="002B64EF">
            <w:pPr>
              <w:pStyle w:val="Figurecaption"/>
            </w:pPr>
            <w:r w:rsidRPr="00316A1F">
              <w:t>4</w:t>
            </w:r>
          </w:p>
        </w:tc>
        <w:tc>
          <w:tcPr>
            <w:tcW w:w="3081" w:type="dxa"/>
          </w:tcPr>
          <w:p w14:paraId="3BB06DC5" w14:textId="77777777" w:rsidR="002B64EF" w:rsidRPr="00A82C53" w:rsidRDefault="002B64EF" w:rsidP="002B64EF">
            <w:pPr>
              <w:pStyle w:val="Figurecaption"/>
            </w:pPr>
            <w:r w:rsidRPr="00316A1F">
              <w:t>181</w:t>
            </w:r>
          </w:p>
        </w:tc>
      </w:tr>
      <w:tr w:rsidR="002B64EF" w14:paraId="5B845454" w14:textId="77777777" w:rsidTr="002B64EF">
        <w:tc>
          <w:tcPr>
            <w:tcW w:w="3080" w:type="dxa"/>
          </w:tcPr>
          <w:p w14:paraId="324F19D6" w14:textId="77777777" w:rsidR="002B64EF" w:rsidRPr="00A82C53" w:rsidRDefault="002B64EF" w:rsidP="002B64EF">
            <w:pPr>
              <w:pStyle w:val="Figurecaption"/>
            </w:pPr>
            <w:r w:rsidRPr="00316A1F">
              <w:t>MPH-IR (Attenta or Ritalin)</w:t>
            </w:r>
          </w:p>
        </w:tc>
        <w:tc>
          <w:tcPr>
            <w:tcW w:w="3081" w:type="dxa"/>
          </w:tcPr>
          <w:p w14:paraId="1F9EFCD6" w14:textId="77777777" w:rsidR="002B64EF" w:rsidRPr="00A82C53" w:rsidRDefault="002B64EF" w:rsidP="002B64EF">
            <w:pPr>
              <w:pStyle w:val="Figurecaption"/>
            </w:pPr>
            <w:r w:rsidRPr="00316A1F">
              <w:t>5</w:t>
            </w:r>
          </w:p>
        </w:tc>
        <w:tc>
          <w:tcPr>
            <w:tcW w:w="3081" w:type="dxa"/>
          </w:tcPr>
          <w:p w14:paraId="31566C45" w14:textId="77777777" w:rsidR="002B64EF" w:rsidRPr="00A82C53" w:rsidRDefault="002B64EF" w:rsidP="002B64EF">
            <w:pPr>
              <w:pStyle w:val="Figurecaption"/>
            </w:pPr>
            <w:r w:rsidRPr="00316A1F">
              <w:t>182</w:t>
            </w:r>
          </w:p>
        </w:tc>
      </w:tr>
      <w:tr w:rsidR="002B64EF" w14:paraId="72317F04" w14:textId="77777777" w:rsidTr="002B64EF">
        <w:tc>
          <w:tcPr>
            <w:tcW w:w="3080" w:type="dxa"/>
          </w:tcPr>
          <w:p w14:paraId="7EA3FC5E" w14:textId="77777777" w:rsidR="002B64EF" w:rsidRPr="00A82C53" w:rsidRDefault="002B64EF" w:rsidP="002B64EF">
            <w:pPr>
              <w:pStyle w:val="Figurecaption"/>
            </w:pPr>
            <w:r w:rsidRPr="00316A1F">
              <w:t>MPH-IR (Attenta or Ritalin)</w:t>
            </w:r>
          </w:p>
        </w:tc>
        <w:tc>
          <w:tcPr>
            <w:tcW w:w="3081" w:type="dxa"/>
          </w:tcPr>
          <w:p w14:paraId="7415AAE4" w14:textId="77777777" w:rsidR="002B64EF" w:rsidRPr="00A82C53" w:rsidRDefault="002B64EF" w:rsidP="002B64EF">
            <w:pPr>
              <w:pStyle w:val="Figurecaption"/>
            </w:pPr>
            <w:r w:rsidRPr="00316A1F">
              <w:t>&gt; 5</w:t>
            </w:r>
          </w:p>
        </w:tc>
        <w:tc>
          <w:tcPr>
            <w:tcW w:w="3081" w:type="dxa"/>
          </w:tcPr>
          <w:p w14:paraId="7E49D9B2" w14:textId="77777777" w:rsidR="002B64EF" w:rsidRPr="00A82C53" w:rsidRDefault="002B64EF" w:rsidP="002B64EF">
            <w:pPr>
              <w:pStyle w:val="Figurecaption"/>
            </w:pPr>
            <w:r w:rsidRPr="00316A1F">
              <w:t>185</w:t>
            </w:r>
          </w:p>
        </w:tc>
      </w:tr>
    </w:tbl>
    <w:p w14:paraId="6FE2B84F" w14:textId="77777777" w:rsidR="002B64EF" w:rsidRDefault="002B64EF" w:rsidP="002B64EF">
      <w:pPr>
        <w:pStyle w:val="Heading1"/>
        <w:rPr>
          <w:rFonts w:eastAsiaTheme="minorEastAsia" w:cstheme="minorBidi"/>
          <w:b w:val="0"/>
          <w:bCs w:val="0"/>
          <w:sz w:val="24"/>
          <w:szCs w:val="24"/>
        </w:rPr>
      </w:pPr>
      <w:r>
        <w:rPr>
          <w:rFonts w:eastAsiaTheme="minorEastAsia" w:cstheme="minorBidi"/>
          <w:b w:val="0"/>
          <w:bCs w:val="0"/>
          <w:sz w:val="24"/>
          <w:szCs w:val="24"/>
        </w:rPr>
        <w:t xml:space="preserve">In calculating the median days between approvals, where more than one approval exists for the same person on the same day (e.g. if the person received approvals for two different strengths of the same medicine on the same day) these were treated as a single approval. </w:t>
      </w:r>
    </w:p>
    <w:p w14:paraId="67C59247" w14:textId="77777777" w:rsidR="002B64EF" w:rsidRPr="0078576A" w:rsidRDefault="002B64EF" w:rsidP="002B64EF">
      <w:pPr>
        <w:pStyle w:val="Heading1"/>
        <w:spacing w:before="0"/>
        <w:rPr>
          <w:rFonts w:eastAsiaTheme="minorEastAsia" w:cstheme="minorBidi"/>
          <w:b w:val="0"/>
          <w:bCs w:val="0"/>
          <w:sz w:val="24"/>
          <w:szCs w:val="24"/>
        </w:rPr>
      </w:pPr>
      <w:r w:rsidRPr="0078576A">
        <w:rPr>
          <w:rFonts w:eastAsiaTheme="minorEastAsia" w:cstheme="minorBidi"/>
          <w:b w:val="0"/>
          <w:bCs w:val="0"/>
          <w:sz w:val="24"/>
          <w:szCs w:val="24"/>
        </w:rPr>
        <w:t>To avoid the bias of approvals towards the end of the data period not having sufficient time for re-approval, the ones approved with</w:t>
      </w:r>
      <w:r>
        <w:rPr>
          <w:rFonts w:eastAsiaTheme="minorEastAsia" w:cstheme="minorBidi"/>
          <w:b w:val="0"/>
          <w:bCs w:val="0"/>
          <w:sz w:val="24"/>
          <w:szCs w:val="24"/>
        </w:rPr>
        <w:t>in</w:t>
      </w:r>
      <w:r w:rsidRPr="0078576A">
        <w:rPr>
          <w:rFonts w:eastAsiaTheme="minorEastAsia" w:cstheme="minorBidi"/>
          <w:b w:val="0"/>
          <w:bCs w:val="0"/>
          <w:sz w:val="24"/>
          <w:szCs w:val="24"/>
        </w:rPr>
        <w:t xml:space="preserve"> the last 400 days of the end of data period (i</w:t>
      </w:r>
      <w:r>
        <w:rPr>
          <w:rFonts w:eastAsiaTheme="minorEastAsia" w:cstheme="minorBidi"/>
          <w:b w:val="0"/>
          <w:bCs w:val="0"/>
          <w:sz w:val="24"/>
          <w:szCs w:val="24"/>
        </w:rPr>
        <w:t>.</w:t>
      </w:r>
      <w:r w:rsidRPr="0078576A">
        <w:rPr>
          <w:rFonts w:eastAsiaTheme="minorEastAsia" w:cstheme="minorBidi"/>
          <w:b w:val="0"/>
          <w:bCs w:val="0"/>
          <w:sz w:val="24"/>
          <w:szCs w:val="24"/>
        </w:rPr>
        <w:t xml:space="preserve">e.  </w:t>
      </w:r>
      <w:r>
        <w:rPr>
          <w:rFonts w:eastAsiaTheme="minorEastAsia" w:cstheme="minorBidi"/>
          <w:b w:val="0"/>
          <w:bCs w:val="0"/>
          <w:sz w:val="24"/>
          <w:szCs w:val="24"/>
        </w:rPr>
        <w:t>31 July 2014</w:t>
      </w:r>
      <w:r w:rsidRPr="0078576A">
        <w:rPr>
          <w:rFonts w:eastAsiaTheme="minorEastAsia" w:cstheme="minorBidi"/>
          <w:b w:val="0"/>
          <w:bCs w:val="0"/>
          <w:sz w:val="24"/>
          <w:szCs w:val="24"/>
        </w:rPr>
        <w:t xml:space="preserve">) </w:t>
      </w:r>
      <w:r>
        <w:rPr>
          <w:rFonts w:eastAsiaTheme="minorEastAsia" w:cstheme="minorBidi"/>
          <w:b w:val="0"/>
          <w:bCs w:val="0"/>
          <w:sz w:val="24"/>
          <w:szCs w:val="24"/>
        </w:rPr>
        <w:t>were</w:t>
      </w:r>
      <w:r w:rsidRPr="0078576A">
        <w:rPr>
          <w:rFonts w:eastAsiaTheme="minorEastAsia" w:cstheme="minorBidi"/>
          <w:b w:val="0"/>
          <w:bCs w:val="0"/>
          <w:sz w:val="24"/>
          <w:szCs w:val="24"/>
        </w:rPr>
        <w:t xml:space="preserve"> excluded from the median calculation. If included they introduce a slight shortening bias. The 400 days was dete</w:t>
      </w:r>
      <w:r>
        <w:rPr>
          <w:rFonts w:eastAsiaTheme="minorEastAsia" w:cstheme="minorBidi"/>
          <w:b w:val="0"/>
          <w:bCs w:val="0"/>
          <w:sz w:val="24"/>
          <w:szCs w:val="24"/>
        </w:rPr>
        <w:t>rmined by observing that approximately</w:t>
      </w:r>
      <w:r w:rsidRPr="0078576A">
        <w:rPr>
          <w:rFonts w:eastAsiaTheme="minorEastAsia" w:cstheme="minorBidi"/>
          <w:b w:val="0"/>
          <w:bCs w:val="0"/>
          <w:sz w:val="24"/>
          <w:szCs w:val="24"/>
        </w:rPr>
        <w:t xml:space="preserve"> 95% of all ADHD approvals t</w:t>
      </w:r>
      <w:r>
        <w:rPr>
          <w:rFonts w:eastAsiaTheme="minorEastAsia" w:cstheme="minorBidi"/>
          <w:b w:val="0"/>
          <w:bCs w:val="0"/>
          <w:sz w:val="24"/>
          <w:szCs w:val="24"/>
        </w:rPr>
        <w:t>hat have a re-approval</w:t>
      </w:r>
      <w:r w:rsidRPr="0078576A">
        <w:rPr>
          <w:rFonts w:eastAsiaTheme="minorEastAsia" w:cstheme="minorBidi"/>
          <w:b w:val="0"/>
          <w:bCs w:val="0"/>
          <w:sz w:val="24"/>
          <w:szCs w:val="24"/>
        </w:rPr>
        <w:t xml:space="preserve"> are re-approved within 400 days. </w:t>
      </w:r>
    </w:p>
    <w:p w14:paraId="21899712" w14:textId="77777777" w:rsidR="002B64EF" w:rsidRPr="0078576A" w:rsidRDefault="002B64EF" w:rsidP="002B64EF">
      <w:r>
        <w:t>Where the</w:t>
      </w:r>
      <w:r w:rsidRPr="0078576A">
        <w:t xml:space="preserve"> </w:t>
      </w:r>
      <w:r>
        <w:t>person</w:t>
      </w:r>
      <w:r w:rsidRPr="0078576A">
        <w:t xml:space="preserve"> </w:t>
      </w:r>
      <w:r>
        <w:t>was</w:t>
      </w:r>
      <w:r w:rsidRPr="0078576A">
        <w:t xml:space="preserve"> deemed to be continuing at the end of the data period</w:t>
      </w:r>
      <w:r>
        <w:t>,</w:t>
      </w:r>
      <w:r w:rsidRPr="0078576A">
        <w:t xml:space="preserve"> the length of treatment </w:t>
      </w:r>
      <w:r>
        <w:t>was</w:t>
      </w:r>
      <w:r w:rsidRPr="0078576A">
        <w:t xml:space="preserve"> recalculated to be the time from initiating approval to the end of the period. </w:t>
      </w:r>
    </w:p>
    <w:p w14:paraId="47B28EF8" w14:textId="422BC113" w:rsidR="00043FEA" w:rsidRDefault="00043FEA">
      <w:pPr>
        <w:spacing w:line="276" w:lineRule="auto"/>
      </w:pPr>
      <w:r>
        <w:br w:type="page"/>
      </w:r>
    </w:p>
    <w:p w14:paraId="7E2A4DCA" w14:textId="13C7B4F4" w:rsidR="009471AD" w:rsidRPr="000B268E" w:rsidRDefault="009471AD" w:rsidP="009471AD">
      <w:pPr>
        <w:pStyle w:val="Heading2"/>
      </w:pPr>
      <w:r>
        <w:t>References</w:t>
      </w:r>
    </w:p>
    <w:sectPr w:rsidR="009471AD" w:rsidRPr="000B268E" w:rsidSect="00945324">
      <w:headerReference w:type="even" r:id="rId35"/>
      <w:headerReference w:type="default" r:id="rId36"/>
      <w:footerReference w:type="even" r:id="rId37"/>
      <w:footerReference w:type="default" r:id="rId38"/>
      <w:headerReference w:type="first" r:id="rId39"/>
      <w:footerReference w:type="first" r:id="rId40"/>
      <w:pgSz w:w="11906" w:h="16838"/>
      <w:pgMar w:top="1644" w:right="1361" w:bottom="164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50FC2" w14:textId="77777777" w:rsidR="00FF776C" w:rsidRDefault="00FF776C" w:rsidP="00A35800">
      <w:r>
        <w:separator/>
      </w:r>
    </w:p>
  </w:endnote>
  <w:endnote w:type="continuationSeparator" w:id="0">
    <w:p w14:paraId="45A4A8C8" w14:textId="77777777" w:rsidR="00FF776C" w:rsidRDefault="00FF776C" w:rsidP="00A35800">
      <w:r>
        <w:continuationSeparator/>
      </w:r>
    </w:p>
  </w:endnote>
  <w:endnote w:id="1">
    <w:p w14:paraId="6C409D77" w14:textId="77777777" w:rsidR="00FF776C" w:rsidRPr="009B10C2" w:rsidRDefault="00FF776C" w:rsidP="00E96DC6">
      <w:pPr>
        <w:pStyle w:val="EndnoteText"/>
      </w:pPr>
      <w:r w:rsidRPr="009B10C2">
        <w:rPr>
          <w:rStyle w:val="EndnoteReference"/>
        </w:rPr>
        <w:endnoteRef/>
      </w:r>
      <w:r w:rsidRPr="009B10C2">
        <w:t xml:space="preserve"> </w:t>
      </w:r>
      <w:r w:rsidRPr="009B10C2">
        <w:rPr>
          <w:noProof/>
        </w:rPr>
        <w:t xml:space="preserve">National Institute for Health and Clinical Excellence (2008), </w:t>
      </w:r>
      <w:r w:rsidRPr="009B10C2">
        <w:rPr>
          <w:i/>
          <w:noProof/>
        </w:rPr>
        <w:t>Attention deficit hyperactivity disorder. Diagnosis and management of ADHD in children, young people and adults (Updated March 2013). NICE clinical guideline 72</w:t>
      </w:r>
      <w:r w:rsidRPr="009B10C2">
        <w:rPr>
          <w:noProof/>
        </w:rPr>
        <w:t>. Manchester.</w:t>
      </w:r>
    </w:p>
  </w:endnote>
  <w:endnote w:id="2">
    <w:p w14:paraId="05E5DF7C" w14:textId="77777777" w:rsidR="00FF776C" w:rsidRPr="009B10C2" w:rsidRDefault="00FF776C" w:rsidP="00E96DC6">
      <w:pPr>
        <w:pStyle w:val="Figurecaption"/>
        <w:spacing w:after="0"/>
      </w:pPr>
      <w:r w:rsidRPr="009B10C2">
        <w:rPr>
          <w:noProof/>
          <w:vertAlign w:val="superscript"/>
          <w:lang w:eastAsia="en-AU"/>
        </w:rPr>
        <w:endnoteRef/>
      </w:r>
      <w:r w:rsidRPr="009B10C2">
        <w:rPr>
          <w:noProof/>
          <w:lang w:eastAsia="en-AU"/>
        </w:rPr>
        <w:t xml:space="preserve">  Quinn, P. and Wigal, S. (2004), 'Perceptions of girls and ADHD: results from a national survey'. MedGenMed, 6(2): 2.</w:t>
      </w:r>
    </w:p>
  </w:endnote>
  <w:endnote w:id="3">
    <w:p w14:paraId="5EBB5842" w14:textId="77777777" w:rsidR="00FF776C" w:rsidRPr="009B10C2" w:rsidRDefault="00FF776C" w:rsidP="00E96DC6">
      <w:pPr>
        <w:pStyle w:val="Figurecaption"/>
        <w:spacing w:after="0"/>
      </w:pPr>
      <w:r w:rsidRPr="009B10C2">
        <w:rPr>
          <w:rStyle w:val="EndnoteReference"/>
        </w:rPr>
        <w:endnoteRef/>
      </w:r>
      <w:r w:rsidRPr="009B10C2">
        <w:t xml:space="preserve"> </w:t>
      </w:r>
      <w:r w:rsidRPr="009B10C2">
        <w:rPr>
          <w:noProof/>
          <w:lang w:eastAsia="en-AU"/>
        </w:rPr>
        <w:t>National Health and Medical Research Council (2012),</w:t>
      </w:r>
      <w:r w:rsidRPr="009B10C2">
        <w:rPr>
          <w:noProof/>
        </w:rPr>
        <w:t xml:space="preserve"> </w:t>
      </w:r>
      <w:r w:rsidRPr="009B10C2">
        <w:rPr>
          <w:i/>
          <w:noProof/>
          <w:lang w:eastAsia="en-AU"/>
        </w:rPr>
        <w:t>Clinical Practice Points on the diagnosis, assessment and management of Attention Deficit Hyperactivity Disorder in children and adolescents.</w:t>
      </w:r>
      <w:r w:rsidRPr="009B10C2">
        <w:rPr>
          <w:noProof/>
        </w:rPr>
        <w:t xml:space="preserve"> </w:t>
      </w:r>
      <w:r w:rsidRPr="009B10C2">
        <w:rPr>
          <w:noProof/>
          <w:lang w:eastAsia="en-AU"/>
        </w:rPr>
        <w:t>Canberra</w:t>
      </w:r>
      <w:r w:rsidRPr="009B10C2">
        <w:rPr>
          <w:noProof/>
        </w:rPr>
        <w:t>.</w:t>
      </w:r>
    </w:p>
  </w:endnote>
  <w:endnote w:id="4">
    <w:p w14:paraId="5435CF5D" w14:textId="77777777" w:rsidR="00FF776C" w:rsidRPr="009B10C2" w:rsidRDefault="00FF776C" w:rsidP="00E96DC6">
      <w:pPr>
        <w:pStyle w:val="Figurecaption"/>
        <w:spacing w:after="0"/>
      </w:pPr>
      <w:r w:rsidRPr="009B10C2">
        <w:rPr>
          <w:rStyle w:val="EndnoteReference"/>
        </w:rPr>
        <w:endnoteRef/>
      </w:r>
      <w:r w:rsidRPr="009B10C2">
        <w:rPr>
          <w:rStyle w:val="EndnoteReference"/>
        </w:rPr>
        <w:t xml:space="preserve"> </w:t>
      </w:r>
      <w:r w:rsidRPr="009B10C2">
        <w:rPr>
          <w:noProof/>
          <w:lang w:eastAsia="en-AU"/>
        </w:rPr>
        <w:t>Scottish Intercollegiate Guidelines Network (2009),</w:t>
      </w:r>
      <w:r w:rsidRPr="009B10C2">
        <w:rPr>
          <w:noProof/>
        </w:rPr>
        <w:t xml:space="preserve"> </w:t>
      </w:r>
      <w:r w:rsidRPr="009B10C2">
        <w:rPr>
          <w:i/>
          <w:noProof/>
          <w:lang w:eastAsia="en-AU"/>
        </w:rPr>
        <w:t>Management of attention deficit and hyperkinetic disorders in children and young People. A national clinical guideline.</w:t>
      </w:r>
      <w:r w:rsidRPr="009B10C2">
        <w:rPr>
          <w:noProof/>
        </w:rPr>
        <w:t xml:space="preserve"> </w:t>
      </w:r>
      <w:r w:rsidRPr="009B10C2">
        <w:rPr>
          <w:noProof/>
          <w:lang w:eastAsia="en-AU"/>
        </w:rPr>
        <w:t>Edinburgh.</w:t>
      </w:r>
    </w:p>
  </w:endnote>
  <w:endnote w:id="5">
    <w:p w14:paraId="2F611880" w14:textId="77777777" w:rsidR="00FF776C" w:rsidRDefault="00FF776C" w:rsidP="00E96DC6">
      <w:pPr>
        <w:pStyle w:val="EndnoteText"/>
      </w:pPr>
      <w:r>
        <w:rPr>
          <w:rStyle w:val="EndnoteReference"/>
        </w:rPr>
        <w:endnoteRef/>
      </w:r>
      <w:r>
        <w:t xml:space="preserve"> Tonge, B. (2013), ‘Principles for managing attention deficit hyperactivity disorder’. </w:t>
      </w:r>
      <w:r>
        <w:rPr>
          <w:i/>
        </w:rPr>
        <w:t xml:space="preserve">Australian Prescriber, </w:t>
      </w:r>
      <w:r w:rsidRPr="00E5530C">
        <w:t>36:162-5.</w:t>
      </w:r>
    </w:p>
  </w:endnote>
  <w:endnote w:id="6">
    <w:p w14:paraId="3AF5A7B0" w14:textId="77777777" w:rsidR="00FF776C" w:rsidRPr="009B10C2" w:rsidRDefault="00FF776C" w:rsidP="00E96DC6">
      <w:pPr>
        <w:pStyle w:val="EndnoteText"/>
      </w:pPr>
      <w:r w:rsidRPr="009B10C2">
        <w:rPr>
          <w:rStyle w:val="EndnoteReference"/>
        </w:rPr>
        <w:endnoteRef/>
      </w:r>
      <w:r w:rsidRPr="009B10C2">
        <w:t xml:space="preserve"> </w:t>
      </w:r>
      <w:r w:rsidRPr="009B10C2">
        <w:rPr>
          <w:noProof/>
        </w:rPr>
        <w:t xml:space="preserve">Jureidini, J., Tonkin, A. and Jureidini, E. (2013), 'Combination pharmacotherapy for psychiatric disorders in children and adolescents: prevalence, efficacy, risks and research needs'. </w:t>
      </w:r>
      <w:r w:rsidRPr="009B10C2">
        <w:rPr>
          <w:i/>
          <w:noProof/>
        </w:rPr>
        <w:t>Paediatr Drugs</w:t>
      </w:r>
      <w:r w:rsidRPr="009B10C2">
        <w:rPr>
          <w:noProof/>
        </w:rPr>
        <w:t>, 15(5): 377-91.</w:t>
      </w:r>
    </w:p>
  </w:endnote>
  <w:endnote w:id="7">
    <w:p w14:paraId="7D2B7FC6" w14:textId="0235EB6A" w:rsidR="00FF776C" w:rsidRPr="009B10C2" w:rsidRDefault="00FF776C" w:rsidP="004A12E7">
      <w:pPr>
        <w:pStyle w:val="EndnoteText"/>
      </w:pPr>
      <w:r w:rsidRPr="009B10C2">
        <w:rPr>
          <w:rStyle w:val="EndnoteReference"/>
        </w:rPr>
        <w:endnoteRef/>
      </w:r>
      <w:r w:rsidRPr="009B10C2">
        <w:t xml:space="preserve"> </w:t>
      </w:r>
      <w:r w:rsidRPr="009B10C2">
        <w:rPr>
          <w:noProof/>
        </w:rPr>
        <w:t xml:space="preserve">NOVARTIS Pharmaceuticals Australia Pty Limited (2014), </w:t>
      </w:r>
      <w:r w:rsidRPr="009B10C2">
        <w:rPr>
          <w:i/>
          <w:noProof/>
        </w:rPr>
        <w:t>Product Information: RITALIN® 10/RITALIN® LA (methylphenidate).</w:t>
      </w:r>
      <w:r>
        <w:rPr>
          <w:noProof/>
        </w:rPr>
        <w:t xml:space="preserve"> </w:t>
      </w:r>
      <w:r w:rsidRPr="00A1212C">
        <w:rPr>
          <w:noProof/>
        </w:rPr>
        <w:t>Approved 27 January 2004. Most recent amendment 27 March 2014. Accessed</w:t>
      </w:r>
      <w:r w:rsidRPr="009B10C2">
        <w:rPr>
          <w:i/>
          <w:noProof/>
        </w:rPr>
        <w:t xml:space="preserve"> </w:t>
      </w:r>
      <w:r w:rsidRPr="009B10C2">
        <w:rPr>
          <w:noProof/>
        </w:rPr>
        <w:t>on: 9 December 2014, at:</w:t>
      </w:r>
      <w:r w:rsidRPr="009B10C2">
        <w:t xml:space="preserve"> </w:t>
      </w:r>
      <w:hyperlink r:id="rId1" w:history="1">
        <w:r w:rsidRPr="009B10C2">
          <w:rPr>
            <w:u w:val="single"/>
          </w:rPr>
          <w:t>www.ebs.tga.gov.au/ebs/picmi/picmirepository.nsf/pdf?OpenAgent&amp;id=CP-2010-PI-03175-3</w:t>
        </w:r>
      </w:hyperlink>
    </w:p>
  </w:endnote>
  <w:endnote w:id="8">
    <w:p w14:paraId="08D1C219" w14:textId="2FC03A68" w:rsidR="00FF776C" w:rsidRPr="009B10C2" w:rsidRDefault="00FF776C" w:rsidP="004A12E7">
      <w:pPr>
        <w:pStyle w:val="EndnoteText"/>
      </w:pPr>
      <w:r w:rsidRPr="009B10C2">
        <w:rPr>
          <w:rStyle w:val="EndnoteReference"/>
        </w:rPr>
        <w:endnoteRef/>
      </w:r>
      <w:r w:rsidRPr="009B10C2">
        <w:t xml:space="preserve"> </w:t>
      </w:r>
      <w:r w:rsidRPr="009B10C2">
        <w:rPr>
          <w:noProof/>
        </w:rPr>
        <w:t xml:space="preserve">Aspen Pharma Pty Ltd (2009), </w:t>
      </w:r>
      <w:r w:rsidRPr="009B10C2">
        <w:rPr>
          <w:i/>
          <w:noProof/>
        </w:rPr>
        <w:t>Product Information: Dexamphetamine Tablets</w:t>
      </w:r>
      <w:r w:rsidRPr="009B10C2">
        <w:rPr>
          <w:noProof/>
        </w:rPr>
        <w:t>.</w:t>
      </w:r>
      <w:r>
        <w:rPr>
          <w:noProof/>
        </w:rPr>
        <w:t xml:space="preserve"> </w:t>
      </w:r>
      <w:r w:rsidRPr="00A1212C">
        <w:rPr>
          <w:noProof/>
        </w:rPr>
        <w:t>Approved 22 January 1997. Most recent amendment 29 April 2015.</w:t>
      </w:r>
      <w:r w:rsidRPr="009B10C2">
        <w:rPr>
          <w:noProof/>
        </w:rPr>
        <w:t xml:space="preserve"> Accessed on: 8 December 2014, at: </w:t>
      </w:r>
      <w:hyperlink r:id="rId2" w:history="1">
        <w:r w:rsidRPr="009B10C2">
          <w:rPr>
            <w:rStyle w:val="Hyperlink"/>
            <w:noProof/>
          </w:rPr>
          <w:t>www.ebs.tga.gov.au/ebs/picmi/picmirepository.nsf/pdf?OpenAgent&amp;id=CP-2009-PI-00828-3</w:t>
        </w:r>
      </w:hyperlink>
    </w:p>
  </w:endnote>
  <w:endnote w:id="9">
    <w:p w14:paraId="720FF399" w14:textId="3901E224" w:rsidR="00FF776C" w:rsidRPr="009B10C2" w:rsidRDefault="00FF776C" w:rsidP="004A12E7">
      <w:pPr>
        <w:pStyle w:val="EndnoteText"/>
      </w:pPr>
      <w:r w:rsidRPr="009B10C2">
        <w:rPr>
          <w:rStyle w:val="EndnoteReference"/>
        </w:rPr>
        <w:endnoteRef/>
      </w:r>
      <w:r w:rsidRPr="009B10C2">
        <w:t xml:space="preserve"> </w:t>
      </w:r>
      <w:r w:rsidRPr="009B10C2">
        <w:rPr>
          <w:noProof/>
        </w:rPr>
        <w:t xml:space="preserve">Eli Lilly Australia Pty. Limited (2014), </w:t>
      </w:r>
      <w:r w:rsidRPr="009B10C2">
        <w:rPr>
          <w:i/>
          <w:noProof/>
        </w:rPr>
        <w:t>Product Information: STRATERA® (atomoxetine hydrochloride)</w:t>
      </w:r>
      <w:r w:rsidRPr="009B10C2">
        <w:rPr>
          <w:noProof/>
        </w:rPr>
        <w:t xml:space="preserve">. </w:t>
      </w:r>
      <w:r w:rsidRPr="00A1212C">
        <w:rPr>
          <w:noProof/>
        </w:rPr>
        <w:t>Approved 27 January 2004. Most recent amendment 27 March 2014.</w:t>
      </w:r>
      <w:r>
        <w:rPr>
          <w:noProof/>
        </w:rPr>
        <w:t xml:space="preserve"> </w:t>
      </w:r>
      <w:r w:rsidRPr="009B10C2">
        <w:rPr>
          <w:noProof/>
        </w:rPr>
        <w:t xml:space="preserve">Accessed on: 8 December 2014, at: </w:t>
      </w:r>
      <w:hyperlink r:id="rId3" w:history="1">
        <w:r w:rsidRPr="009B10C2">
          <w:rPr>
            <w:rStyle w:val="Hyperlink"/>
            <w:noProof/>
          </w:rPr>
          <w:t>www.ebs.tga.gov.au/ebs/picmi/picmirepository.nsf/pdf?OpenAgent&amp;id=CP-2010-PI-04269-3</w:t>
        </w:r>
      </w:hyperlink>
    </w:p>
  </w:endnote>
  <w:endnote w:id="10">
    <w:p w14:paraId="58A5B6C9" w14:textId="77777777" w:rsidR="00FF776C" w:rsidRPr="009B10C2" w:rsidRDefault="00FF776C" w:rsidP="004A12E7">
      <w:pPr>
        <w:pStyle w:val="EndnoteText"/>
      </w:pPr>
      <w:r w:rsidRPr="009B10C2">
        <w:rPr>
          <w:rStyle w:val="EndnoteReference"/>
        </w:rPr>
        <w:endnoteRef/>
      </w:r>
      <w:r w:rsidRPr="009B10C2">
        <w:t xml:space="preserve"> </w:t>
      </w:r>
      <w:r w:rsidRPr="009B10C2">
        <w:rPr>
          <w:noProof/>
        </w:rPr>
        <w:t xml:space="preserve">Therapuetic Goods Administration (2011), </w:t>
      </w:r>
      <w:r w:rsidRPr="009B10C2">
        <w:rPr>
          <w:i/>
          <w:noProof/>
        </w:rPr>
        <w:t>Atomoxetine (STRATTERA) - risk of increased blood pressure and/or heart rate</w:t>
      </w:r>
      <w:r w:rsidRPr="009B10C2">
        <w:rPr>
          <w:noProof/>
        </w:rPr>
        <w:t xml:space="preserve">. Accessed on: 12 December 2014, at: </w:t>
      </w:r>
      <w:hyperlink r:id="rId4" w:history="1">
        <w:r w:rsidRPr="009B10C2">
          <w:rPr>
            <w:rStyle w:val="Hyperlink"/>
            <w:noProof/>
          </w:rPr>
          <w:t>http://www.tga.gov.au/safety/alerts-medicine-atomoxetine-111102.htm</w:t>
        </w:r>
      </w:hyperlink>
    </w:p>
  </w:endnote>
  <w:endnote w:id="11">
    <w:p w14:paraId="686225B1" w14:textId="77777777" w:rsidR="00FF776C" w:rsidRPr="009B10C2" w:rsidRDefault="00FF776C" w:rsidP="004A12E7">
      <w:pPr>
        <w:pStyle w:val="EndnoteText"/>
        <w:rPr>
          <w:noProof/>
        </w:rPr>
      </w:pPr>
      <w:r w:rsidRPr="009B10C2">
        <w:rPr>
          <w:rStyle w:val="EndnoteReference"/>
        </w:rPr>
        <w:endnoteRef/>
      </w:r>
      <w:r w:rsidRPr="009B10C2">
        <w:t xml:space="preserve"> </w:t>
      </w:r>
      <w:r w:rsidRPr="009B10C2">
        <w:rPr>
          <w:noProof/>
        </w:rPr>
        <w:t xml:space="preserve">Therapuetic Goods Administration (2013), </w:t>
      </w:r>
      <w:r w:rsidRPr="009B10C2">
        <w:rPr>
          <w:i/>
          <w:noProof/>
        </w:rPr>
        <w:t>Atomoxetine and suicidality in children and adolescents</w:t>
      </w:r>
      <w:r w:rsidRPr="009B10C2">
        <w:rPr>
          <w:noProof/>
        </w:rPr>
        <w:t xml:space="preserve">. Accessed on: 5 May 2015, at: </w:t>
      </w:r>
      <w:hyperlink r:id="rId5" w:anchor="atomoxetine" w:history="1">
        <w:r w:rsidRPr="009B10C2">
          <w:rPr>
            <w:rStyle w:val="Hyperlink"/>
            <w:noProof/>
          </w:rPr>
          <w:t>https://www.tga.gov.au/publication-issue/medicines-safety-update-volume-4-number-5-october-2013#atomoxetine</w:t>
        </w:r>
      </w:hyperlink>
    </w:p>
  </w:endnote>
  <w:endnote w:id="12">
    <w:p w14:paraId="184CEDFD" w14:textId="77777777" w:rsidR="00FF776C" w:rsidRPr="009B10C2" w:rsidRDefault="00FF776C" w:rsidP="004A12E7">
      <w:pPr>
        <w:pStyle w:val="EndnoteText"/>
        <w:rPr>
          <w:noProof/>
        </w:rPr>
      </w:pPr>
      <w:r w:rsidRPr="009B10C2">
        <w:rPr>
          <w:rStyle w:val="EndnoteReference"/>
        </w:rPr>
        <w:endnoteRef/>
      </w:r>
      <w:r w:rsidRPr="009B10C2">
        <w:t xml:space="preserve"> </w:t>
      </w:r>
      <w:r w:rsidRPr="009B10C2">
        <w:rPr>
          <w:noProof/>
        </w:rPr>
        <w:t xml:space="preserve">Therapuetic Goods Administration (2014), </w:t>
      </w:r>
      <w:r w:rsidRPr="009B10C2">
        <w:rPr>
          <w:i/>
          <w:noProof/>
        </w:rPr>
        <w:t>Methylphenidate and priapism</w:t>
      </w:r>
      <w:r w:rsidRPr="009B10C2">
        <w:rPr>
          <w:noProof/>
        </w:rPr>
        <w:t xml:space="preserve">. Accessed on: 5 May 2015, at: </w:t>
      </w:r>
      <w:hyperlink r:id="rId6" w:anchor="methylphenidate" w:history="1">
        <w:r w:rsidRPr="009B10C2">
          <w:rPr>
            <w:rStyle w:val="Hyperlink"/>
            <w:noProof/>
          </w:rPr>
          <w:t>https://www.tga.gov.au/publication-issue/medicines-safety-update-volume-5-number-5-october-2014-0#methylphenidate</w:t>
        </w:r>
      </w:hyperlink>
    </w:p>
  </w:endnote>
  <w:endnote w:id="13">
    <w:p w14:paraId="409EF087" w14:textId="77777777" w:rsidR="00FF776C" w:rsidRPr="009B10C2" w:rsidRDefault="00FF776C" w:rsidP="00816D93">
      <w:pPr>
        <w:pStyle w:val="EndnoteText"/>
      </w:pPr>
      <w:r w:rsidRPr="009B10C2">
        <w:rPr>
          <w:rStyle w:val="EndnoteReference"/>
        </w:rPr>
        <w:endnoteRef/>
      </w:r>
      <w:r w:rsidRPr="009B10C2">
        <w:t xml:space="preserve"> Australian Medicines Handbook (2015), </w:t>
      </w:r>
      <w:r w:rsidRPr="009B10C2">
        <w:rPr>
          <w:i/>
        </w:rPr>
        <w:t xml:space="preserve">Drugs for attention deficit hyperactivity disorder. </w:t>
      </w:r>
      <w:r w:rsidRPr="009B10C2">
        <w:t>Australian Medicines Handbook Pty Ltd. Adelaide. pp 806-809.</w:t>
      </w:r>
    </w:p>
  </w:endnote>
  <w:endnote w:id="14">
    <w:p w14:paraId="2C7E37FF"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Royal Australasian College of Physicians (2009), </w:t>
      </w:r>
      <w:r w:rsidRPr="009B10C2">
        <w:rPr>
          <w:i/>
          <w:noProof/>
        </w:rPr>
        <w:t>Draft Australian Guidelines on Attention Deficit Hyperactivity Disorder</w:t>
      </w:r>
      <w:r w:rsidRPr="009B10C2">
        <w:rPr>
          <w:noProof/>
        </w:rPr>
        <w:t>.</w:t>
      </w:r>
    </w:p>
  </w:endnote>
  <w:endnote w:id="15">
    <w:p w14:paraId="79BF3647" w14:textId="77777777" w:rsidR="00FF776C" w:rsidRPr="009B10C2" w:rsidRDefault="00FF776C" w:rsidP="00816D93">
      <w:pPr>
        <w:pStyle w:val="EndnoteText"/>
      </w:pPr>
      <w:r w:rsidRPr="009B10C2">
        <w:rPr>
          <w:rStyle w:val="EndnoteReference"/>
        </w:rPr>
        <w:endnoteRef/>
      </w:r>
      <w:r w:rsidRPr="009B10C2">
        <w:t xml:space="preserve"> Attention deficit hyperactivity disorder: pharmacological treatment [revised June 2013]. In eTG complete [Internet]. Melbourne: Therapeutic Guidelines Limited; 2015 Mar. Accessed 2015 May 5 &lt;</w:t>
      </w:r>
      <w:r w:rsidRPr="009B10C2">
        <w:rPr>
          <w:u w:val="single"/>
        </w:rPr>
        <w:t>http://online.tg.org.au/complete/desktop/index.htm</w:t>
      </w:r>
      <w:r w:rsidRPr="009B10C2">
        <w:t>&gt;.</w:t>
      </w:r>
    </w:p>
  </w:endnote>
  <w:endnote w:id="16">
    <w:p w14:paraId="37924990"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Barrett, J.R., Tracy, D.K. and Giaroli, G. (2013), 'To sleep or not to sleep: a systematic review of the literature of pharmacological treatments of insomnia in children and adolescents with attention-deficit/hyperactivity disorder'. </w:t>
      </w:r>
      <w:r w:rsidRPr="009B10C2">
        <w:rPr>
          <w:i/>
          <w:noProof/>
        </w:rPr>
        <w:t>J Child Adolesc Psychopharmacol</w:t>
      </w:r>
      <w:r w:rsidRPr="009B10C2">
        <w:rPr>
          <w:noProof/>
        </w:rPr>
        <w:t>, 23(10): 640-7.</w:t>
      </w:r>
    </w:p>
  </w:endnote>
  <w:endnote w:id="17">
    <w:p w14:paraId="611EECF2"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Department of Health (2005), </w:t>
      </w:r>
      <w:r w:rsidRPr="009B10C2">
        <w:rPr>
          <w:i/>
          <w:noProof/>
        </w:rPr>
        <w:t>March 2005 PBAC Outcomes - Positive Recommendations</w:t>
      </w:r>
      <w:r w:rsidRPr="009B10C2">
        <w:rPr>
          <w:noProof/>
        </w:rPr>
        <w:t xml:space="preserve">. Accessed on: 12 December 2014, at: </w:t>
      </w:r>
      <w:hyperlink r:id="rId7" w:history="1">
        <w:r w:rsidRPr="009B10C2">
          <w:rPr>
            <w:rStyle w:val="Hyperlink"/>
            <w:noProof/>
          </w:rPr>
          <w:t>http://www.pbs.gov.au/info/industry/listing/elements/pbac-meetings/pbac-outcomes/2005-03/positive-recommendations</w:t>
        </w:r>
      </w:hyperlink>
    </w:p>
  </w:endnote>
  <w:endnote w:id="18">
    <w:p w14:paraId="7A74FBEB"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Department of Health (2007), </w:t>
      </w:r>
      <w:r w:rsidRPr="009B10C2">
        <w:rPr>
          <w:i/>
          <w:noProof/>
        </w:rPr>
        <w:t>PBAC Meetings Public Summary Documents: Methylphenidate Hydrochloride, extended release tablets, 18 mg, 36 mg and 54 mg, Concerta November 2006</w:t>
      </w:r>
      <w:r w:rsidRPr="009B10C2">
        <w:rPr>
          <w:noProof/>
        </w:rPr>
        <w:t xml:space="preserve">. Accessed on: 12 December 2014, at: </w:t>
      </w:r>
      <w:hyperlink r:id="rId8" w:history="1">
        <w:r w:rsidRPr="009B10C2">
          <w:rPr>
            <w:rStyle w:val="Hyperlink"/>
            <w:noProof/>
          </w:rPr>
          <w:t>http://www.pbs.gov.au/info/industry/listing/elements/pbac-meetings/psd/2006-11/pbac-psd-methylphenidate-nov06</w:t>
        </w:r>
      </w:hyperlink>
    </w:p>
  </w:endnote>
  <w:endnote w:id="19">
    <w:p w14:paraId="74F157CF"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Department of Health (2012), </w:t>
      </w:r>
      <w:r w:rsidRPr="009B10C2">
        <w:rPr>
          <w:i/>
          <w:noProof/>
        </w:rPr>
        <w:t xml:space="preserve">PBAC Meetings Public Summary Documents: Methylphenidate hydrochloride, Tablets, 18 mg, 27 mg, 36 mg, and 54 mg,(extended release) Concerta® - July 2012 </w:t>
      </w:r>
      <w:r w:rsidRPr="009B10C2">
        <w:rPr>
          <w:noProof/>
        </w:rPr>
        <w:t xml:space="preserve">Accessed on: 12 Decemeber 2014, at: </w:t>
      </w:r>
      <w:hyperlink r:id="rId9" w:history="1">
        <w:r w:rsidRPr="009B10C2">
          <w:rPr>
            <w:rStyle w:val="Hyperlink"/>
            <w:noProof/>
          </w:rPr>
          <w:t>http://www.pbs.gov.au/info/industry/listing/elements/pbac-meetings/psd/2012-07/methylphenidate-hydrochloride</w:t>
        </w:r>
      </w:hyperlink>
    </w:p>
  </w:endnote>
  <w:endnote w:id="20">
    <w:p w14:paraId="69C2A08D"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Department of Health (2007), </w:t>
      </w:r>
      <w:r w:rsidRPr="009B10C2">
        <w:rPr>
          <w:i/>
          <w:noProof/>
        </w:rPr>
        <w:t>November 2007 PBAC Outcomes - Positive Recommendations</w:t>
      </w:r>
      <w:r w:rsidRPr="009B10C2">
        <w:rPr>
          <w:noProof/>
        </w:rPr>
        <w:t xml:space="preserve">. Accessed on: 12 December 2014, at: </w:t>
      </w:r>
      <w:hyperlink r:id="rId10" w:history="1">
        <w:r w:rsidRPr="009B10C2">
          <w:rPr>
            <w:rStyle w:val="Hyperlink"/>
            <w:noProof/>
          </w:rPr>
          <w:t>http://www.pbs.gov.au/info/industry/listing/elements/pbac-meetings/pbac-outcomes/2007-11/positive-recommendations</w:t>
        </w:r>
      </w:hyperlink>
    </w:p>
  </w:endnote>
  <w:endnote w:id="21">
    <w:p w14:paraId="6A9620E7"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Department of Health (2007), </w:t>
      </w:r>
      <w:r w:rsidRPr="009B10C2">
        <w:rPr>
          <w:i/>
          <w:noProof/>
        </w:rPr>
        <w:t>PBAC Meetings Public Summary Documents: Atomoxetine Hydrochloride, capsules, 10 mg, 18 mg, 25 mg, 40 mg and 60 mg, Strattera® November 2006</w:t>
      </w:r>
      <w:r w:rsidRPr="009B10C2">
        <w:rPr>
          <w:noProof/>
        </w:rPr>
        <w:t xml:space="preserve">. Accessed on: 12 December 2014, at: </w:t>
      </w:r>
      <w:hyperlink r:id="rId11" w:history="1">
        <w:r w:rsidRPr="009B10C2">
          <w:rPr>
            <w:rStyle w:val="Hyperlink"/>
            <w:noProof/>
          </w:rPr>
          <w:t>http://www.pbs.gov.au/info/industry/listing/elements/pbac-meetings/psd/2006-11/pbac-psd-atomoxetine-nov06</w:t>
        </w:r>
      </w:hyperlink>
    </w:p>
  </w:endnote>
  <w:endnote w:id="22">
    <w:p w14:paraId="1C793C66" w14:textId="77777777" w:rsidR="00FF776C" w:rsidRPr="009B10C2" w:rsidRDefault="00FF776C" w:rsidP="00816D93">
      <w:pPr>
        <w:pStyle w:val="EndnoteText"/>
      </w:pPr>
      <w:r w:rsidRPr="009B10C2">
        <w:rPr>
          <w:rStyle w:val="EndnoteReference"/>
        </w:rPr>
        <w:endnoteRef/>
      </w:r>
      <w:r w:rsidRPr="009B10C2">
        <w:t xml:space="preserve"> </w:t>
      </w:r>
      <w:r w:rsidRPr="009B10C2">
        <w:rPr>
          <w:noProof/>
        </w:rPr>
        <w:t xml:space="preserve">Department of Health (2008), </w:t>
      </w:r>
      <w:r w:rsidRPr="009B10C2">
        <w:rPr>
          <w:i/>
          <w:noProof/>
        </w:rPr>
        <w:t xml:space="preserve">PBAC Meeting Public Summary Documents: Atomoxetine hydrochloride, capsules, 80 mg and 100 mg, Strattera®, July 2008 </w:t>
      </w:r>
      <w:r w:rsidRPr="009B10C2">
        <w:rPr>
          <w:noProof/>
        </w:rPr>
        <w:t xml:space="preserve">Accessed on: 12 December 2014, at: </w:t>
      </w:r>
      <w:hyperlink r:id="rId12" w:history="1">
        <w:r w:rsidRPr="009B10C2">
          <w:rPr>
            <w:rStyle w:val="Hyperlink"/>
            <w:noProof/>
          </w:rPr>
          <w:t>http://www.pbs.gov.au/info/industry/listing/elements/pbac-meetings/psd/2008-07/pbac-psd-atomoxetine-hydrochloride-july08</w:t>
        </w:r>
      </w:hyperlink>
    </w:p>
  </w:endnote>
  <w:endnote w:id="23">
    <w:p w14:paraId="0022F130" w14:textId="55995964" w:rsidR="00FF776C" w:rsidRDefault="00FF776C">
      <w:pPr>
        <w:pStyle w:val="EndnoteText"/>
      </w:pPr>
      <w:r>
        <w:rPr>
          <w:rStyle w:val="EndnoteReference"/>
        </w:rPr>
        <w:endnoteRef/>
      </w:r>
      <w:r>
        <w:t xml:space="preserve"> Drug Utilisation Sub-Committee. DUSC Predicted versus Actual analysis of atomoxetine. Canberra: Australian Department of Health: 2010. Unpublished.</w:t>
      </w:r>
    </w:p>
  </w:endnote>
  <w:endnote w:id="24">
    <w:p w14:paraId="68D95036" w14:textId="7283E931" w:rsidR="00FF776C" w:rsidRDefault="00FF776C">
      <w:pPr>
        <w:pStyle w:val="EndnoteText"/>
      </w:pPr>
      <w:r>
        <w:rPr>
          <w:rStyle w:val="EndnoteReference"/>
        </w:rPr>
        <w:endnoteRef/>
      </w:r>
      <w:r>
        <w:t xml:space="preserve"> </w:t>
      </w:r>
      <w:r>
        <w:rPr>
          <w:sz w:val="18"/>
        </w:rPr>
        <w:t>Drug Utilisation Sub-Committee. DUSC Reviews of ADHD Drugs June and October 2012. Canberra: Australian Department of Health: 2010. Unpublished.</w:t>
      </w:r>
    </w:p>
  </w:endnote>
  <w:endnote w:id="25">
    <w:p w14:paraId="1D0DE53A" w14:textId="77777777" w:rsidR="00FF776C" w:rsidRPr="009B10C2" w:rsidRDefault="00FF776C" w:rsidP="00816D93">
      <w:pPr>
        <w:pStyle w:val="EndnoteText"/>
      </w:pPr>
      <w:r w:rsidRPr="009B10C2">
        <w:rPr>
          <w:rStyle w:val="EndnoteReference"/>
        </w:rPr>
        <w:endnoteRef/>
      </w:r>
      <w:r w:rsidRPr="009B10C2">
        <w:t xml:space="preserve"> Department of Health (2013) </w:t>
      </w:r>
      <w:r w:rsidRPr="009B10C2">
        <w:rPr>
          <w:i/>
        </w:rPr>
        <w:t xml:space="preserve">Australian Statistics on Medicines 2011, </w:t>
      </w:r>
      <w:r w:rsidRPr="009B10C2">
        <w:t>pp 6-8.</w:t>
      </w:r>
    </w:p>
  </w:endnote>
  <w:endnote w:id="26">
    <w:p w14:paraId="79C1FB88"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ACT Health (2011), </w:t>
      </w:r>
      <w:r w:rsidRPr="009B10C2">
        <w:rPr>
          <w:i/>
          <w:noProof/>
        </w:rPr>
        <w:t>Guidelines for Prescribers Prescribing Controlled Medicines</w:t>
      </w:r>
      <w:r w:rsidRPr="009B10C2">
        <w:rPr>
          <w:noProof/>
        </w:rPr>
        <w:t xml:space="preserve">. Accessed on: 06/01/2015, at: </w:t>
      </w:r>
      <w:hyperlink r:id="rId13" w:history="1">
        <w:r w:rsidRPr="009B10C2">
          <w:rPr>
            <w:rStyle w:val="Hyperlink"/>
            <w:noProof/>
          </w:rPr>
          <w:t>http://www.health.act.gov.au/health-services/population-health/health-protection-service/pharmaceutical-services/controlled-medicines</w:t>
        </w:r>
      </w:hyperlink>
    </w:p>
  </w:endnote>
  <w:endnote w:id="27">
    <w:p w14:paraId="21DB85F9"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ACT Health (2014), </w:t>
      </w:r>
      <w:r w:rsidRPr="009B10C2">
        <w:rPr>
          <w:i/>
          <w:noProof/>
        </w:rPr>
        <w:t>Criteria for the issue of approvals to prescribe amphetamines for Attention Deficit Hyperactivity Disorder (ADHD)</w:t>
      </w:r>
      <w:r w:rsidRPr="009B10C2">
        <w:rPr>
          <w:noProof/>
        </w:rPr>
        <w:t xml:space="preserve">. Accessed on: 06/01/2015, at: </w:t>
      </w:r>
      <w:hyperlink r:id="rId14" w:history="1">
        <w:r w:rsidRPr="009B10C2">
          <w:rPr>
            <w:rStyle w:val="Hyperlink"/>
            <w:noProof/>
          </w:rPr>
          <w:t>http://www.health.act.gov.au/health-services/population-health/health-protection-service/pharmaceutical-services/controlled-medicines</w:t>
        </w:r>
      </w:hyperlink>
    </w:p>
  </w:endnote>
  <w:endnote w:id="28">
    <w:p w14:paraId="7DAF54C8" w14:textId="77777777" w:rsidR="00FF776C" w:rsidRPr="009B10C2" w:rsidRDefault="00FF776C" w:rsidP="002B64EF">
      <w:pPr>
        <w:pStyle w:val="Figurecaption"/>
        <w:spacing w:after="0"/>
      </w:pPr>
      <w:r w:rsidRPr="009B10C2">
        <w:rPr>
          <w:rStyle w:val="EndnoteReference"/>
          <w:lang w:eastAsia="en-AU"/>
        </w:rPr>
        <w:endnoteRef/>
      </w:r>
      <w:r w:rsidRPr="009B10C2">
        <w:rPr>
          <w:rStyle w:val="EndnoteReference"/>
          <w:lang w:eastAsia="en-AU"/>
        </w:rPr>
        <w:t xml:space="preserve"> </w:t>
      </w:r>
      <w:r w:rsidRPr="009B10C2">
        <w:rPr>
          <w:noProof/>
        </w:rPr>
        <w:t xml:space="preserve">NSW Ministry for Health (2013), </w:t>
      </w:r>
      <w:r w:rsidRPr="009B10C2">
        <w:rPr>
          <w:i/>
          <w:noProof/>
        </w:rPr>
        <w:t>Requirements for an Authoirty to Prescribe Drugs of Addiction under Section 28 of the Poisons and Therapeutic Goods Act 1966</w:t>
      </w:r>
      <w:r w:rsidRPr="009B10C2">
        <w:rPr>
          <w:noProof/>
        </w:rPr>
        <w:t xml:space="preserve">. Accessed on: 06/01/2015, at: </w:t>
      </w:r>
      <w:hyperlink r:id="rId15" w:history="1">
        <w:r w:rsidRPr="009B10C2">
          <w:rPr>
            <w:rStyle w:val="Hyperlink"/>
            <w:noProof/>
          </w:rPr>
          <w:t>http://www.health.nsw.gov.au/pharmaceutical/Documents/section28-requirements.pdf</w:t>
        </w:r>
      </w:hyperlink>
    </w:p>
  </w:endnote>
  <w:endnote w:id="29">
    <w:p w14:paraId="4A5466C1"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NSW Ministry for Health (2013), </w:t>
      </w:r>
      <w:r w:rsidRPr="009B10C2">
        <w:rPr>
          <w:i/>
          <w:noProof/>
        </w:rPr>
        <w:t>Prescribe a psychostimulant medication</w:t>
      </w:r>
      <w:r w:rsidRPr="009B10C2">
        <w:rPr>
          <w:noProof/>
        </w:rPr>
        <w:t xml:space="preserve">. Accessed on: 06/01/2015, at: </w:t>
      </w:r>
      <w:hyperlink r:id="rId16" w:history="1">
        <w:r w:rsidRPr="009B10C2">
          <w:rPr>
            <w:rStyle w:val="Hyperlink"/>
            <w:noProof/>
          </w:rPr>
          <w:t>http://www.health.nsw.gov.au/pharmaceutical/doctors/Pages/prescribe-psychostimulant.aspx</w:t>
        </w:r>
      </w:hyperlink>
    </w:p>
  </w:endnote>
  <w:endnote w:id="30">
    <w:p w14:paraId="22F6DBBF"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NSW Ministry for Health (2012), </w:t>
      </w:r>
      <w:r w:rsidRPr="009B10C2">
        <w:rPr>
          <w:i/>
          <w:noProof/>
        </w:rPr>
        <w:t>Criteria for the Diagnosis and Management of Attention Deficit Hyperactivity Disorder in Children and Adolescents (TG181/9)</w:t>
      </w:r>
      <w:r w:rsidRPr="009B10C2">
        <w:rPr>
          <w:noProof/>
        </w:rPr>
        <w:t xml:space="preserve">. Accessed on: 06/01/2015, at: </w:t>
      </w:r>
      <w:hyperlink r:id="rId17" w:history="1">
        <w:r w:rsidRPr="009B10C2">
          <w:rPr>
            <w:rStyle w:val="Hyperlink"/>
            <w:noProof/>
          </w:rPr>
          <w:t>http://www.health.nsw.gov.au/pharmaceutical/Documents/adhd-criteria-child.pdf</w:t>
        </w:r>
      </w:hyperlink>
    </w:p>
  </w:endnote>
  <w:endnote w:id="31">
    <w:p w14:paraId="7358FBDC"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Health, N.M.f. (2003), </w:t>
      </w:r>
      <w:r w:rsidRPr="009B10C2">
        <w:rPr>
          <w:i/>
          <w:noProof/>
        </w:rPr>
        <w:t>Criteria for the Diagnosis and Management of Attention Deficit Hyperactivity Disorder in Adults (TG190/3)</w:t>
      </w:r>
      <w:r w:rsidRPr="009B10C2">
        <w:rPr>
          <w:noProof/>
        </w:rPr>
        <w:t xml:space="preserve">. Accessed on: 06/01/2015, at: </w:t>
      </w:r>
      <w:hyperlink r:id="rId18" w:history="1">
        <w:r w:rsidRPr="009B10C2">
          <w:rPr>
            <w:rStyle w:val="Hyperlink"/>
            <w:noProof/>
          </w:rPr>
          <w:t>http://www.health.nsw.gov.au/pharmaceutical/Documents/adhd-criteria-adult.pdf</w:t>
        </w:r>
      </w:hyperlink>
    </w:p>
  </w:endnote>
  <w:endnote w:id="32">
    <w:p w14:paraId="37C32015"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Northern Territory Government Department of Health (2014), </w:t>
      </w:r>
      <w:r w:rsidRPr="009B10C2">
        <w:rPr>
          <w:i/>
          <w:noProof/>
        </w:rPr>
        <w:t>Code of Practice. Schedule 8 Substances. Volume 1 - Issuing prescriptions supplying Schedule 8 substances</w:t>
      </w:r>
      <w:r w:rsidRPr="009B10C2">
        <w:rPr>
          <w:noProof/>
        </w:rPr>
        <w:t xml:space="preserve">. Accessed on: 06/01/2015, at: </w:t>
      </w:r>
      <w:hyperlink r:id="rId19" w:history="1">
        <w:r w:rsidRPr="009B10C2">
          <w:rPr>
            <w:rStyle w:val="Hyperlink"/>
            <w:noProof/>
          </w:rPr>
          <w:t>http://health.nt.gov.au/Environmental_Health/Medicines_and_Poisons_Control/Medical_Practitioners/index.aspx</w:t>
        </w:r>
      </w:hyperlink>
    </w:p>
  </w:endnote>
  <w:endnote w:id="33">
    <w:p w14:paraId="53B29487"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Northern Territory Government Department of Health (2014), </w:t>
      </w:r>
      <w:r w:rsidRPr="009B10C2">
        <w:rPr>
          <w:i/>
          <w:noProof/>
        </w:rPr>
        <w:t>Medicines and Poisons Control Information Sheet No. 320.1. Summary of requirements for medical practitioners</w:t>
      </w:r>
      <w:r w:rsidRPr="009B10C2">
        <w:rPr>
          <w:noProof/>
        </w:rPr>
        <w:t xml:space="preserve">. Accessed on: 06/01/2015, at: </w:t>
      </w:r>
      <w:hyperlink r:id="rId20" w:history="1">
        <w:r w:rsidRPr="009B10C2">
          <w:rPr>
            <w:rStyle w:val="Hyperlink"/>
            <w:noProof/>
          </w:rPr>
          <w:t>http://health.nt.gov.au/Environmental_Health/Medicines_and_Poisons_Control/Medical_Practitioners/index.aspx</w:t>
        </w:r>
      </w:hyperlink>
    </w:p>
  </w:endnote>
  <w:endnote w:id="34">
    <w:p w14:paraId="04F8E327"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Queensland Government, </w:t>
      </w:r>
      <w:r w:rsidRPr="009B10C2">
        <w:rPr>
          <w:i/>
          <w:noProof/>
        </w:rPr>
        <w:t>Health (Drugs and Poisons) Regulation 1996 (Current as at 1 October 2014)</w:t>
      </w:r>
      <w:r w:rsidRPr="009B10C2">
        <w:rPr>
          <w:noProof/>
        </w:rPr>
        <w:t>.</w:t>
      </w:r>
    </w:p>
  </w:endnote>
  <w:endnote w:id="35">
    <w:p w14:paraId="5B2EF60E"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SA Health (2012), </w:t>
      </w:r>
      <w:r w:rsidRPr="009B10C2">
        <w:rPr>
          <w:i/>
          <w:noProof/>
        </w:rPr>
        <w:t xml:space="preserve">Authorities for prescribing drugs of dependence </w:t>
      </w:r>
      <w:r w:rsidRPr="009B10C2">
        <w:rPr>
          <w:noProof/>
        </w:rPr>
        <w:t xml:space="preserve">Accessed on: 06/01/2015, at: </w:t>
      </w:r>
      <w:hyperlink r:id="rId21" w:history="1">
        <w:r w:rsidRPr="009B10C2">
          <w:rPr>
            <w:rStyle w:val="Hyperlink"/>
            <w:noProof/>
          </w:rPr>
          <w:t>http://www.sahealth.sa.gov.au/wps/wcm/connect/public+content/sa+health+internet/clinical+resources/clinical+topics/medicines+and+drugs/prescribing+medicines+regulations+and+requirements/prescribing+drugs+of+dependence/authorities+for+prescribing+drugs+of+dependence</w:t>
        </w:r>
      </w:hyperlink>
    </w:p>
  </w:endnote>
  <w:endnote w:id="36">
    <w:p w14:paraId="33A25B57"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Tasmanian Department of Health and Human Services (2005), </w:t>
      </w:r>
      <w:r w:rsidRPr="009B10C2">
        <w:rPr>
          <w:i/>
          <w:noProof/>
        </w:rPr>
        <w:t>Prescribing of psychostimulants (dexamphetamine and methylphenidate) in adults</w:t>
      </w:r>
      <w:r w:rsidRPr="009B10C2">
        <w:rPr>
          <w:noProof/>
        </w:rPr>
        <w:t xml:space="preserve">. Accessed on: 06/01/2015, at: </w:t>
      </w:r>
      <w:hyperlink r:id="rId22" w:history="1">
        <w:r w:rsidRPr="009B10C2">
          <w:rPr>
            <w:rStyle w:val="Hyperlink"/>
            <w:noProof/>
          </w:rPr>
          <w:t>http://www.dhhs.tas.gov.au/__data/assets/pdf_file/0007/46519/Adult_Psychostimulant_guidelines2005_updated_2009_.pdf</w:t>
        </w:r>
      </w:hyperlink>
    </w:p>
  </w:endnote>
  <w:endnote w:id="37">
    <w:p w14:paraId="7696F3CA"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Tasmanian Department of Health and Human Services (2005), </w:t>
      </w:r>
      <w:r w:rsidRPr="009B10C2">
        <w:rPr>
          <w:i/>
          <w:noProof/>
        </w:rPr>
        <w:t>Stimulant Prescribing Children and Adolescents</w:t>
      </w:r>
      <w:r w:rsidRPr="009B10C2">
        <w:rPr>
          <w:noProof/>
        </w:rPr>
        <w:t xml:space="preserve">. Accessed on: 06/01/2015, at: </w:t>
      </w:r>
      <w:hyperlink r:id="rId23" w:history="1">
        <w:r w:rsidRPr="009B10C2">
          <w:rPr>
            <w:rStyle w:val="Hyperlink"/>
            <w:noProof/>
          </w:rPr>
          <w:t>http://www.dhhs.tas.gov.au/__data/assets/pdf_file/0005/46517/ADHD_Criteria_for_Children_and_Adolescents.pdf</w:t>
        </w:r>
      </w:hyperlink>
    </w:p>
  </w:endnote>
  <w:endnote w:id="38">
    <w:p w14:paraId="18138EC3"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Victorian Government Department of Health (2014), </w:t>
      </w:r>
      <w:r w:rsidRPr="009B10C2">
        <w:rPr>
          <w:i/>
          <w:noProof/>
        </w:rPr>
        <w:t>Prescribing psychosttimulants to treat ADHD and narcolepsy. Permit and notification requirements (2014.2)</w:t>
      </w:r>
      <w:r w:rsidRPr="009B10C2">
        <w:rPr>
          <w:noProof/>
        </w:rPr>
        <w:t xml:space="preserve">. Accessed on: 07/01/2015, at: </w:t>
      </w:r>
      <w:hyperlink r:id="rId24" w:history="1">
        <w:r w:rsidRPr="009B10C2">
          <w:rPr>
            <w:rStyle w:val="Hyperlink"/>
            <w:noProof/>
          </w:rPr>
          <w:t>http://docs.health.vic.gov.au/docs/doc/Prescribing-psychostimulants-to-treat-ADHD-or-narcolepsy--permit-and-notification-requirements</w:t>
        </w:r>
      </w:hyperlink>
    </w:p>
  </w:endnote>
  <w:endnote w:id="39">
    <w:p w14:paraId="4158846A" w14:textId="77777777" w:rsidR="00FF776C" w:rsidRPr="009B10C2" w:rsidRDefault="00FF776C" w:rsidP="002B64EF">
      <w:pPr>
        <w:pStyle w:val="EndnoteText"/>
      </w:pPr>
      <w:r w:rsidRPr="009B10C2">
        <w:rPr>
          <w:rStyle w:val="EndnoteReference"/>
        </w:rPr>
        <w:endnoteRef/>
      </w:r>
      <w:r w:rsidRPr="009B10C2">
        <w:t xml:space="preserve"> </w:t>
      </w:r>
      <w:r w:rsidRPr="009B10C2">
        <w:rPr>
          <w:noProof/>
        </w:rPr>
        <w:t xml:space="preserve">Government of Western Australia Depertment of Health (2014), </w:t>
      </w:r>
      <w:r w:rsidRPr="009B10C2">
        <w:rPr>
          <w:i/>
          <w:noProof/>
        </w:rPr>
        <w:t>Stimulant Prescribing Code. Clinical criteria for the prescribing of stimulant medicines in Western Australia</w:t>
      </w:r>
      <w:r w:rsidRPr="009B10C2">
        <w:rPr>
          <w:noProof/>
        </w:rPr>
        <w:t xml:space="preserve">. Accessed on: 07/01/2015, at: </w:t>
      </w:r>
      <w:hyperlink r:id="rId25" w:history="1">
        <w:r w:rsidRPr="009B10C2">
          <w:rPr>
            <w:rStyle w:val="Hyperlink"/>
            <w:noProof/>
          </w:rPr>
          <w:t>http://www.public.health.wa.gov.au/3/1312/2/forms_and_resources_for_stimulant_prescribers.pm</w:t>
        </w:r>
      </w:hyperlink>
    </w:p>
  </w:endnote>
  <w:endnote w:id="40">
    <w:p w14:paraId="7BDCAB79" w14:textId="77777777" w:rsidR="00FF776C" w:rsidRDefault="00FF776C" w:rsidP="002B64EF">
      <w:pPr>
        <w:pStyle w:val="EndnoteText"/>
      </w:pPr>
      <w:r w:rsidRPr="009B10C2">
        <w:rPr>
          <w:rStyle w:val="EndnoteReference"/>
        </w:rPr>
        <w:endnoteRef/>
      </w:r>
      <w:r w:rsidRPr="009B10C2">
        <w:t xml:space="preserve"> </w:t>
      </w:r>
      <w:r w:rsidRPr="009B10C2">
        <w:rPr>
          <w:noProof/>
        </w:rPr>
        <w:t xml:space="preserve">Han, F. (2012), 'Sleepiness that cannot be overcome: narcolepsy and cataplexy'. </w:t>
      </w:r>
      <w:r w:rsidRPr="009B10C2">
        <w:rPr>
          <w:i/>
          <w:noProof/>
        </w:rPr>
        <w:t>Respirology</w:t>
      </w:r>
      <w:r w:rsidRPr="009B10C2">
        <w:rPr>
          <w:noProof/>
        </w:rPr>
        <w:t>, 17(8): 1157-65.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800000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813039"/>
      <w:docPartObj>
        <w:docPartGallery w:val="Page Numbers (Bottom of Page)"/>
        <w:docPartUnique/>
      </w:docPartObj>
    </w:sdtPr>
    <w:sdtEndPr>
      <w:rPr>
        <w:noProof/>
      </w:rPr>
    </w:sdtEndPr>
    <w:sdtContent>
      <w:p w14:paraId="4461769D" w14:textId="77777777" w:rsidR="00FF776C" w:rsidRDefault="00FF776C">
        <w:pPr>
          <w:pStyle w:val="Footer"/>
          <w:jc w:val="center"/>
        </w:pPr>
        <w:r>
          <w:t>Committee-In-Confidence</w:t>
        </w:r>
      </w:p>
      <w:p w14:paraId="6A102BB1" w14:textId="77777777" w:rsidR="00FF776C" w:rsidRDefault="00FF776C">
        <w:pPr>
          <w:pStyle w:val="Footer"/>
          <w:jc w:val="center"/>
        </w:pPr>
        <w:r>
          <w:fldChar w:fldCharType="begin"/>
        </w:r>
        <w:r>
          <w:instrText xml:space="preserve"> PAGE   \* MERGEFORMAT </w:instrText>
        </w:r>
        <w:r>
          <w:fldChar w:fldCharType="separate"/>
        </w:r>
        <w:r w:rsidR="00D454F1">
          <w:rPr>
            <w:noProof/>
          </w:rPr>
          <w:t>11</w:t>
        </w:r>
        <w:r>
          <w:rPr>
            <w:noProof/>
          </w:rPr>
          <w:fldChar w:fldCharType="end"/>
        </w:r>
      </w:p>
    </w:sdtContent>
  </w:sdt>
  <w:p w14:paraId="09690A28" w14:textId="77777777" w:rsidR="00FF776C" w:rsidRDefault="00FF776C" w:rsidP="002B64E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2B325" w14:textId="77777777" w:rsidR="00FF776C" w:rsidRDefault="00FF776C" w:rsidP="00A3580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EBF3895" w14:textId="77777777" w:rsidR="00FF776C" w:rsidRDefault="00FF776C" w:rsidP="00A358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050D9" w14:textId="77777777" w:rsidR="00FF776C" w:rsidRDefault="00FF776C" w:rsidP="002B64EF">
    <w:pPr>
      <w:pStyle w:val="Footer"/>
      <w:jc w:val="center"/>
      <w:rPr>
        <w:rStyle w:val="PageNumber"/>
      </w:rPr>
    </w:pPr>
    <w:r>
      <w:rPr>
        <w:rStyle w:val="PageNumber"/>
      </w:rPr>
      <w:t>Committee-in-Confidence</w:t>
    </w:r>
  </w:p>
  <w:p w14:paraId="382A6D19" w14:textId="77777777" w:rsidR="00FF776C" w:rsidRDefault="00FF776C" w:rsidP="002B64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13497">
      <w:rPr>
        <w:rStyle w:val="PageNumber"/>
        <w:noProof/>
      </w:rPr>
      <w:t>32</w:t>
    </w:r>
    <w:r>
      <w:rPr>
        <w:rStyle w:val="PageNumber"/>
      </w:rPr>
      <w:fldChar w:fldCharType="end"/>
    </w:r>
  </w:p>
  <w:p w14:paraId="4EA830DF" w14:textId="77777777" w:rsidR="00FF776C" w:rsidRDefault="00FF776C" w:rsidP="00A358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9D5E5" w14:textId="77777777" w:rsidR="00FF776C" w:rsidRDefault="00FF776C" w:rsidP="00A3580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D9F9A1E" w14:textId="77777777" w:rsidR="00FF776C" w:rsidRDefault="00FF776C" w:rsidP="00A3580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419521"/>
      <w:docPartObj>
        <w:docPartGallery w:val="Page Numbers (Bottom of Page)"/>
        <w:docPartUnique/>
      </w:docPartObj>
    </w:sdtPr>
    <w:sdtEndPr/>
    <w:sdtContent>
      <w:sdt>
        <w:sdtPr>
          <w:id w:val="860082579"/>
          <w:docPartObj>
            <w:docPartGallery w:val="Page Numbers (Top of Page)"/>
            <w:docPartUnique/>
          </w:docPartObj>
        </w:sdtPr>
        <w:sdtEndPr/>
        <w:sdtContent>
          <w:p w14:paraId="2C33146D" w14:textId="39AC122B" w:rsidR="00FF776C" w:rsidRPr="00CB6ABE" w:rsidRDefault="00FF776C" w:rsidP="00CB6ABE">
            <w:pPr>
              <w:pStyle w:val="Footer"/>
              <w:jc w:val="center"/>
              <w:rPr>
                <w:i/>
                <w:sz w:val="20"/>
                <w:szCs w:val="20"/>
              </w:rPr>
            </w:pPr>
            <w:r>
              <w:rPr>
                <w:i/>
                <w:sz w:val="20"/>
                <w:szCs w:val="20"/>
              </w:rPr>
              <w:t>Public Release Document, Month Year DUSC Meeting</w:t>
            </w:r>
          </w:p>
          <w:p w14:paraId="16541DE1" w14:textId="3EA36B32" w:rsidR="00FF776C" w:rsidRDefault="00FF776C" w:rsidP="00CB6ABE">
            <w:pPr>
              <w:pStyle w:val="Footer"/>
              <w:jc w:val="center"/>
            </w:pPr>
            <w:r w:rsidRPr="00CB6ABE">
              <w:rPr>
                <w:i/>
                <w:sz w:val="20"/>
                <w:szCs w:val="20"/>
              </w:rPr>
              <w:t xml:space="preserve">Page </w:t>
            </w:r>
            <w:r w:rsidRPr="00CB6ABE">
              <w:rPr>
                <w:bCs/>
                <w:i/>
                <w:sz w:val="20"/>
                <w:szCs w:val="20"/>
              </w:rPr>
              <w:fldChar w:fldCharType="begin"/>
            </w:r>
            <w:r w:rsidRPr="00CB6ABE">
              <w:rPr>
                <w:bCs/>
                <w:i/>
                <w:sz w:val="20"/>
                <w:szCs w:val="20"/>
              </w:rPr>
              <w:instrText xml:space="preserve"> PAGE </w:instrText>
            </w:r>
            <w:r w:rsidRPr="00CB6ABE">
              <w:rPr>
                <w:bCs/>
                <w:i/>
                <w:sz w:val="20"/>
                <w:szCs w:val="20"/>
              </w:rPr>
              <w:fldChar w:fldCharType="separate"/>
            </w:r>
            <w:r w:rsidR="00013497">
              <w:rPr>
                <w:bCs/>
                <w:i/>
                <w:noProof/>
                <w:sz w:val="20"/>
                <w:szCs w:val="20"/>
              </w:rPr>
              <w:t>35</w:t>
            </w:r>
            <w:r w:rsidRPr="00CB6ABE">
              <w:rPr>
                <w:bCs/>
                <w:i/>
                <w:sz w:val="20"/>
                <w:szCs w:val="20"/>
              </w:rPr>
              <w:fldChar w:fldCharType="end"/>
            </w:r>
            <w:r w:rsidRPr="00CB6ABE">
              <w:rPr>
                <w:i/>
                <w:sz w:val="20"/>
                <w:szCs w:val="20"/>
              </w:rPr>
              <w:t xml:space="preserve"> of </w:t>
            </w:r>
            <w:r w:rsidRPr="00CB6ABE">
              <w:rPr>
                <w:bCs/>
                <w:i/>
                <w:sz w:val="20"/>
                <w:szCs w:val="20"/>
              </w:rPr>
              <w:fldChar w:fldCharType="begin"/>
            </w:r>
            <w:r w:rsidRPr="00CB6ABE">
              <w:rPr>
                <w:bCs/>
                <w:i/>
                <w:sz w:val="20"/>
                <w:szCs w:val="20"/>
              </w:rPr>
              <w:instrText xml:space="preserve"> NUMPAGES  </w:instrText>
            </w:r>
            <w:r w:rsidRPr="00CB6ABE">
              <w:rPr>
                <w:bCs/>
                <w:i/>
                <w:sz w:val="20"/>
                <w:szCs w:val="20"/>
              </w:rPr>
              <w:fldChar w:fldCharType="separate"/>
            </w:r>
            <w:r w:rsidR="00013497">
              <w:rPr>
                <w:bCs/>
                <w:i/>
                <w:noProof/>
                <w:sz w:val="20"/>
                <w:szCs w:val="20"/>
              </w:rPr>
              <w:t>44</w:t>
            </w:r>
            <w:r w:rsidRPr="00CB6ABE">
              <w:rPr>
                <w:bCs/>
                <w:i/>
                <w:sz w:val="20"/>
                <w:szCs w:val="20"/>
              </w:rPr>
              <w:fldChar w:fldCharType="end"/>
            </w:r>
          </w:p>
        </w:sdtContent>
      </w:sdt>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28AF8" w14:textId="1896DD8B" w:rsidR="00FF776C" w:rsidRDefault="00FF776C">
    <w:pPr>
      <w:pStyle w:val="Footer"/>
    </w:pPr>
    <w:r>
      <w:t>Last updated 3 July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5EEDE" w14:textId="77777777" w:rsidR="00FF776C" w:rsidRDefault="00FF776C" w:rsidP="00A35800">
      <w:r>
        <w:separator/>
      </w:r>
    </w:p>
  </w:footnote>
  <w:footnote w:type="continuationSeparator" w:id="0">
    <w:p w14:paraId="7E2CA1E4" w14:textId="77777777" w:rsidR="00FF776C" w:rsidRDefault="00FF776C" w:rsidP="00A35800">
      <w:r>
        <w:continuationSeparator/>
      </w:r>
    </w:p>
  </w:footnote>
  <w:footnote w:id="1">
    <w:p w14:paraId="022D4071" w14:textId="692BD6D3" w:rsidR="00FF776C" w:rsidRDefault="00FF776C" w:rsidP="00816D93">
      <w:pPr>
        <w:pStyle w:val="FootnoteText"/>
      </w:pPr>
      <w:r>
        <w:rPr>
          <w:rStyle w:val="FootnoteReference"/>
        </w:rPr>
        <w:footnoteRef/>
      </w:r>
      <w:r>
        <w:t xml:space="preserve"> </w:t>
      </w:r>
      <w:r w:rsidRPr="009B10C2">
        <w:t>Atomoxetine ceased to require prior approval when its listing was changed to Authority Required (STREAMLINED) in August 2014.</w:t>
      </w:r>
    </w:p>
  </w:footnote>
  <w:footnote w:id="2">
    <w:p w14:paraId="367548E2" w14:textId="77777777" w:rsidR="00FF776C" w:rsidRDefault="00FF776C" w:rsidP="002B64EF">
      <w:pPr>
        <w:pStyle w:val="FootnoteText"/>
      </w:pPr>
      <w:r>
        <w:rPr>
          <w:rStyle w:val="FootnoteReference"/>
        </w:rPr>
        <w:footnoteRef/>
      </w:r>
      <w:r>
        <w:t xml:space="preserve"> ABS pub 3101 spreadsheet 4</w:t>
      </w:r>
    </w:p>
  </w:footnote>
  <w:footnote w:id="3">
    <w:p w14:paraId="4C79DA8C" w14:textId="77777777" w:rsidR="00FF776C" w:rsidRDefault="00FF776C" w:rsidP="002B64EF">
      <w:pPr>
        <w:pStyle w:val="FootnoteText"/>
      </w:pPr>
      <w:r>
        <w:rPr>
          <w:rStyle w:val="FootnoteReference"/>
        </w:rPr>
        <w:footnoteRef/>
      </w:r>
      <w:r>
        <w:t xml:space="preserve"> ABS pub 3101 data cube, population by age and sex tables, Table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FB807" w14:textId="716FD960" w:rsidR="00FF776C" w:rsidRDefault="00FF77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F8977" w14:textId="77777777" w:rsidR="00FF776C" w:rsidRDefault="00FF776C" w:rsidP="002B64EF">
    <w:pPr>
      <w:pStyle w:val="Header"/>
    </w:pPr>
    <w:r>
      <w:t>Item 7.5 DUSC June 2015</w:t>
    </w:r>
  </w:p>
  <w:p w14:paraId="7649830D" w14:textId="77777777" w:rsidR="00FF776C" w:rsidRDefault="00FF7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8AABB" w14:textId="77777777" w:rsidR="00FF776C" w:rsidRDefault="00FF77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9EF38" w14:textId="77777777" w:rsidR="00FF776C" w:rsidRDefault="00FF77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A663" w14:textId="77777777" w:rsidR="00FF776C" w:rsidRDefault="00FF77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14E"/>
    <w:multiLevelType w:val="hybridMultilevel"/>
    <w:tmpl w:val="70DC4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24772F"/>
    <w:multiLevelType w:val="hybridMultilevel"/>
    <w:tmpl w:val="1916D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970179"/>
    <w:multiLevelType w:val="hybridMultilevel"/>
    <w:tmpl w:val="39AE3B88"/>
    <w:lvl w:ilvl="0" w:tplc="35D0FC8C">
      <w:start w:val="1"/>
      <w:numFmt w:val="bullet"/>
      <w:lvlText w:val=""/>
      <w:lvlJc w:val="left"/>
      <w:pPr>
        <w:ind w:left="1440" w:hanging="1139"/>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EE4661B"/>
    <w:multiLevelType w:val="hybridMultilevel"/>
    <w:tmpl w:val="EA58B8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84417E0"/>
    <w:multiLevelType w:val="hybridMultilevel"/>
    <w:tmpl w:val="25BE4A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CD60115"/>
    <w:multiLevelType w:val="hybridMultilevel"/>
    <w:tmpl w:val="7AEC20B2"/>
    <w:lvl w:ilvl="0" w:tplc="0C090003">
      <w:start w:val="1"/>
      <w:numFmt w:val="bullet"/>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nsid w:val="207263EF"/>
    <w:multiLevelType w:val="hybridMultilevel"/>
    <w:tmpl w:val="3F006E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C8969F1A">
      <w:start w:val="7"/>
      <w:numFmt w:val="bullet"/>
      <w:lvlText w:val="-"/>
      <w:lvlJc w:val="left"/>
      <w:pPr>
        <w:ind w:left="1800" w:hanging="360"/>
      </w:pPr>
      <w:rPr>
        <w:rFonts w:ascii="Calibri" w:eastAsia="MS Mincho" w:hAnsi="Calibri" w:cs="Times New Roman"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5F73B4A"/>
    <w:multiLevelType w:val="hybridMultilevel"/>
    <w:tmpl w:val="8BE0A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61C3581"/>
    <w:multiLevelType w:val="hybridMultilevel"/>
    <w:tmpl w:val="C85E6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2923C92"/>
    <w:multiLevelType w:val="hybridMultilevel"/>
    <w:tmpl w:val="B53E7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01B045A"/>
    <w:multiLevelType w:val="hybridMultilevel"/>
    <w:tmpl w:val="3D486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1F75BDF"/>
    <w:multiLevelType w:val="hybridMultilevel"/>
    <w:tmpl w:val="8880149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
    <w:nsid w:val="4379469C"/>
    <w:multiLevelType w:val="hybridMultilevel"/>
    <w:tmpl w:val="418E5CD0"/>
    <w:lvl w:ilvl="0" w:tplc="F04C3CB4">
      <w:start w:val="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86B3977"/>
    <w:multiLevelType w:val="hybridMultilevel"/>
    <w:tmpl w:val="12826724"/>
    <w:lvl w:ilvl="0" w:tplc="DE586C32">
      <w:start w:val="1"/>
      <w:numFmt w:val="bullet"/>
      <w:lvlText w:val=""/>
      <w:lvlJc w:val="left"/>
      <w:pPr>
        <w:ind w:left="1440" w:hanging="1139"/>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BB150B5"/>
    <w:multiLevelType w:val="hybridMultilevel"/>
    <w:tmpl w:val="00E2334E"/>
    <w:lvl w:ilvl="0" w:tplc="F076614A">
      <w:start w:val="1"/>
      <w:numFmt w:val="bullet"/>
      <w:lvlText w:val=""/>
      <w:lvlJc w:val="left"/>
      <w:pPr>
        <w:ind w:left="2697" w:hanging="1139"/>
      </w:pPr>
      <w:rPr>
        <w:rFonts w:ascii="Symbol" w:hAnsi="Symbol" w:hint="default"/>
      </w:rPr>
    </w:lvl>
    <w:lvl w:ilvl="1" w:tplc="0C090003">
      <w:start w:val="1"/>
      <w:numFmt w:val="bullet"/>
      <w:lvlText w:val="o"/>
      <w:lvlJc w:val="left"/>
      <w:pPr>
        <w:ind w:left="2697" w:hanging="360"/>
      </w:pPr>
      <w:rPr>
        <w:rFonts w:ascii="Courier New" w:hAnsi="Courier New" w:cs="Courier New" w:hint="default"/>
      </w:rPr>
    </w:lvl>
    <w:lvl w:ilvl="2" w:tplc="0C090005" w:tentative="1">
      <w:start w:val="1"/>
      <w:numFmt w:val="bullet"/>
      <w:lvlText w:val=""/>
      <w:lvlJc w:val="left"/>
      <w:pPr>
        <w:ind w:left="3417" w:hanging="360"/>
      </w:pPr>
      <w:rPr>
        <w:rFonts w:ascii="Wingdings" w:hAnsi="Wingdings" w:hint="default"/>
      </w:rPr>
    </w:lvl>
    <w:lvl w:ilvl="3" w:tplc="0C090001" w:tentative="1">
      <w:start w:val="1"/>
      <w:numFmt w:val="bullet"/>
      <w:lvlText w:val=""/>
      <w:lvlJc w:val="left"/>
      <w:pPr>
        <w:ind w:left="4137" w:hanging="360"/>
      </w:pPr>
      <w:rPr>
        <w:rFonts w:ascii="Symbol" w:hAnsi="Symbol" w:hint="default"/>
      </w:rPr>
    </w:lvl>
    <w:lvl w:ilvl="4" w:tplc="0C090003" w:tentative="1">
      <w:start w:val="1"/>
      <w:numFmt w:val="bullet"/>
      <w:lvlText w:val="o"/>
      <w:lvlJc w:val="left"/>
      <w:pPr>
        <w:ind w:left="4857" w:hanging="360"/>
      </w:pPr>
      <w:rPr>
        <w:rFonts w:ascii="Courier New" w:hAnsi="Courier New" w:cs="Courier New" w:hint="default"/>
      </w:rPr>
    </w:lvl>
    <w:lvl w:ilvl="5" w:tplc="0C090005" w:tentative="1">
      <w:start w:val="1"/>
      <w:numFmt w:val="bullet"/>
      <w:lvlText w:val=""/>
      <w:lvlJc w:val="left"/>
      <w:pPr>
        <w:ind w:left="5577" w:hanging="360"/>
      </w:pPr>
      <w:rPr>
        <w:rFonts w:ascii="Wingdings" w:hAnsi="Wingdings" w:hint="default"/>
      </w:rPr>
    </w:lvl>
    <w:lvl w:ilvl="6" w:tplc="0C090001" w:tentative="1">
      <w:start w:val="1"/>
      <w:numFmt w:val="bullet"/>
      <w:lvlText w:val=""/>
      <w:lvlJc w:val="left"/>
      <w:pPr>
        <w:ind w:left="6297" w:hanging="360"/>
      </w:pPr>
      <w:rPr>
        <w:rFonts w:ascii="Symbol" w:hAnsi="Symbol" w:hint="default"/>
      </w:rPr>
    </w:lvl>
    <w:lvl w:ilvl="7" w:tplc="0C090003" w:tentative="1">
      <w:start w:val="1"/>
      <w:numFmt w:val="bullet"/>
      <w:lvlText w:val="o"/>
      <w:lvlJc w:val="left"/>
      <w:pPr>
        <w:ind w:left="7017" w:hanging="360"/>
      </w:pPr>
      <w:rPr>
        <w:rFonts w:ascii="Courier New" w:hAnsi="Courier New" w:cs="Courier New" w:hint="default"/>
      </w:rPr>
    </w:lvl>
    <w:lvl w:ilvl="8" w:tplc="0C090005" w:tentative="1">
      <w:start w:val="1"/>
      <w:numFmt w:val="bullet"/>
      <w:lvlText w:val=""/>
      <w:lvlJc w:val="left"/>
      <w:pPr>
        <w:ind w:left="7737" w:hanging="360"/>
      </w:pPr>
      <w:rPr>
        <w:rFonts w:ascii="Wingdings" w:hAnsi="Wingdings" w:hint="default"/>
      </w:rPr>
    </w:lvl>
  </w:abstractNum>
  <w:abstractNum w:abstractNumId="15">
    <w:nsid w:val="5EAC310F"/>
    <w:multiLevelType w:val="multilevel"/>
    <w:tmpl w:val="436023D4"/>
    <w:lvl w:ilvl="0">
      <w:start w:val="1"/>
      <w:numFmt w:val="decimal"/>
      <w:pStyle w:val="TableTitleF"/>
      <w:lvlText w:val="Table F.%1"/>
      <w:lvlJc w:val="left"/>
      <w:pPr>
        <w:tabs>
          <w:tab w:val="num" w:pos="1080"/>
        </w:tabs>
        <w:ind w:left="85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tabs>
          <w:tab w:val="num" w:pos="851"/>
        </w:tabs>
        <w:ind w:left="851" w:hanging="851"/>
      </w:pPr>
      <w:rPr>
        <w:rFonts w:hint="default"/>
        <w:b/>
        <w:i w:val="0"/>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70291DF7"/>
    <w:multiLevelType w:val="hybridMultilevel"/>
    <w:tmpl w:val="9376B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E3F03B8"/>
    <w:multiLevelType w:val="hybridMultilevel"/>
    <w:tmpl w:val="12826724"/>
    <w:lvl w:ilvl="0" w:tplc="DE586C32">
      <w:start w:val="1"/>
      <w:numFmt w:val="bullet"/>
      <w:lvlText w:val=""/>
      <w:lvlJc w:val="left"/>
      <w:pPr>
        <w:ind w:left="1440" w:hanging="1139"/>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7"/>
  </w:num>
  <w:num w:numId="8">
    <w:abstractNumId w:val="15"/>
  </w:num>
  <w:num w:numId="9">
    <w:abstractNumId w:val="17"/>
  </w:num>
  <w:num w:numId="10">
    <w:abstractNumId w:val="13"/>
  </w:num>
  <w:num w:numId="11">
    <w:abstractNumId w:val="2"/>
  </w:num>
  <w:num w:numId="12">
    <w:abstractNumId w:val="14"/>
  </w:num>
  <w:num w:numId="13">
    <w:abstractNumId w:val="5"/>
  </w:num>
  <w:num w:numId="14">
    <w:abstractNumId w:val="10"/>
  </w:num>
  <w:num w:numId="15">
    <w:abstractNumId w:val="16"/>
  </w:num>
  <w:num w:numId="16">
    <w:abstractNumId w:val="11"/>
  </w:num>
  <w:num w:numId="17">
    <w:abstractNumId w:val="6"/>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77825"/>
  </w:hdrShapeDefaults>
  <w:footnotePr>
    <w:numFmt w:val="lowerRoman"/>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41"/>
    <w:rsid w:val="000062FB"/>
    <w:rsid w:val="00011276"/>
    <w:rsid w:val="0001288E"/>
    <w:rsid w:val="00013497"/>
    <w:rsid w:val="00022617"/>
    <w:rsid w:val="000407F8"/>
    <w:rsid w:val="00043FEA"/>
    <w:rsid w:val="00046D7D"/>
    <w:rsid w:val="0005619F"/>
    <w:rsid w:val="00063EF3"/>
    <w:rsid w:val="00071EA0"/>
    <w:rsid w:val="00075A88"/>
    <w:rsid w:val="00080AE3"/>
    <w:rsid w:val="000905F6"/>
    <w:rsid w:val="00092C29"/>
    <w:rsid w:val="000933D3"/>
    <w:rsid w:val="00094DCF"/>
    <w:rsid w:val="00095CF2"/>
    <w:rsid w:val="00095D51"/>
    <w:rsid w:val="000A1BE8"/>
    <w:rsid w:val="000B268E"/>
    <w:rsid w:val="000B796C"/>
    <w:rsid w:val="000C6E5D"/>
    <w:rsid w:val="000C7D8B"/>
    <w:rsid w:val="000D733F"/>
    <w:rsid w:val="000D7486"/>
    <w:rsid w:val="000E295D"/>
    <w:rsid w:val="000E485D"/>
    <w:rsid w:val="000E5482"/>
    <w:rsid w:val="000E71EB"/>
    <w:rsid w:val="000F1DB7"/>
    <w:rsid w:val="000F22BC"/>
    <w:rsid w:val="000F2F51"/>
    <w:rsid w:val="000F5911"/>
    <w:rsid w:val="000F760B"/>
    <w:rsid w:val="00112FB2"/>
    <w:rsid w:val="00113D74"/>
    <w:rsid w:val="00117C5C"/>
    <w:rsid w:val="00125FC2"/>
    <w:rsid w:val="00130892"/>
    <w:rsid w:val="001327FB"/>
    <w:rsid w:val="001354DE"/>
    <w:rsid w:val="001420B3"/>
    <w:rsid w:val="0014260F"/>
    <w:rsid w:val="00155C45"/>
    <w:rsid w:val="0015691C"/>
    <w:rsid w:val="001577A1"/>
    <w:rsid w:val="00166750"/>
    <w:rsid w:val="00167941"/>
    <w:rsid w:val="001714FD"/>
    <w:rsid w:val="00174183"/>
    <w:rsid w:val="001759EC"/>
    <w:rsid w:val="0018712A"/>
    <w:rsid w:val="001A580F"/>
    <w:rsid w:val="001B07B8"/>
    <w:rsid w:val="001B4788"/>
    <w:rsid w:val="001B50CA"/>
    <w:rsid w:val="001B5D37"/>
    <w:rsid w:val="001C2785"/>
    <w:rsid w:val="001C4016"/>
    <w:rsid w:val="001D2DCB"/>
    <w:rsid w:val="001D390D"/>
    <w:rsid w:val="001E31A6"/>
    <w:rsid w:val="001E4D0A"/>
    <w:rsid w:val="001F2C97"/>
    <w:rsid w:val="001F2F3E"/>
    <w:rsid w:val="001F4B31"/>
    <w:rsid w:val="002104AA"/>
    <w:rsid w:val="00214013"/>
    <w:rsid w:val="00215730"/>
    <w:rsid w:val="0023488E"/>
    <w:rsid w:val="0024294B"/>
    <w:rsid w:val="002509D5"/>
    <w:rsid w:val="00252D19"/>
    <w:rsid w:val="00256720"/>
    <w:rsid w:val="002712D8"/>
    <w:rsid w:val="002717E6"/>
    <w:rsid w:val="00274300"/>
    <w:rsid w:val="00275D5A"/>
    <w:rsid w:val="002801FD"/>
    <w:rsid w:val="0028594C"/>
    <w:rsid w:val="002B64EF"/>
    <w:rsid w:val="002C4942"/>
    <w:rsid w:val="002C6E0C"/>
    <w:rsid w:val="002D472A"/>
    <w:rsid w:val="002E2A43"/>
    <w:rsid w:val="002E3337"/>
    <w:rsid w:val="002F49A8"/>
    <w:rsid w:val="002F61CA"/>
    <w:rsid w:val="002F63ED"/>
    <w:rsid w:val="0030749C"/>
    <w:rsid w:val="00313B8D"/>
    <w:rsid w:val="0033642D"/>
    <w:rsid w:val="003370D0"/>
    <w:rsid w:val="00340F95"/>
    <w:rsid w:val="00343204"/>
    <w:rsid w:val="0034436B"/>
    <w:rsid w:val="00347CBC"/>
    <w:rsid w:val="003529E0"/>
    <w:rsid w:val="003531ED"/>
    <w:rsid w:val="00367A8A"/>
    <w:rsid w:val="00372888"/>
    <w:rsid w:val="0038097B"/>
    <w:rsid w:val="003811C7"/>
    <w:rsid w:val="00387774"/>
    <w:rsid w:val="0039017F"/>
    <w:rsid w:val="003D6756"/>
    <w:rsid w:val="003F2C10"/>
    <w:rsid w:val="0041430C"/>
    <w:rsid w:val="00426F09"/>
    <w:rsid w:val="00443E7E"/>
    <w:rsid w:val="00455802"/>
    <w:rsid w:val="00462FF4"/>
    <w:rsid w:val="00481108"/>
    <w:rsid w:val="00485DAE"/>
    <w:rsid w:val="0049042B"/>
    <w:rsid w:val="00490586"/>
    <w:rsid w:val="004A12E7"/>
    <w:rsid w:val="004A458E"/>
    <w:rsid w:val="004B23E7"/>
    <w:rsid w:val="004B306F"/>
    <w:rsid w:val="004B552B"/>
    <w:rsid w:val="004C3186"/>
    <w:rsid w:val="004C5042"/>
    <w:rsid w:val="004D14BD"/>
    <w:rsid w:val="004E4845"/>
    <w:rsid w:val="004E4FE2"/>
    <w:rsid w:val="004F1E15"/>
    <w:rsid w:val="004F5067"/>
    <w:rsid w:val="004F7660"/>
    <w:rsid w:val="00503998"/>
    <w:rsid w:val="0050623B"/>
    <w:rsid w:val="005078B6"/>
    <w:rsid w:val="00512997"/>
    <w:rsid w:val="00513949"/>
    <w:rsid w:val="0052799A"/>
    <w:rsid w:val="0053330D"/>
    <w:rsid w:val="005339F6"/>
    <w:rsid w:val="00543DFE"/>
    <w:rsid w:val="00561CB4"/>
    <w:rsid w:val="00563F2A"/>
    <w:rsid w:val="00585DF4"/>
    <w:rsid w:val="00591512"/>
    <w:rsid w:val="00591BDE"/>
    <w:rsid w:val="005C25A2"/>
    <w:rsid w:val="005C2AE7"/>
    <w:rsid w:val="005C4023"/>
    <w:rsid w:val="005C55C6"/>
    <w:rsid w:val="005C597F"/>
    <w:rsid w:val="005C6039"/>
    <w:rsid w:val="005D436A"/>
    <w:rsid w:val="005E147D"/>
    <w:rsid w:val="005E22C2"/>
    <w:rsid w:val="005F5BA0"/>
    <w:rsid w:val="00606906"/>
    <w:rsid w:val="0063021F"/>
    <w:rsid w:val="00630CA0"/>
    <w:rsid w:val="00631042"/>
    <w:rsid w:val="00635817"/>
    <w:rsid w:val="0063631C"/>
    <w:rsid w:val="00645D51"/>
    <w:rsid w:val="006537D9"/>
    <w:rsid w:val="00665DEF"/>
    <w:rsid w:val="00666792"/>
    <w:rsid w:val="00675BB1"/>
    <w:rsid w:val="00676D5F"/>
    <w:rsid w:val="00681132"/>
    <w:rsid w:val="0069451E"/>
    <w:rsid w:val="00694AA7"/>
    <w:rsid w:val="006A3618"/>
    <w:rsid w:val="006A44F5"/>
    <w:rsid w:val="006B4537"/>
    <w:rsid w:val="006B709B"/>
    <w:rsid w:val="006C4620"/>
    <w:rsid w:val="006E0181"/>
    <w:rsid w:val="006F4851"/>
    <w:rsid w:val="006F5219"/>
    <w:rsid w:val="00705309"/>
    <w:rsid w:val="00705DAD"/>
    <w:rsid w:val="007247B9"/>
    <w:rsid w:val="00727D85"/>
    <w:rsid w:val="007346C7"/>
    <w:rsid w:val="00736041"/>
    <w:rsid w:val="007408C7"/>
    <w:rsid w:val="0075110A"/>
    <w:rsid w:val="00752C7F"/>
    <w:rsid w:val="00752EE4"/>
    <w:rsid w:val="00776598"/>
    <w:rsid w:val="00796B2F"/>
    <w:rsid w:val="00796E84"/>
    <w:rsid w:val="007B3C3F"/>
    <w:rsid w:val="007C646E"/>
    <w:rsid w:val="007D2B3D"/>
    <w:rsid w:val="007E5CE8"/>
    <w:rsid w:val="007E6054"/>
    <w:rsid w:val="007F051D"/>
    <w:rsid w:val="007F5D21"/>
    <w:rsid w:val="00800C2D"/>
    <w:rsid w:val="0080323B"/>
    <w:rsid w:val="008142B4"/>
    <w:rsid w:val="00816D93"/>
    <w:rsid w:val="00832324"/>
    <w:rsid w:val="00836D1A"/>
    <w:rsid w:val="0085256D"/>
    <w:rsid w:val="00852A4C"/>
    <w:rsid w:val="00856BB4"/>
    <w:rsid w:val="00887EFB"/>
    <w:rsid w:val="0089106A"/>
    <w:rsid w:val="00896025"/>
    <w:rsid w:val="00896403"/>
    <w:rsid w:val="00897097"/>
    <w:rsid w:val="008D07C3"/>
    <w:rsid w:val="00902FD0"/>
    <w:rsid w:val="009053D3"/>
    <w:rsid w:val="00905AB4"/>
    <w:rsid w:val="00917613"/>
    <w:rsid w:val="0093111F"/>
    <w:rsid w:val="00935689"/>
    <w:rsid w:val="0093741D"/>
    <w:rsid w:val="009379BA"/>
    <w:rsid w:val="0094366B"/>
    <w:rsid w:val="00945324"/>
    <w:rsid w:val="009471AD"/>
    <w:rsid w:val="009520DC"/>
    <w:rsid w:val="00957837"/>
    <w:rsid w:val="0096189A"/>
    <w:rsid w:val="009663B6"/>
    <w:rsid w:val="00980286"/>
    <w:rsid w:val="00980972"/>
    <w:rsid w:val="009A4CD6"/>
    <w:rsid w:val="009A52BD"/>
    <w:rsid w:val="009B447F"/>
    <w:rsid w:val="009C0886"/>
    <w:rsid w:val="009C35F2"/>
    <w:rsid w:val="009C5DF2"/>
    <w:rsid w:val="009C7C43"/>
    <w:rsid w:val="009D0BE3"/>
    <w:rsid w:val="009D2BB9"/>
    <w:rsid w:val="009D41C8"/>
    <w:rsid w:val="009D7800"/>
    <w:rsid w:val="009E2173"/>
    <w:rsid w:val="009E21A7"/>
    <w:rsid w:val="009E3C42"/>
    <w:rsid w:val="009E3ED0"/>
    <w:rsid w:val="00A022AC"/>
    <w:rsid w:val="00A103ED"/>
    <w:rsid w:val="00A108F9"/>
    <w:rsid w:val="00A1212C"/>
    <w:rsid w:val="00A13C60"/>
    <w:rsid w:val="00A2431E"/>
    <w:rsid w:val="00A35800"/>
    <w:rsid w:val="00A36FA8"/>
    <w:rsid w:val="00A3777D"/>
    <w:rsid w:val="00A4020E"/>
    <w:rsid w:val="00A526DF"/>
    <w:rsid w:val="00A54DDE"/>
    <w:rsid w:val="00A55579"/>
    <w:rsid w:val="00A608F5"/>
    <w:rsid w:val="00A6161C"/>
    <w:rsid w:val="00A735C7"/>
    <w:rsid w:val="00A76644"/>
    <w:rsid w:val="00A84CAD"/>
    <w:rsid w:val="00A8703D"/>
    <w:rsid w:val="00A91487"/>
    <w:rsid w:val="00AA4BC3"/>
    <w:rsid w:val="00AA5CCF"/>
    <w:rsid w:val="00AB3733"/>
    <w:rsid w:val="00AE4CE1"/>
    <w:rsid w:val="00AE4EAB"/>
    <w:rsid w:val="00AF47E7"/>
    <w:rsid w:val="00AF6BB9"/>
    <w:rsid w:val="00AF6DE8"/>
    <w:rsid w:val="00B02AB9"/>
    <w:rsid w:val="00B05310"/>
    <w:rsid w:val="00B22AE8"/>
    <w:rsid w:val="00B24E44"/>
    <w:rsid w:val="00B9120F"/>
    <w:rsid w:val="00B924A4"/>
    <w:rsid w:val="00B92BB7"/>
    <w:rsid w:val="00B95FB9"/>
    <w:rsid w:val="00BB0D1A"/>
    <w:rsid w:val="00BB1D3B"/>
    <w:rsid w:val="00BC35ED"/>
    <w:rsid w:val="00BC55C3"/>
    <w:rsid w:val="00BE5D65"/>
    <w:rsid w:val="00BF238E"/>
    <w:rsid w:val="00BF6D5C"/>
    <w:rsid w:val="00C0076F"/>
    <w:rsid w:val="00C115E2"/>
    <w:rsid w:val="00C1646A"/>
    <w:rsid w:val="00C26824"/>
    <w:rsid w:val="00C3152D"/>
    <w:rsid w:val="00C33F28"/>
    <w:rsid w:val="00C41246"/>
    <w:rsid w:val="00C45E5F"/>
    <w:rsid w:val="00C60DA4"/>
    <w:rsid w:val="00C672F4"/>
    <w:rsid w:val="00C675DB"/>
    <w:rsid w:val="00C714D0"/>
    <w:rsid w:val="00C73E9D"/>
    <w:rsid w:val="00C75822"/>
    <w:rsid w:val="00C81F99"/>
    <w:rsid w:val="00C90969"/>
    <w:rsid w:val="00C97AFA"/>
    <w:rsid w:val="00CA134F"/>
    <w:rsid w:val="00CB16A9"/>
    <w:rsid w:val="00CB4FDE"/>
    <w:rsid w:val="00CB6ABE"/>
    <w:rsid w:val="00CE001C"/>
    <w:rsid w:val="00CE2CDF"/>
    <w:rsid w:val="00CE417B"/>
    <w:rsid w:val="00CE4CDF"/>
    <w:rsid w:val="00CF4E29"/>
    <w:rsid w:val="00CF6FB3"/>
    <w:rsid w:val="00CF7C81"/>
    <w:rsid w:val="00D002E5"/>
    <w:rsid w:val="00D13C41"/>
    <w:rsid w:val="00D151EB"/>
    <w:rsid w:val="00D22778"/>
    <w:rsid w:val="00D30378"/>
    <w:rsid w:val="00D32F02"/>
    <w:rsid w:val="00D344EC"/>
    <w:rsid w:val="00D41374"/>
    <w:rsid w:val="00D414F6"/>
    <w:rsid w:val="00D43056"/>
    <w:rsid w:val="00D454F1"/>
    <w:rsid w:val="00D53299"/>
    <w:rsid w:val="00D56BB9"/>
    <w:rsid w:val="00D60536"/>
    <w:rsid w:val="00D6439E"/>
    <w:rsid w:val="00D650CE"/>
    <w:rsid w:val="00D7094B"/>
    <w:rsid w:val="00D74B18"/>
    <w:rsid w:val="00D838CC"/>
    <w:rsid w:val="00D8758B"/>
    <w:rsid w:val="00D963BE"/>
    <w:rsid w:val="00DA7D09"/>
    <w:rsid w:val="00DB230B"/>
    <w:rsid w:val="00DC49E9"/>
    <w:rsid w:val="00DD70ED"/>
    <w:rsid w:val="00DE0B96"/>
    <w:rsid w:val="00DE260E"/>
    <w:rsid w:val="00DE4936"/>
    <w:rsid w:val="00DE583D"/>
    <w:rsid w:val="00DE754D"/>
    <w:rsid w:val="00DF0B13"/>
    <w:rsid w:val="00DF4A94"/>
    <w:rsid w:val="00E066C3"/>
    <w:rsid w:val="00E06753"/>
    <w:rsid w:val="00E11A6D"/>
    <w:rsid w:val="00E1337D"/>
    <w:rsid w:val="00E1353A"/>
    <w:rsid w:val="00E14D65"/>
    <w:rsid w:val="00E153FC"/>
    <w:rsid w:val="00E1564B"/>
    <w:rsid w:val="00E208A0"/>
    <w:rsid w:val="00E33FAC"/>
    <w:rsid w:val="00E376AA"/>
    <w:rsid w:val="00E41C8B"/>
    <w:rsid w:val="00E55D60"/>
    <w:rsid w:val="00E60C4B"/>
    <w:rsid w:val="00E628EA"/>
    <w:rsid w:val="00E677DD"/>
    <w:rsid w:val="00E85C2B"/>
    <w:rsid w:val="00E96DC6"/>
    <w:rsid w:val="00EA04C2"/>
    <w:rsid w:val="00EA31DE"/>
    <w:rsid w:val="00EB6C07"/>
    <w:rsid w:val="00EC028D"/>
    <w:rsid w:val="00EC5A94"/>
    <w:rsid w:val="00ED06CD"/>
    <w:rsid w:val="00ED633B"/>
    <w:rsid w:val="00EE0D19"/>
    <w:rsid w:val="00EE478C"/>
    <w:rsid w:val="00F11CFC"/>
    <w:rsid w:val="00F11DA1"/>
    <w:rsid w:val="00F35251"/>
    <w:rsid w:val="00F43923"/>
    <w:rsid w:val="00F5061E"/>
    <w:rsid w:val="00F53FC4"/>
    <w:rsid w:val="00F61326"/>
    <w:rsid w:val="00F66BF2"/>
    <w:rsid w:val="00F71E10"/>
    <w:rsid w:val="00F71E6D"/>
    <w:rsid w:val="00FC0754"/>
    <w:rsid w:val="00FC4A73"/>
    <w:rsid w:val="00FD13CD"/>
    <w:rsid w:val="00FE645A"/>
    <w:rsid w:val="00FF77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7825"/>
    <o:shapelayout v:ext="edit">
      <o:idmap v:ext="edit" data="1"/>
    </o:shapelayout>
  </w:shapeDefaults>
  <w:decimalSymbol w:val="."/>
  <w:listSeparator w:val=","/>
  <w14:docId w14:val="3FC0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800"/>
    <w:pPr>
      <w:spacing w:line="240" w:lineRule="auto"/>
    </w:pPr>
    <w:rPr>
      <w:sz w:val="24"/>
      <w:szCs w:val="24"/>
    </w:rPr>
  </w:style>
  <w:style w:type="paragraph" w:styleId="Heading1">
    <w:name w:val="heading 1"/>
    <w:basedOn w:val="Normal"/>
    <w:next w:val="Normal"/>
    <w:link w:val="Heading1Char"/>
    <w:uiPriority w:val="9"/>
    <w:qFormat/>
    <w:rsid w:val="001D390D"/>
    <w:pPr>
      <w:keepNext/>
      <w:keepLines/>
      <w:spacing w:before="480" w:after="24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A4BC3"/>
    <w:pPr>
      <w:keepNext/>
      <w:keepLines/>
      <w:spacing w:before="360" w:after="240"/>
      <w:outlineLvl w:val="1"/>
    </w:pPr>
    <w:rPr>
      <w:rFonts w:eastAsiaTheme="majorEastAsia" w:cstheme="majorBidi"/>
      <w:b/>
      <w:bCs/>
      <w:sz w:val="32"/>
    </w:rPr>
  </w:style>
  <w:style w:type="paragraph" w:styleId="Heading3">
    <w:name w:val="heading 3"/>
    <w:basedOn w:val="Heading2"/>
    <w:next w:val="Normal"/>
    <w:link w:val="Heading3Char"/>
    <w:uiPriority w:val="9"/>
    <w:unhideWhenUsed/>
    <w:qFormat/>
    <w:rsid w:val="00AA4BC3"/>
    <w:pPr>
      <w:outlineLvl w:val="2"/>
    </w:pPr>
    <w:rPr>
      <w:sz w:val="28"/>
      <w:szCs w:val="32"/>
    </w:rPr>
  </w:style>
  <w:style w:type="paragraph" w:styleId="Heading4">
    <w:name w:val="heading 4"/>
    <w:basedOn w:val="Heading3"/>
    <w:next w:val="Normal"/>
    <w:link w:val="Heading4Char"/>
    <w:uiPriority w:val="9"/>
    <w:unhideWhenUsed/>
    <w:qFormat/>
    <w:rsid w:val="00A526DF"/>
    <w:pPr>
      <w:outlineLvl w:val="3"/>
    </w:pPr>
    <w:rPr>
      <w:i/>
      <w:sz w:val="24"/>
      <w:szCs w:val="28"/>
    </w:rPr>
  </w:style>
  <w:style w:type="paragraph" w:styleId="Heading5">
    <w:name w:val="heading 5"/>
    <w:basedOn w:val="Heading4"/>
    <w:next w:val="Normal"/>
    <w:link w:val="Heading5Char"/>
    <w:uiPriority w:val="9"/>
    <w:unhideWhenUsed/>
    <w:qFormat/>
    <w:rsid w:val="004F1E15"/>
    <w:pPr>
      <w:outlineLvl w:val="4"/>
    </w:pPr>
    <w:rPr>
      <w:i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0D"/>
    <w:rPr>
      <w:rFonts w:eastAsiaTheme="majorEastAsia" w:cstheme="majorBidi"/>
      <w:b/>
      <w:bCs/>
      <w:sz w:val="40"/>
      <w:szCs w:val="28"/>
    </w:rPr>
  </w:style>
  <w:style w:type="character" w:customStyle="1" w:styleId="Heading2Char">
    <w:name w:val="Heading 2 Char"/>
    <w:basedOn w:val="DefaultParagraphFont"/>
    <w:link w:val="Heading2"/>
    <w:uiPriority w:val="9"/>
    <w:rsid w:val="00AA4BC3"/>
    <w:rPr>
      <w:rFonts w:eastAsiaTheme="majorEastAsia" w:cstheme="majorBidi"/>
      <w:b/>
      <w:bCs/>
      <w:sz w:val="32"/>
      <w:szCs w:val="24"/>
    </w:rPr>
  </w:style>
  <w:style w:type="character" w:customStyle="1" w:styleId="Heading3Char">
    <w:name w:val="Heading 3 Char"/>
    <w:basedOn w:val="DefaultParagraphFont"/>
    <w:link w:val="Heading3"/>
    <w:uiPriority w:val="9"/>
    <w:rsid w:val="00AA4BC3"/>
    <w:rPr>
      <w:rFonts w:eastAsiaTheme="majorEastAsia" w:cstheme="majorBidi"/>
      <w:b/>
      <w:bCs/>
      <w:sz w:val="28"/>
      <w:szCs w:val="32"/>
    </w:rPr>
  </w:style>
  <w:style w:type="paragraph" w:styleId="BalloonText">
    <w:name w:val="Balloon Text"/>
    <w:basedOn w:val="Normal"/>
    <w:link w:val="BalloonTextChar"/>
    <w:uiPriority w:val="99"/>
    <w:semiHidden/>
    <w:unhideWhenUsed/>
    <w:rsid w:val="005915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12"/>
    <w:rPr>
      <w:rFonts w:ascii="Tahoma" w:hAnsi="Tahoma" w:cs="Tahoma"/>
      <w:sz w:val="16"/>
      <w:szCs w:val="16"/>
    </w:rPr>
  </w:style>
  <w:style w:type="character" w:styleId="CommentReference">
    <w:name w:val="annotation reference"/>
    <w:basedOn w:val="DefaultParagraphFont"/>
    <w:uiPriority w:val="99"/>
    <w:semiHidden/>
    <w:unhideWhenUsed/>
    <w:rsid w:val="00E677DD"/>
    <w:rPr>
      <w:sz w:val="16"/>
      <w:szCs w:val="16"/>
    </w:rPr>
  </w:style>
  <w:style w:type="paragraph" w:styleId="CommentText">
    <w:name w:val="annotation text"/>
    <w:basedOn w:val="Normal"/>
    <w:link w:val="CommentTextChar"/>
    <w:uiPriority w:val="99"/>
    <w:semiHidden/>
    <w:unhideWhenUsed/>
    <w:rsid w:val="00E677DD"/>
    <w:rPr>
      <w:sz w:val="20"/>
      <w:szCs w:val="20"/>
    </w:rPr>
  </w:style>
  <w:style w:type="character" w:customStyle="1" w:styleId="CommentTextChar">
    <w:name w:val="Comment Text Char"/>
    <w:basedOn w:val="DefaultParagraphFont"/>
    <w:link w:val="CommentText"/>
    <w:uiPriority w:val="99"/>
    <w:semiHidden/>
    <w:rsid w:val="00E677DD"/>
    <w:rPr>
      <w:sz w:val="20"/>
      <w:szCs w:val="20"/>
    </w:rPr>
  </w:style>
  <w:style w:type="paragraph" w:styleId="CommentSubject">
    <w:name w:val="annotation subject"/>
    <w:basedOn w:val="CommentText"/>
    <w:next w:val="CommentText"/>
    <w:link w:val="CommentSubjectChar"/>
    <w:uiPriority w:val="99"/>
    <w:semiHidden/>
    <w:unhideWhenUsed/>
    <w:rsid w:val="00E677DD"/>
    <w:rPr>
      <w:b/>
      <w:bCs/>
    </w:rPr>
  </w:style>
  <w:style w:type="character" w:customStyle="1" w:styleId="CommentSubjectChar">
    <w:name w:val="Comment Subject Char"/>
    <w:basedOn w:val="CommentTextChar"/>
    <w:link w:val="CommentSubject"/>
    <w:uiPriority w:val="99"/>
    <w:semiHidden/>
    <w:rsid w:val="00E677DD"/>
    <w:rPr>
      <w:b/>
      <w:bCs/>
      <w:sz w:val="20"/>
      <w:szCs w:val="20"/>
    </w:rPr>
  </w:style>
  <w:style w:type="character" w:customStyle="1" w:styleId="Heading4Char">
    <w:name w:val="Heading 4 Char"/>
    <w:basedOn w:val="DefaultParagraphFont"/>
    <w:link w:val="Heading4"/>
    <w:uiPriority w:val="9"/>
    <w:rsid w:val="00A526DF"/>
    <w:rPr>
      <w:rFonts w:eastAsiaTheme="majorEastAsia" w:cstheme="majorBidi"/>
      <w:b/>
      <w:bCs/>
      <w:i/>
      <w:sz w:val="24"/>
      <w:szCs w:val="28"/>
    </w:rPr>
  </w:style>
  <w:style w:type="character" w:customStyle="1" w:styleId="Heading5Char">
    <w:name w:val="Heading 5 Char"/>
    <w:basedOn w:val="DefaultParagraphFont"/>
    <w:link w:val="Heading5"/>
    <w:uiPriority w:val="9"/>
    <w:rsid w:val="004F1E15"/>
    <w:rPr>
      <w:rFonts w:eastAsiaTheme="majorEastAsia" w:cstheme="majorBidi"/>
      <w:b/>
      <w:bCs/>
      <w:i/>
      <w:sz w:val="24"/>
      <w:szCs w:val="24"/>
    </w:rPr>
  </w:style>
  <w:style w:type="paragraph" w:styleId="Title">
    <w:name w:val="Title"/>
    <w:basedOn w:val="Normal"/>
    <w:next w:val="Normal"/>
    <w:link w:val="TitleChar"/>
    <w:uiPriority w:val="10"/>
    <w:qFormat/>
    <w:rsid w:val="00FE645A"/>
    <w:pPr>
      <w:spacing w:after="24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E645A"/>
    <w:rPr>
      <w:rFonts w:eastAsiaTheme="majorEastAsia" w:cstheme="majorBidi"/>
      <w:b/>
      <w:spacing w:val="5"/>
      <w:kern w:val="28"/>
      <w:sz w:val="52"/>
      <w:szCs w:val="52"/>
    </w:rPr>
  </w:style>
  <w:style w:type="paragraph" w:styleId="Footer">
    <w:name w:val="footer"/>
    <w:basedOn w:val="Normal"/>
    <w:link w:val="FooterChar"/>
    <w:uiPriority w:val="99"/>
    <w:unhideWhenUsed/>
    <w:rsid w:val="00705DAD"/>
    <w:pPr>
      <w:tabs>
        <w:tab w:val="center" w:pos="4320"/>
        <w:tab w:val="right" w:pos="8640"/>
      </w:tabs>
      <w:spacing w:after="0"/>
    </w:pPr>
  </w:style>
  <w:style w:type="character" w:customStyle="1" w:styleId="FooterChar">
    <w:name w:val="Footer Char"/>
    <w:basedOn w:val="DefaultParagraphFont"/>
    <w:link w:val="Footer"/>
    <w:uiPriority w:val="99"/>
    <w:rsid w:val="00705DAD"/>
    <w:rPr>
      <w:rFonts w:ascii="Lucida Bright" w:hAnsi="Lucida Bright"/>
      <w:sz w:val="24"/>
      <w:szCs w:val="24"/>
    </w:rPr>
  </w:style>
  <w:style w:type="character" w:styleId="PageNumber">
    <w:name w:val="page number"/>
    <w:basedOn w:val="DefaultParagraphFont"/>
    <w:uiPriority w:val="99"/>
    <w:semiHidden/>
    <w:unhideWhenUsed/>
    <w:rsid w:val="00705DAD"/>
  </w:style>
  <w:style w:type="paragraph" w:styleId="Header">
    <w:name w:val="header"/>
    <w:basedOn w:val="Normal"/>
    <w:link w:val="HeaderChar"/>
    <w:uiPriority w:val="99"/>
    <w:unhideWhenUsed/>
    <w:rsid w:val="00705DAD"/>
    <w:pPr>
      <w:tabs>
        <w:tab w:val="center" w:pos="4320"/>
        <w:tab w:val="right" w:pos="8640"/>
      </w:tabs>
      <w:spacing w:after="0"/>
    </w:pPr>
  </w:style>
  <w:style w:type="character" w:customStyle="1" w:styleId="HeaderChar">
    <w:name w:val="Header Char"/>
    <w:basedOn w:val="DefaultParagraphFont"/>
    <w:link w:val="Header"/>
    <w:uiPriority w:val="99"/>
    <w:rsid w:val="00705DAD"/>
    <w:rPr>
      <w:rFonts w:ascii="Lucida Bright" w:hAnsi="Lucida Bright"/>
      <w:sz w:val="24"/>
      <w:szCs w:val="24"/>
    </w:rPr>
  </w:style>
  <w:style w:type="paragraph" w:styleId="DocumentMap">
    <w:name w:val="Document Map"/>
    <w:basedOn w:val="Normal"/>
    <w:link w:val="DocumentMapChar"/>
    <w:uiPriority w:val="99"/>
    <w:semiHidden/>
    <w:unhideWhenUsed/>
    <w:rsid w:val="0083232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832324"/>
    <w:rPr>
      <w:rFonts w:ascii="Lucida Grande" w:hAnsi="Lucida Grande" w:cs="Lucida Grande"/>
      <w:sz w:val="24"/>
      <w:szCs w:val="24"/>
    </w:rPr>
  </w:style>
  <w:style w:type="table" w:styleId="TableGrid">
    <w:name w:val="Table Grid"/>
    <w:basedOn w:val="TableNormal"/>
    <w:uiPriority w:val="59"/>
    <w:rsid w:val="0014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writing">
    <w:name w:val="Table writing"/>
    <w:basedOn w:val="Normal"/>
    <w:qFormat/>
    <w:rsid w:val="001420B3"/>
    <w:pPr>
      <w:autoSpaceDE w:val="0"/>
      <w:autoSpaceDN w:val="0"/>
      <w:adjustRightInd w:val="0"/>
      <w:spacing w:before="60" w:after="60"/>
    </w:pPr>
    <w:rPr>
      <w:rFonts w:cs="Calibri"/>
      <w:color w:val="000000"/>
      <w:sz w:val="20"/>
      <w:szCs w:val="20"/>
    </w:rPr>
  </w:style>
  <w:style w:type="paragraph" w:customStyle="1" w:styleId="Tableheading">
    <w:name w:val="Table heading"/>
    <w:basedOn w:val="Normal"/>
    <w:qFormat/>
    <w:rsid w:val="001420B3"/>
    <w:pPr>
      <w:autoSpaceDE w:val="0"/>
      <w:autoSpaceDN w:val="0"/>
      <w:adjustRightInd w:val="0"/>
      <w:spacing w:before="60" w:after="60"/>
      <w:jc w:val="center"/>
    </w:pPr>
    <w:rPr>
      <w:rFonts w:cs="Calibri"/>
      <w:b/>
    </w:rPr>
  </w:style>
  <w:style w:type="paragraph" w:customStyle="1" w:styleId="Char2CharCharCharZchnZchnCharCharCharCharCharCharCharCharCharCharCharCharCharCharCharCharCharCharCharCharCharCharCharChar1CharCharCharCharCharCharCharCharCharCharCharChar1Char">
    <w:name w:val="Char2 Char Char Char Zchn Zchn Char Char Char Char Char Char Char Char Char Char Char Char Char Char Char Char Char Char Char Char Char Char Char Char1 Char Char Char Char Char Char Char Char Char Char Char Char1 Char"/>
    <w:basedOn w:val="Normal"/>
    <w:rsid w:val="00ED633B"/>
    <w:pPr>
      <w:spacing w:after="160" w:line="240" w:lineRule="exact"/>
    </w:pPr>
    <w:rPr>
      <w:rFonts w:ascii="Verdana" w:eastAsia="MS Mincho" w:hAnsi="Verdana" w:cs="Verdana"/>
      <w:sz w:val="20"/>
      <w:szCs w:val="20"/>
      <w:lang w:val="en-US" w:eastAsia="en-US"/>
    </w:rPr>
  </w:style>
  <w:style w:type="paragraph" w:customStyle="1" w:styleId="Notes">
    <w:name w:val="Notes"/>
    <w:basedOn w:val="Normal"/>
    <w:qFormat/>
    <w:rsid w:val="003370D0"/>
    <w:rPr>
      <w:rFonts w:cs="Baskerville"/>
      <w:sz w:val="20"/>
      <w:szCs w:val="20"/>
    </w:rPr>
  </w:style>
  <w:style w:type="paragraph" w:customStyle="1" w:styleId="Tabletitle">
    <w:name w:val="Table title"/>
    <w:basedOn w:val="Heading4"/>
    <w:link w:val="TabletitleChar"/>
    <w:qFormat/>
    <w:rsid w:val="002F63ED"/>
    <w:pPr>
      <w:spacing w:before="200" w:after="20"/>
    </w:pPr>
    <w:rPr>
      <w:szCs w:val="24"/>
    </w:rPr>
  </w:style>
  <w:style w:type="paragraph" w:customStyle="1" w:styleId="Figurecaption">
    <w:name w:val="Figure caption"/>
    <w:basedOn w:val="Normal"/>
    <w:link w:val="FigurecaptionChar"/>
    <w:qFormat/>
    <w:rsid w:val="00FE645A"/>
    <w:pPr>
      <w:spacing w:before="60" w:after="60"/>
    </w:pPr>
    <w:rPr>
      <w:sz w:val="20"/>
      <w:szCs w:val="20"/>
      <w:lang w:eastAsia="en-US"/>
    </w:rPr>
  </w:style>
  <w:style w:type="character" w:customStyle="1" w:styleId="FigurecaptionChar">
    <w:name w:val="Figure caption Char"/>
    <w:basedOn w:val="DefaultParagraphFont"/>
    <w:link w:val="Figurecaption"/>
    <w:rsid w:val="00FE645A"/>
    <w:rPr>
      <w:sz w:val="20"/>
      <w:szCs w:val="20"/>
      <w:lang w:eastAsia="en-US"/>
    </w:rPr>
  </w:style>
  <w:style w:type="paragraph" w:styleId="FootnoteText">
    <w:name w:val="footnote text"/>
    <w:basedOn w:val="Normal"/>
    <w:link w:val="FootnoteTextChar"/>
    <w:uiPriority w:val="99"/>
    <w:semiHidden/>
    <w:unhideWhenUsed/>
    <w:rsid w:val="008142B4"/>
    <w:pPr>
      <w:spacing w:after="0"/>
    </w:pPr>
    <w:rPr>
      <w:sz w:val="18"/>
      <w:szCs w:val="20"/>
    </w:rPr>
  </w:style>
  <w:style w:type="character" w:customStyle="1" w:styleId="FootnoteTextChar">
    <w:name w:val="Footnote Text Char"/>
    <w:basedOn w:val="DefaultParagraphFont"/>
    <w:link w:val="FootnoteText"/>
    <w:uiPriority w:val="99"/>
    <w:semiHidden/>
    <w:rsid w:val="008142B4"/>
    <w:rPr>
      <w:sz w:val="18"/>
      <w:szCs w:val="20"/>
    </w:rPr>
  </w:style>
  <w:style w:type="character" w:styleId="FootnoteReference">
    <w:name w:val="footnote reference"/>
    <w:basedOn w:val="DefaultParagraphFont"/>
    <w:uiPriority w:val="99"/>
    <w:semiHidden/>
    <w:unhideWhenUsed/>
    <w:rsid w:val="008142B4"/>
    <w:rPr>
      <w:vertAlign w:val="superscript"/>
    </w:rPr>
  </w:style>
  <w:style w:type="character" w:customStyle="1" w:styleId="TabletitleChar">
    <w:name w:val="Table title Char"/>
    <w:basedOn w:val="Heading4Char"/>
    <w:link w:val="Tabletitle"/>
    <w:rsid w:val="002F63ED"/>
    <w:rPr>
      <w:rFonts w:eastAsiaTheme="majorEastAsia" w:cstheme="majorBidi"/>
      <w:b/>
      <w:bCs/>
      <w:i/>
      <w:sz w:val="24"/>
      <w:szCs w:val="24"/>
    </w:rPr>
  </w:style>
  <w:style w:type="paragraph" w:customStyle="1" w:styleId="Figuretitle">
    <w:name w:val="Figure title"/>
    <w:basedOn w:val="Tabletitle"/>
    <w:link w:val="FiguretitleChar"/>
    <w:qFormat/>
    <w:rsid w:val="00D60536"/>
    <w:pPr>
      <w:spacing w:before="60" w:after="60"/>
    </w:pPr>
    <w:rPr>
      <w:lang w:val="en-US"/>
    </w:rPr>
  </w:style>
  <w:style w:type="character" w:customStyle="1" w:styleId="FiguretitleChar">
    <w:name w:val="Figure title Char"/>
    <w:basedOn w:val="TabletitleChar"/>
    <w:link w:val="Figuretitle"/>
    <w:rsid w:val="00D60536"/>
    <w:rPr>
      <w:rFonts w:eastAsiaTheme="majorEastAsia" w:cstheme="majorBidi"/>
      <w:b/>
      <w:bCs/>
      <w:i/>
      <w:sz w:val="24"/>
      <w:szCs w:val="24"/>
      <w:lang w:val="en-US"/>
    </w:rPr>
  </w:style>
  <w:style w:type="paragraph" w:styleId="NoSpacing">
    <w:name w:val="No Spacing"/>
    <w:uiPriority w:val="1"/>
    <w:qFormat/>
    <w:rsid w:val="00BB0D1A"/>
    <w:pPr>
      <w:spacing w:after="0" w:line="240" w:lineRule="auto"/>
    </w:pPr>
    <w:rPr>
      <w:sz w:val="24"/>
      <w:szCs w:val="24"/>
    </w:rPr>
  </w:style>
  <w:style w:type="character" w:styleId="Hyperlink">
    <w:name w:val="Hyperlink"/>
    <w:basedOn w:val="DefaultParagraphFont"/>
    <w:uiPriority w:val="99"/>
    <w:unhideWhenUsed/>
    <w:rsid w:val="00561CB4"/>
    <w:rPr>
      <w:color w:val="0000FF" w:themeColor="hyperlink"/>
      <w:u w:val="single"/>
    </w:rPr>
  </w:style>
  <w:style w:type="paragraph" w:styleId="Subtitle">
    <w:name w:val="Subtitle"/>
    <w:basedOn w:val="Heading1"/>
    <w:next w:val="Normal"/>
    <w:link w:val="SubtitleChar"/>
    <w:uiPriority w:val="11"/>
    <w:qFormat/>
    <w:rsid w:val="00252D19"/>
  </w:style>
  <w:style w:type="character" w:customStyle="1" w:styleId="SubtitleChar">
    <w:name w:val="Subtitle Char"/>
    <w:basedOn w:val="DefaultParagraphFont"/>
    <w:link w:val="Subtitle"/>
    <w:uiPriority w:val="11"/>
    <w:rsid w:val="00252D19"/>
    <w:rPr>
      <w:rFonts w:eastAsiaTheme="majorEastAsia" w:cstheme="majorBidi"/>
      <w:b/>
      <w:bCs/>
      <w:sz w:val="40"/>
      <w:szCs w:val="28"/>
    </w:rPr>
  </w:style>
  <w:style w:type="paragraph" w:styleId="ListParagraph">
    <w:name w:val="List Paragraph"/>
    <w:basedOn w:val="Normal"/>
    <w:link w:val="ListParagraphChar"/>
    <w:uiPriority w:val="34"/>
    <w:qFormat/>
    <w:rsid w:val="00543DFE"/>
    <w:pPr>
      <w:ind w:left="720"/>
      <w:contextualSpacing/>
    </w:pPr>
  </w:style>
  <w:style w:type="character" w:customStyle="1" w:styleId="ListParagraphChar">
    <w:name w:val="List Paragraph Char"/>
    <w:link w:val="ListParagraph"/>
    <w:uiPriority w:val="72"/>
    <w:locked/>
    <w:rsid w:val="00E96DC6"/>
    <w:rPr>
      <w:sz w:val="24"/>
      <w:szCs w:val="24"/>
    </w:rPr>
  </w:style>
  <w:style w:type="paragraph" w:styleId="EndnoteText">
    <w:name w:val="endnote text"/>
    <w:basedOn w:val="Normal"/>
    <w:link w:val="EndnoteTextChar"/>
    <w:uiPriority w:val="99"/>
    <w:semiHidden/>
    <w:unhideWhenUsed/>
    <w:rsid w:val="00E96DC6"/>
    <w:pPr>
      <w:spacing w:after="0"/>
    </w:pPr>
    <w:rPr>
      <w:sz w:val="20"/>
      <w:szCs w:val="20"/>
    </w:rPr>
  </w:style>
  <w:style w:type="character" w:customStyle="1" w:styleId="EndnoteTextChar">
    <w:name w:val="Endnote Text Char"/>
    <w:basedOn w:val="DefaultParagraphFont"/>
    <w:link w:val="EndnoteText"/>
    <w:uiPriority w:val="99"/>
    <w:semiHidden/>
    <w:rsid w:val="00E96DC6"/>
    <w:rPr>
      <w:sz w:val="20"/>
      <w:szCs w:val="20"/>
    </w:rPr>
  </w:style>
  <w:style w:type="character" w:styleId="EndnoteReference">
    <w:name w:val="endnote reference"/>
    <w:basedOn w:val="DefaultParagraphFont"/>
    <w:uiPriority w:val="99"/>
    <w:semiHidden/>
    <w:unhideWhenUsed/>
    <w:rsid w:val="00E96DC6"/>
    <w:rPr>
      <w:vertAlign w:val="superscript"/>
    </w:rPr>
  </w:style>
  <w:style w:type="paragraph" w:customStyle="1" w:styleId="DepartmentalHeading2">
    <w:name w:val="Departmental Heading 2"/>
    <w:basedOn w:val="Heading2"/>
    <w:rsid w:val="00DE583D"/>
    <w:pPr>
      <w:keepLines w:val="0"/>
      <w:spacing w:before="600" w:after="60"/>
    </w:pPr>
    <w:rPr>
      <w:rFonts w:ascii="Arial" w:eastAsia="Times New Roman" w:hAnsi="Arial" w:cs="Times New Roman"/>
      <w:bCs w:val="0"/>
      <w:i/>
      <w:szCs w:val="20"/>
    </w:rPr>
  </w:style>
  <w:style w:type="paragraph" w:customStyle="1" w:styleId="DepartmentalHeading3">
    <w:name w:val="Departmental Heading 3"/>
    <w:basedOn w:val="Heading3"/>
    <w:rsid w:val="00DE583D"/>
    <w:pPr>
      <w:keepLines w:val="0"/>
      <w:spacing w:before="600" w:after="60"/>
    </w:pPr>
    <w:rPr>
      <w:rFonts w:ascii="Arial" w:eastAsia="Times New Roman" w:hAnsi="Arial" w:cs="Times New Roman"/>
      <w:b w:val="0"/>
      <w:bCs w:val="0"/>
      <w:i/>
      <w:sz w:val="24"/>
      <w:szCs w:val="20"/>
    </w:rPr>
  </w:style>
  <w:style w:type="paragraph" w:customStyle="1" w:styleId="DepartmentalNormal">
    <w:name w:val="Departmental Normal"/>
    <w:basedOn w:val="Normal"/>
    <w:rsid w:val="00DE583D"/>
    <w:pPr>
      <w:spacing w:after="0"/>
    </w:pPr>
    <w:rPr>
      <w:rFonts w:ascii="Times New Roman" w:eastAsia="Times New Roman" w:hAnsi="Times New Roman" w:cs="Times New Roman"/>
      <w:szCs w:val="20"/>
    </w:rPr>
  </w:style>
  <w:style w:type="character" w:styleId="Emphasis">
    <w:name w:val="Emphasis"/>
    <w:basedOn w:val="DefaultParagraphFont"/>
    <w:uiPriority w:val="20"/>
    <w:qFormat/>
    <w:rsid w:val="00DE583D"/>
    <w:rPr>
      <w:i/>
      <w:iCs/>
    </w:rPr>
  </w:style>
  <w:style w:type="paragraph" w:styleId="BodyTextIndent2">
    <w:name w:val="Body Text Indent 2"/>
    <w:basedOn w:val="Normal"/>
    <w:link w:val="BodyTextIndent2Char"/>
    <w:rsid w:val="00DE583D"/>
    <w:pPr>
      <w:spacing w:after="0"/>
      <w:ind w:left="2268"/>
      <w:outlineLvl w:val="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DE583D"/>
    <w:rPr>
      <w:rFonts w:ascii="Times New Roman" w:eastAsia="Times New Roman" w:hAnsi="Times New Roman" w:cs="Times New Roman"/>
      <w:sz w:val="24"/>
      <w:szCs w:val="20"/>
    </w:rPr>
  </w:style>
  <w:style w:type="paragraph" w:customStyle="1" w:styleId="TableTitleF">
    <w:name w:val="Table Title F"/>
    <w:basedOn w:val="Normal"/>
    <w:next w:val="BodyText"/>
    <w:qFormat/>
    <w:rsid w:val="00DE583D"/>
    <w:pPr>
      <w:keepNext/>
      <w:numPr>
        <w:numId w:val="8"/>
      </w:numPr>
      <w:spacing w:after="120"/>
      <w:jc w:val="both"/>
    </w:pPr>
    <w:rPr>
      <w:rFonts w:ascii="Arial" w:eastAsia="Times New Roman" w:hAnsi="Arial" w:cs="Times New Roman"/>
      <w:b/>
      <w:sz w:val="20"/>
      <w:lang w:eastAsia="en-US"/>
    </w:rPr>
  </w:style>
  <w:style w:type="paragraph" w:customStyle="1" w:styleId="TableFigureFootnote">
    <w:name w:val="Table &amp; Figure Footnote"/>
    <w:basedOn w:val="BodyText"/>
    <w:next w:val="BodyText"/>
    <w:qFormat/>
    <w:rsid w:val="00DE583D"/>
    <w:pPr>
      <w:spacing w:before="20" w:after="20"/>
      <w:jc w:val="both"/>
    </w:pPr>
    <w:rPr>
      <w:rFonts w:ascii="Arial" w:eastAsia="Times New Roman" w:hAnsi="Arial" w:cs="Times New Roman"/>
      <w:sz w:val="16"/>
      <w:lang w:eastAsia="en-US"/>
    </w:rPr>
  </w:style>
  <w:style w:type="paragraph" w:customStyle="1" w:styleId="Default">
    <w:name w:val="Default"/>
    <w:rsid w:val="00DE583D"/>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BodyText">
    <w:name w:val="Body Text"/>
    <w:basedOn w:val="Normal"/>
    <w:link w:val="BodyTextChar"/>
    <w:uiPriority w:val="99"/>
    <w:semiHidden/>
    <w:unhideWhenUsed/>
    <w:rsid w:val="00DE583D"/>
    <w:pPr>
      <w:spacing w:after="120"/>
    </w:pPr>
  </w:style>
  <w:style w:type="character" w:customStyle="1" w:styleId="BodyTextChar">
    <w:name w:val="Body Text Char"/>
    <w:basedOn w:val="DefaultParagraphFont"/>
    <w:link w:val="BodyText"/>
    <w:uiPriority w:val="99"/>
    <w:semiHidden/>
    <w:rsid w:val="00DE583D"/>
    <w:rPr>
      <w:sz w:val="24"/>
      <w:szCs w:val="24"/>
    </w:rPr>
  </w:style>
  <w:style w:type="character" w:styleId="FollowedHyperlink">
    <w:name w:val="FollowedHyperlink"/>
    <w:basedOn w:val="DefaultParagraphFont"/>
    <w:uiPriority w:val="99"/>
    <w:semiHidden/>
    <w:unhideWhenUsed/>
    <w:rsid w:val="00DE583D"/>
    <w:rPr>
      <w:color w:val="800080" w:themeColor="followedHyperlink"/>
      <w:u w:val="single"/>
    </w:rPr>
  </w:style>
  <w:style w:type="table" w:customStyle="1" w:styleId="TableGrid1">
    <w:name w:val="Table Grid1"/>
    <w:basedOn w:val="TableNormal"/>
    <w:next w:val="TableGrid"/>
    <w:uiPriority w:val="59"/>
    <w:rsid w:val="00DE583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583D"/>
    <w:pPr>
      <w:spacing w:after="0" w:line="240" w:lineRule="auto"/>
    </w:pPr>
    <w:rPr>
      <w:sz w:val="24"/>
      <w:szCs w:val="24"/>
    </w:rPr>
  </w:style>
  <w:style w:type="paragraph" w:styleId="NormalWeb">
    <w:name w:val="Normal (Web)"/>
    <w:basedOn w:val="Normal"/>
    <w:uiPriority w:val="99"/>
    <w:semiHidden/>
    <w:unhideWhenUsed/>
    <w:rsid w:val="00DE583D"/>
    <w:pPr>
      <w:spacing w:before="100" w:beforeAutospacing="1" w:after="100" w:afterAutospacing="1"/>
    </w:pPr>
    <w:rPr>
      <w:rFonts w:ascii="Times New Roman" w:eastAsia="Times New Roman" w:hAnsi="Times New Roman" w:cs="Times New Roman"/>
    </w:rPr>
  </w:style>
  <w:style w:type="character" w:customStyle="1" w:styleId="superstext">
    <w:name w:val="superstext"/>
    <w:basedOn w:val="DefaultParagraphFont"/>
    <w:rsid w:val="00DE583D"/>
  </w:style>
  <w:style w:type="character" w:styleId="Strong">
    <w:name w:val="Strong"/>
    <w:basedOn w:val="DefaultParagraphFont"/>
    <w:uiPriority w:val="22"/>
    <w:qFormat/>
    <w:rsid w:val="00AA4BC3"/>
    <w:rPr>
      <w:i/>
      <w:sz w:val="24"/>
    </w:rPr>
  </w:style>
  <w:style w:type="character" w:styleId="PlaceholderText">
    <w:name w:val="Placeholder Text"/>
    <w:basedOn w:val="DefaultParagraphFont"/>
    <w:uiPriority w:val="99"/>
    <w:semiHidden/>
    <w:rsid w:val="00CF7C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800"/>
    <w:pPr>
      <w:spacing w:line="240" w:lineRule="auto"/>
    </w:pPr>
    <w:rPr>
      <w:sz w:val="24"/>
      <w:szCs w:val="24"/>
    </w:rPr>
  </w:style>
  <w:style w:type="paragraph" w:styleId="Heading1">
    <w:name w:val="heading 1"/>
    <w:basedOn w:val="Normal"/>
    <w:next w:val="Normal"/>
    <w:link w:val="Heading1Char"/>
    <w:uiPriority w:val="9"/>
    <w:qFormat/>
    <w:rsid w:val="001D390D"/>
    <w:pPr>
      <w:keepNext/>
      <w:keepLines/>
      <w:spacing w:before="480" w:after="24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A4BC3"/>
    <w:pPr>
      <w:keepNext/>
      <w:keepLines/>
      <w:spacing w:before="360" w:after="240"/>
      <w:outlineLvl w:val="1"/>
    </w:pPr>
    <w:rPr>
      <w:rFonts w:eastAsiaTheme="majorEastAsia" w:cstheme="majorBidi"/>
      <w:b/>
      <w:bCs/>
      <w:sz w:val="32"/>
    </w:rPr>
  </w:style>
  <w:style w:type="paragraph" w:styleId="Heading3">
    <w:name w:val="heading 3"/>
    <w:basedOn w:val="Heading2"/>
    <w:next w:val="Normal"/>
    <w:link w:val="Heading3Char"/>
    <w:uiPriority w:val="9"/>
    <w:unhideWhenUsed/>
    <w:qFormat/>
    <w:rsid w:val="00AA4BC3"/>
    <w:pPr>
      <w:outlineLvl w:val="2"/>
    </w:pPr>
    <w:rPr>
      <w:sz w:val="28"/>
      <w:szCs w:val="32"/>
    </w:rPr>
  </w:style>
  <w:style w:type="paragraph" w:styleId="Heading4">
    <w:name w:val="heading 4"/>
    <w:basedOn w:val="Heading3"/>
    <w:next w:val="Normal"/>
    <w:link w:val="Heading4Char"/>
    <w:uiPriority w:val="9"/>
    <w:unhideWhenUsed/>
    <w:qFormat/>
    <w:rsid w:val="00A526DF"/>
    <w:pPr>
      <w:outlineLvl w:val="3"/>
    </w:pPr>
    <w:rPr>
      <w:i/>
      <w:sz w:val="24"/>
      <w:szCs w:val="28"/>
    </w:rPr>
  </w:style>
  <w:style w:type="paragraph" w:styleId="Heading5">
    <w:name w:val="heading 5"/>
    <w:basedOn w:val="Heading4"/>
    <w:next w:val="Normal"/>
    <w:link w:val="Heading5Char"/>
    <w:uiPriority w:val="9"/>
    <w:unhideWhenUsed/>
    <w:qFormat/>
    <w:rsid w:val="004F1E15"/>
    <w:pPr>
      <w:outlineLvl w:val="4"/>
    </w:pPr>
    <w:rPr>
      <w:i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0D"/>
    <w:rPr>
      <w:rFonts w:eastAsiaTheme="majorEastAsia" w:cstheme="majorBidi"/>
      <w:b/>
      <w:bCs/>
      <w:sz w:val="40"/>
      <w:szCs w:val="28"/>
    </w:rPr>
  </w:style>
  <w:style w:type="character" w:customStyle="1" w:styleId="Heading2Char">
    <w:name w:val="Heading 2 Char"/>
    <w:basedOn w:val="DefaultParagraphFont"/>
    <w:link w:val="Heading2"/>
    <w:uiPriority w:val="9"/>
    <w:rsid w:val="00AA4BC3"/>
    <w:rPr>
      <w:rFonts w:eastAsiaTheme="majorEastAsia" w:cstheme="majorBidi"/>
      <w:b/>
      <w:bCs/>
      <w:sz w:val="32"/>
      <w:szCs w:val="24"/>
    </w:rPr>
  </w:style>
  <w:style w:type="character" w:customStyle="1" w:styleId="Heading3Char">
    <w:name w:val="Heading 3 Char"/>
    <w:basedOn w:val="DefaultParagraphFont"/>
    <w:link w:val="Heading3"/>
    <w:uiPriority w:val="9"/>
    <w:rsid w:val="00AA4BC3"/>
    <w:rPr>
      <w:rFonts w:eastAsiaTheme="majorEastAsia" w:cstheme="majorBidi"/>
      <w:b/>
      <w:bCs/>
      <w:sz w:val="28"/>
      <w:szCs w:val="32"/>
    </w:rPr>
  </w:style>
  <w:style w:type="paragraph" w:styleId="BalloonText">
    <w:name w:val="Balloon Text"/>
    <w:basedOn w:val="Normal"/>
    <w:link w:val="BalloonTextChar"/>
    <w:uiPriority w:val="99"/>
    <w:semiHidden/>
    <w:unhideWhenUsed/>
    <w:rsid w:val="005915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512"/>
    <w:rPr>
      <w:rFonts w:ascii="Tahoma" w:hAnsi="Tahoma" w:cs="Tahoma"/>
      <w:sz w:val="16"/>
      <w:szCs w:val="16"/>
    </w:rPr>
  </w:style>
  <w:style w:type="character" w:styleId="CommentReference">
    <w:name w:val="annotation reference"/>
    <w:basedOn w:val="DefaultParagraphFont"/>
    <w:uiPriority w:val="99"/>
    <w:semiHidden/>
    <w:unhideWhenUsed/>
    <w:rsid w:val="00E677DD"/>
    <w:rPr>
      <w:sz w:val="16"/>
      <w:szCs w:val="16"/>
    </w:rPr>
  </w:style>
  <w:style w:type="paragraph" w:styleId="CommentText">
    <w:name w:val="annotation text"/>
    <w:basedOn w:val="Normal"/>
    <w:link w:val="CommentTextChar"/>
    <w:uiPriority w:val="99"/>
    <w:semiHidden/>
    <w:unhideWhenUsed/>
    <w:rsid w:val="00E677DD"/>
    <w:rPr>
      <w:sz w:val="20"/>
      <w:szCs w:val="20"/>
    </w:rPr>
  </w:style>
  <w:style w:type="character" w:customStyle="1" w:styleId="CommentTextChar">
    <w:name w:val="Comment Text Char"/>
    <w:basedOn w:val="DefaultParagraphFont"/>
    <w:link w:val="CommentText"/>
    <w:uiPriority w:val="99"/>
    <w:semiHidden/>
    <w:rsid w:val="00E677DD"/>
    <w:rPr>
      <w:sz w:val="20"/>
      <w:szCs w:val="20"/>
    </w:rPr>
  </w:style>
  <w:style w:type="paragraph" w:styleId="CommentSubject">
    <w:name w:val="annotation subject"/>
    <w:basedOn w:val="CommentText"/>
    <w:next w:val="CommentText"/>
    <w:link w:val="CommentSubjectChar"/>
    <w:uiPriority w:val="99"/>
    <w:semiHidden/>
    <w:unhideWhenUsed/>
    <w:rsid w:val="00E677DD"/>
    <w:rPr>
      <w:b/>
      <w:bCs/>
    </w:rPr>
  </w:style>
  <w:style w:type="character" w:customStyle="1" w:styleId="CommentSubjectChar">
    <w:name w:val="Comment Subject Char"/>
    <w:basedOn w:val="CommentTextChar"/>
    <w:link w:val="CommentSubject"/>
    <w:uiPriority w:val="99"/>
    <w:semiHidden/>
    <w:rsid w:val="00E677DD"/>
    <w:rPr>
      <w:b/>
      <w:bCs/>
      <w:sz w:val="20"/>
      <w:szCs w:val="20"/>
    </w:rPr>
  </w:style>
  <w:style w:type="character" w:customStyle="1" w:styleId="Heading4Char">
    <w:name w:val="Heading 4 Char"/>
    <w:basedOn w:val="DefaultParagraphFont"/>
    <w:link w:val="Heading4"/>
    <w:uiPriority w:val="9"/>
    <w:rsid w:val="00A526DF"/>
    <w:rPr>
      <w:rFonts w:eastAsiaTheme="majorEastAsia" w:cstheme="majorBidi"/>
      <w:b/>
      <w:bCs/>
      <w:i/>
      <w:sz w:val="24"/>
      <w:szCs w:val="28"/>
    </w:rPr>
  </w:style>
  <w:style w:type="character" w:customStyle="1" w:styleId="Heading5Char">
    <w:name w:val="Heading 5 Char"/>
    <w:basedOn w:val="DefaultParagraphFont"/>
    <w:link w:val="Heading5"/>
    <w:uiPriority w:val="9"/>
    <w:rsid w:val="004F1E15"/>
    <w:rPr>
      <w:rFonts w:eastAsiaTheme="majorEastAsia" w:cstheme="majorBidi"/>
      <w:b/>
      <w:bCs/>
      <w:i/>
      <w:sz w:val="24"/>
      <w:szCs w:val="24"/>
    </w:rPr>
  </w:style>
  <w:style w:type="paragraph" w:styleId="Title">
    <w:name w:val="Title"/>
    <w:basedOn w:val="Normal"/>
    <w:next w:val="Normal"/>
    <w:link w:val="TitleChar"/>
    <w:uiPriority w:val="10"/>
    <w:qFormat/>
    <w:rsid w:val="00FE645A"/>
    <w:pPr>
      <w:spacing w:after="24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E645A"/>
    <w:rPr>
      <w:rFonts w:eastAsiaTheme="majorEastAsia" w:cstheme="majorBidi"/>
      <w:b/>
      <w:spacing w:val="5"/>
      <w:kern w:val="28"/>
      <w:sz w:val="52"/>
      <w:szCs w:val="52"/>
    </w:rPr>
  </w:style>
  <w:style w:type="paragraph" w:styleId="Footer">
    <w:name w:val="footer"/>
    <w:basedOn w:val="Normal"/>
    <w:link w:val="FooterChar"/>
    <w:uiPriority w:val="99"/>
    <w:unhideWhenUsed/>
    <w:rsid w:val="00705DAD"/>
    <w:pPr>
      <w:tabs>
        <w:tab w:val="center" w:pos="4320"/>
        <w:tab w:val="right" w:pos="8640"/>
      </w:tabs>
      <w:spacing w:after="0"/>
    </w:pPr>
  </w:style>
  <w:style w:type="character" w:customStyle="1" w:styleId="FooterChar">
    <w:name w:val="Footer Char"/>
    <w:basedOn w:val="DefaultParagraphFont"/>
    <w:link w:val="Footer"/>
    <w:uiPriority w:val="99"/>
    <w:rsid w:val="00705DAD"/>
    <w:rPr>
      <w:rFonts w:ascii="Lucida Bright" w:hAnsi="Lucida Bright"/>
      <w:sz w:val="24"/>
      <w:szCs w:val="24"/>
    </w:rPr>
  </w:style>
  <w:style w:type="character" w:styleId="PageNumber">
    <w:name w:val="page number"/>
    <w:basedOn w:val="DefaultParagraphFont"/>
    <w:uiPriority w:val="99"/>
    <w:semiHidden/>
    <w:unhideWhenUsed/>
    <w:rsid w:val="00705DAD"/>
  </w:style>
  <w:style w:type="paragraph" w:styleId="Header">
    <w:name w:val="header"/>
    <w:basedOn w:val="Normal"/>
    <w:link w:val="HeaderChar"/>
    <w:uiPriority w:val="99"/>
    <w:unhideWhenUsed/>
    <w:rsid w:val="00705DAD"/>
    <w:pPr>
      <w:tabs>
        <w:tab w:val="center" w:pos="4320"/>
        <w:tab w:val="right" w:pos="8640"/>
      </w:tabs>
      <w:spacing w:after="0"/>
    </w:pPr>
  </w:style>
  <w:style w:type="character" w:customStyle="1" w:styleId="HeaderChar">
    <w:name w:val="Header Char"/>
    <w:basedOn w:val="DefaultParagraphFont"/>
    <w:link w:val="Header"/>
    <w:uiPriority w:val="99"/>
    <w:rsid w:val="00705DAD"/>
    <w:rPr>
      <w:rFonts w:ascii="Lucida Bright" w:hAnsi="Lucida Bright"/>
      <w:sz w:val="24"/>
      <w:szCs w:val="24"/>
    </w:rPr>
  </w:style>
  <w:style w:type="paragraph" w:styleId="DocumentMap">
    <w:name w:val="Document Map"/>
    <w:basedOn w:val="Normal"/>
    <w:link w:val="DocumentMapChar"/>
    <w:uiPriority w:val="99"/>
    <w:semiHidden/>
    <w:unhideWhenUsed/>
    <w:rsid w:val="0083232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832324"/>
    <w:rPr>
      <w:rFonts w:ascii="Lucida Grande" w:hAnsi="Lucida Grande" w:cs="Lucida Grande"/>
      <w:sz w:val="24"/>
      <w:szCs w:val="24"/>
    </w:rPr>
  </w:style>
  <w:style w:type="table" w:styleId="TableGrid">
    <w:name w:val="Table Grid"/>
    <w:basedOn w:val="TableNormal"/>
    <w:uiPriority w:val="59"/>
    <w:rsid w:val="00142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writing">
    <w:name w:val="Table writing"/>
    <w:basedOn w:val="Normal"/>
    <w:qFormat/>
    <w:rsid w:val="001420B3"/>
    <w:pPr>
      <w:autoSpaceDE w:val="0"/>
      <w:autoSpaceDN w:val="0"/>
      <w:adjustRightInd w:val="0"/>
      <w:spacing w:before="60" w:after="60"/>
    </w:pPr>
    <w:rPr>
      <w:rFonts w:cs="Calibri"/>
      <w:color w:val="000000"/>
      <w:sz w:val="20"/>
      <w:szCs w:val="20"/>
    </w:rPr>
  </w:style>
  <w:style w:type="paragraph" w:customStyle="1" w:styleId="Tableheading">
    <w:name w:val="Table heading"/>
    <w:basedOn w:val="Normal"/>
    <w:qFormat/>
    <w:rsid w:val="001420B3"/>
    <w:pPr>
      <w:autoSpaceDE w:val="0"/>
      <w:autoSpaceDN w:val="0"/>
      <w:adjustRightInd w:val="0"/>
      <w:spacing w:before="60" w:after="60"/>
      <w:jc w:val="center"/>
    </w:pPr>
    <w:rPr>
      <w:rFonts w:cs="Calibri"/>
      <w:b/>
    </w:rPr>
  </w:style>
  <w:style w:type="paragraph" w:customStyle="1" w:styleId="Char2CharCharCharZchnZchnCharCharCharCharCharCharCharCharCharCharCharCharCharCharCharCharCharCharCharCharCharCharCharChar1CharCharCharCharCharCharCharCharCharCharCharChar1Char">
    <w:name w:val="Char2 Char Char Char Zchn Zchn Char Char Char Char Char Char Char Char Char Char Char Char Char Char Char Char Char Char Char Char Char Char Char Char1 Char Char Char Char Char Char Char Char Char Char Char Char1 Char"/>
    <w:basedOn w:val="Normal"/>
    <w:rsid w:val="00ED633B"/>
    <w:pPr>
      <w:spacing w:after="160" w:line="240" w:lineRule="exact"/>
    </w:pPr>
    <w:rPr>
      <w:rFonts w:ascii="Verdana" w:eastAsia="MS Mincho" w:hAnsi="Verdana" w:cs="Verdana"/>
      <w:sz w:val="20"/>
      <w:szCs w:val="20"/>
      <w:lang w:val="en-US" w:eastAsia="en-US"/>
    </w:rPr>
  </w:style>
  <w:style w:type="paragraph" w:customStyle="1" w:styleId="Notes">
    <w:name w:val="Notes"/>
    <w:basedOn w:val="Normal"/>
    <w:qFormat/>
    <w:rsid w:val="003370D0"/>
    <w:rPr>
      <w:rFonts w:cs="Baskerville"/>
      <w:sz w:val="20"/>
      <w:szCs w:val="20"/>
    </w:rPr>
  </w:style>
  <w:style w:type="paragraph" w:customStyle="1" w:styleId="Tabletitle">
    <w:name w:val="Table title"/>
    <w:basedOn w:val="Heading4"/>
    <w:link w:val="TabletitleChar"/>
    <w:qFormat/>
    <w:rsid w:val="002F63ED"/>
    <w:pPr>
      <w:spacing w:before="200" w:after="20"/>
    </w:pPr>
    <w:rPr>
      <w:szCs w:val="24"/>
    </w:rPr>
  </w:style>
  <w:style w:type="paragraph" w:customStyle="1" w:styleId="Figurecaption">
    <w:name w:val="Figure caption"/>
    <w:basedOn w:val="Normal"/>
    <w:link w:val="FigurecaptionChar"/>
    <w:qFormat/>
    <w:rsid w:val="00FE645A"/>
    <w:pPr>
      <w:spacing w:before="60" w:after="60"/>
    </w:pPr>
    <w:rPr>
      <w:sz w:val="20"/>
      <w:szCs w:val="20"/>
      <w:lang w:eastAsia="en-US"/>
    </w:rPr>
  </w:style>
  <w:style w:type="character" w:customStyle="1" w:styleId="FigurecaptionChar">
    <w:name w:val="Figure caption Char"/>
    <w:basedOn w:val="DefaultParagraphFont"/>
    <w:link w:val="Figurecaption"/>
    <w:rsid w:val="00FE645A"/>
    <w:rPr>
      <w:sz w:val="20"/>
      <w:szCs w:val="20"/>
      <w:lang w:eastAsia="en-US"/>
    </w:rPr>
  </w:style>
  <w:style w:type="paragraph" w:styleId="FootnoteText">
    <w:name w:val="footnote text"/>
    <w:basedOn w:val="Normal"/>
    <w:link w:val="FootnoteTextChar"/>
    <w:uiPriority w:val="99"/>
    <w:semiHidden/>
    <w:unhideWhenUsed/>
    <w:rsid w:val="008142B4"/>
    <w:pPr>
      <w:spacing w:after="0"/>
    </w:pPr>
    <w:rPr>
      <w:sz w:val="18"/>
      <w:szCs w:val="20"/>
    </w:rPr>
  </w:style>
  <w:style w:type="character" w:customStyle="1" w:styleId="FootnoteTextChar">
    <w:name w:val="Footnote Text Char"/>
    <w:basedOn w:val="DefaultParagraphFont"/>
    <w:link w:val="FootnoteText"/>
    <w:uiPriority w:val="99"/>
    <w:semiHidden/>
    <w:rsid w:val="008142B4"/>
    <w:rPr>
      <w:sz w:val="18"/>
      <w:szCs w:val="20"/>
    </w:rPr>
  </w:style>
  <w:style w:type="character" w:styleId="FootnoteReference">
    <w:name w:val="footnote reference"/>
    <w:basedOn w:val="DefaultParagraphFont"/>
    <w:uiPriority w:val="99"/>
    <w:semiHidden/>
    <w:unhideWhenUsed/>
    <w:rsid w:val="008142B4"/>
    <w:rPr>
      <w:vertAlign w:val="superscript"/>
    </w:rPr>
  </w:style>
  <w:style w:type="character" w:customStyle="1" w:styleId="TabletitleChar">
    <w:name w:val="Table title Char"/>
    <w:basedOn w:val="Heading4Char"/>
    <w:link w:val="Tabletitle"/>
    <w:rsid w:val="002F63ED"/>
    <w:rPr>
      <w:rFonts w:eastAsiaTheme="majorEastAsia" w:cstheme="majorBidi"/>
      <w:b/>
      <w:bCs/>
      <w:i/>
      <w:sz w:val="24"/>
      <w:szCs w:val="24"/>
    </w:rPr>
  </w:style>
  <w:style w:type="paragraph" w:customStyle="1" w:styleId="Figuretitle">
    <w:name w:val="Figure title"/>
    <w:basedOn w:val="Tabletitle"/>
    <w:link w:val="FiguretitleChar"/>
    <w:qFormat/>
    <w:rsid w:val="00D60536"/>
    <w:pPr>
      <w:spacing w:before="60" w:after="60"/>
    </w:pPr>
    <w:rPr>
      <w:lang w:val="en-US"/>
    </w:rPr>
  </w:style>
  <w:style w:type="character" w:customStyle="1" w:styleId="FiguretitleChar">
    <w:name w:val="Figure title Char"/>
    <w:basedOn w:val="TabletitleChar"/>
    <w:link w:val="Figuretitle"/>
    <w:rsid w:val="00D60536"/>
    <w:rPr>
      <w:rFonts w:eastAsiaTheme="majorEastAsia" w:cstheme="majorBidi"/>
      <w:b/>
      <w:bCs/>
      <w:i/>
      <w:sz w:val="24"/>
      <w:szCs w:val="24"/>
      <w:lang w:val="en-US"/>
    </w:rPr>
  </w:style>
  <w:style w:type="paragraph" w:styleId="NoSpacing">
    <w:name w:val="No Spacing"/>
    <w:uiPriority w:val="1"/>
    <w:qFormat/>
    <w:rsid w:val="00BB0D1A"/>
    <w:pPr>
      <w:spacing w:after="0" w:line="240" w:lineRule="auto"/>
    </w:pPr>
    <w:rPr>
      <w:sz w:val="24"/>
      <w:szCs w:val="24"/>
    </w:rPr>
  </w:style>
  <w:style w:type="character" w:styleId="Hyperlink">
    <w:name w:val="Hyperlink"/>
    <w:basedOn w:val="DefaultParagraphFont"/>
    <w:uiPriority w:val="99"/>
    <w:unhideWhenUsed/>
    <w:rsid w:val="00561CB4"/>
    <w:rPr>
      <w:color w:val="0000FF" w:themeColor="hyperlink"/>
      <w:u w:val="single"/>
    </w:rPr>
  </w:style>
  <w:style w:type="paragraph" w:styleId="Subtitle">
    <w:name w:val="Subtitle"/>
    <w:basedOn w:val="Heading1"/>
    <w:next w:val="Normal"/>
    <w:link w:val="SubtitleChar"/>
    <w:uiPriority w:val="11"/>
    <w:qFormat/>
    <w:rsid w:val="00252D19"/>
  </w:style>
  <w:style w:type="character" w:customStyle="1" w:styleId="SubtitleChar">
    <w:name w:val="Subtitle Char"/>
    <w:basedOn w:val="DefaultParagraphFont"/>
    <w:link w:val="Subtitle"/>
    <w:uiPriority w:val="11"/>
    <w:rsid w:val="00252D19"/>
    <w:rPr>
      <w:rFonts w:eastAsiaTheme="majorEastAsia" w:cstheme="majorBidi"/>
      <w:b/>
      <w:bCs/>
      <w:sz w:val="40"/>
      <w:szCs w:val="28"/>
    </w:rPr>
  </w:style>
  <w:style w:type="paragraph" w:styleId="ListParagraph">
    <w:name w:val="List Paragraph"/>
    <w:basedOn w:val="Normal"/>
    <w:link w:val="ListParagraphChar"/>
    <w:uiPriority w:val="34"/>
    <w:qFormat/>
    <w:rsid w:val="00543DFE"/>
    <w:pPr>
      <w:ind w:left="720"/>
      <w:contextualSpacing/>
    </w:pPr>
  </w:style>
  <w:style w:type="character" w:customStyle="1" w:styleId="ListParagraphChar">
    <w:name w:val="List Paragraph Char"/>
    <w:link w:val="ListParagraph"/>
    <w:uiPriority w:val="72"/>
    <w:locked/>
    <w:rsid w:val="00E96DC6"/>
    <w:rPr>
      <w:sz w:val="24"/>
      <w:szCs w:val="24"/>
    </w:rPr>
  </w:style>
  <w:style w:type="paragraph" w:styleId="EndnoteText">
    <w:name w:val="endnote text"/>
    <w:basedOn w:val="Normal"/>
    <w:link w:val="EndnoteTextChar"/>
    <w:uiPriority w:val="99"/>
    <w:semiHidden/>
    <w:unhideWhenUsed/>
    <w:rsid w:val="00E96DC6"/>
    <w:pPr>
      <w:spacing w:after="0"/>
    </w:pPr>
    <w:rPr>
      <w:sz w:val="20"/>
      <w:szCs w:val="20"/>
    </w:rPr>
  </w:style>
  <w:style w:type="character" w:customStyle="1" w:styleId="EndnoteTextChar">
    <w:name w:val="Endnote Text Char"/>
    <w:basedOn w:val="DefaultParagraphFont"/>
    <w:link w:val="EndnoteText"/>
    <w:uiPriority w:val="99"/>
    <w:semiHidden/>
    <w:rsid w:val="00E96DC6"/>
    <w:rPr>
      <w:sz w:val="20"/>
      <w:szCs w:val="20"/>
    </w:rPr>
  </w:style>
  <w:style w:type="character" w:styleId="EndnoteReference">
    <w:name w:val="endnote reference"/>
    <w:basedOn w:val="DefaultParagraphFont"/>
    <w:uiPriority w:val="99"/>
    <w:semiHidden/>
    <w:unhideWhenUsed/>
    <w:rsid w:val="00E96DC6"/>
    <w:rPr>
      <w:vertAlign w:val="superscript"/>
    </w:rPr>
  </w:style>
  <w:style w:type="paragraph" w:customStyle="1" w:styleId="DepartmentalHeading2">
    <w:name w:val="Departmental Heading 2"/>
    <w:basedOn w:val="Heading2"/>
    <w:rsid w:val="00DE583D"/>
    <w:pPr>
      <w:keepLines w:val="0"/>
      <w:spacing w:before="600" w:after="60"/>
    </w:pPr>
    <w:rPr>
      <w:rFonts w:ascii="Arial" w:eastAsia="Times New Roman" w:hAnsi="Arial" w:cs="Times New Roman"/>
      <w:bCs w:val="0"/>
      <w:i/>
      <w:szCs w:val="20"/>
    </w:rPr>
  </w:style>
  <w:style w:type="paragraph" w:customStyle="1" w:styleId="DepartmentalHeading3">
    <w:name w:val="Departmental Heading 3"/>
    <w:basedOn w:val="Heading3"/>
    <w:rsid w:val="00DE583D"/>
    <w:pPr>
      <w:keepLines w:val="0"/>
      <w:spacing w:before="600" w:after="60"/>
    </w:pPr>
    <w:rPr>
      <w:rFonts w:ascii="Arial" w:eastAsia="Times New Roman" w:hAnsi="Arial" w:cs="Times New Roman"/>
      <w:b w:val="0"/>
      <w:bCs w:val="0"/>
      <w:i/>
      <w:sz w:val="24"/>
      <w:szCs w:val="20"/>
    </w:rPr>
  </w:style>
  <w:style w:type="paragraph" w:customStyle="1" w:styleId="DepartmentalNormal">
    <w:name w:val="Departmental Normal"/>
    <w:basedOn w:val="Normal"/>
    <w:rsid w:val="00DE583D"/>
    <w:pPr>
      <w:spacing w:after="0"/>
    </w:pPr>
    <w:rPr>
      <w:rFonts w:ascii="Times New Roman" w:eastAsia="Times New Roman" w:hAnsi="Times New Roman" w:cs="Times New Roman"/>
      <w:szCs w:val="20"/>
    </w:rPr>
  </w:style>
  <w:style w:type="character" w:styleId="Emphasis">
    <w:name w:val="Emphasis"/>
    <w:basedOn w:val="DefaultParagraphFont"/>
    <w:uiPriority w:val="20"/>
    <w:qFormat/>
    <w:rsid w:val="00DE583D"/>
    <w:rPr>
      <w:i/>
      <w:iCs/>
    </w:rPr>
  </w:style>
  <w:style w:type="paragraph" w:styleId="BodyTextIndent2">
    <w:name w:val="Body Text Indent 2"/>
    <w:basedOn w:val="Normal"/>
    <w:link w:val="BodyTextIndent2Char"/>
    <w:rsid w:val="00DE583D"/>
    <w:pPr>
      <w:spacing w:after="0"/>
      <w:ind w:left="2268"/>
      <w:outlineLvl w:val="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DE583D"/>
    <w:rPr>
      <w:rFonts w:ascii="Times New Roman" w:eastAsia="Times New Roman" w:hAnsi="Times New Roman" w:cs="Times New Roman"/>
      <w:sz w:val="24"/>
      <w:szCs w:val="20"/>
    </w:rPr>
  </w:style>
  <w:style w:type="paragraph" w:customStyle="1" w:styleId="TableTitleF">
    <w:name w:val="Table Title F"/>
    <w:basedOn w:val="Normal"/>
    <w:next w:val="BodyText"/>
    <w:qFormat/>
    <w:rsid w:val="00DE583D"/>
    <w:pPr>
      <w:keepNext/>
      <w:numPr>
        <w:numId w:val="8"/>
      </w:numPr>
      <w:spacing w:after="120"/>
      <w:jc w:val="both"/>
    </w:pPr>
    <w:rPr>
      <w:rFonts w:ascii="Arial" w:eastAsia="Times New Roman" w:hAnsi="Arial" w:cs="Times New Roman"/>
      <w:b/>
      <w:sz w:val="20"/>
      <w:lang w:eastAsia="en-US"/>
    </w:rPr>
  </w:style>
  <w:style w:type="paragraph" w:customStyle="1" w:styleId="TableFigureFootnote">
    <w:name w:val="Table &amp; Figure Footnote"/>
    <w:basedOn w:val="BodyText"/>
    <w:next w:val="BodyText"/>
    <w:qFormat/>
    <w:rsid w:val="00DE583D"/>
    <w:pPr>
      <w:spacing w:before="20" w:after="20"/>
      <w:jc w:val="both"/>
    </w:pPr>
    <w:rPr>
      <w:rFonts w:ascii="Arial" w:eastAsia="Times New Roman" w:hAnsi="Arial" w:cs="Times New Roman"/>
      <w:sz w:val="16"/>
      <w:lang w:eastAsia="en-US"/>
    </w:rPr>
  </w:style>
  <w:style w:type="paragraph" w:customStyle="1" w:styleId="Default">
    <w:name w:val="Default"/>
    <w:rsid w:val="00DE583D"/>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BodyText">
    <w:name w:val="Body Text"/>
    <w:basedOn w:val="Normal"/>
    <w:link w:val="BodyTextChar"/>
    <w:uiPriority w:val="99"/>
    <w:semiHidden/>
    <w:unhideWhenUsed/>
    <w:rsid w:val="00DE583D"/>
    <w:pPr>
      <w:spacing w:after="120"/>
    </w:pPr>
  </w:style>
  <w:style w:type="character" w:customStyle="1" w:styleId="BodyTextChar">
    <w:name w:val="Body Text Char"/>
    <w:basedOn w:val="DefaultParagraphFont"/>
    <w:link w:val="BodyText"/>
    <w:uiPriority w:val="99"/>
    <w:semiHidden/>
    <w:rsid w:val="00DE583D"/>
    <w:rPr>
      <w:sz w:val="24"/>
      <w:szCs w:val="24"/>
    </w:rPr>
  </w:style>
  <w:style w:type="character" w:styleId="FollowedHyperlink">
    <w:name w:val="FollowedHyperlink"/>
    <w:basedOn w:val="DefaultParagraphFont"/>
    <w:uiPriority w:val="99"/>
    <w:semiHidden/>
    <w:unhideWhenUsed/>
    <w:rsid w:val="00DE583D"/>
    <w:rPr>
      <w:color w:val="800080" w:themeColor="followedHyperlink"/>
      <w:u w:val="single"/>
    </w:rPr>
  </w:style>
  <w:style w:type="table" w:customStyle="1" w:styleId="TableGrid1">
    <w:name w:val="Table Grid1"/>
    <w:basedOn w:val="TableNormal"/>
    <w:next w:val="TableGrid"/>
    <w:uiPriority w:val="59"/>
    <w:rsid w:val="00DE583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583D"/>
    <w:pPr>
      <w:spacing w:after="0" w:line="240" w:lineRule="auto"/>
    </w:pPr>
    <w:rPr>
      <w:sz w:val="24"/>
      <w:szCs w:val="24"/>
    </w:rPr>
  </w:style>
  <w:style w:type="paragraph" w:styleId="NormalWeb">
    <w:name w:val="Normal (Web)"/>
    <w:basedOn w:val="Normal"/>
    <w:uiPriority w:val="99"/>
    <w:semiHidden/>
    <w:unhideWhenUsed/>
    <w:rsid w:val="00DE583D"/>
    <w:pPr>
      <w:spacing w:before="100" w:beforeAutospacing="1" w:after="100" w:afterAutospacing="1"/>
    </w:pPr>
    <w:rPr>
      <w:rFonts w:ascii="Times New Roman" w:eastAsia="Times New Roman" w:hAnsi="Times New Roman" w:cs="Times New Roman"/>
    </w:rPr>
  </w:style>
  <w:style w:type="character" w:customStyle="1" w:styleId="superstext">
    <w:name w:val="superstext"/>
    <w:basedOn w:val="DefaultParagraphFont"/>
    <w:rsid w:val="00DE583D"/>
  </w:style>
  <w:style w:type="character" w:styleId="Strong">
    <w:name w:val="Strong"/>
    <w:basedOn w:val="DefaultParagraphFont"/>
    <w:uiPriority w:val="22"/>
    <w:qFormat/>
    <w:rsid w:val="00AA4BC3"/>
    <w:rPr>
      <w:i/>
      <w:sz w:val="24"/>
    </w:rPr>
  </w:style>
  <w:style w:type="character" w:styleId="PlaceholderText">
    <w:name w:val="Placeholder Text"/>
    <w:basedOn w:val="DefaultParagraphFont"/>
    <w:uiPriority w:val="99"/>
    <w:semiHidden/>
    <w:rsid w:val="00CF7C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bs.gov.au/medicine/item/2276T" TargetMode="External"/><Relationship Id="rId18" Type="http://schemas.openxmlformats.org/officeDocument/2006/relationships/chart" Target="charts/chart1.xml"/><Relationship Id="rId26" Type="http://schemas.openxmlformats.org/officeDocument/2006/relationships/image" Target="media/image2.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footer" Target="footer3.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tga.gov.au/consumers/information-medicines-cmi.htm" TargetMode="External"/><Relationship Id="rId17" Type="http://schemas.openxmlformats.org/officeDocument/2006/relationships/hyperlink" Target="http://www.pbs.gov.au/pbs/industry/listing/elements/pbac-meetings" TargetMode="External"/><Relationship Id="rId25" Type="http://schemas.openxmlformats.org/officeDocument/2006/relationships/image" Target="media/image1.png"/><Relationship Id="rId33" Type="http://schemas.openxmlformats.org/officeDocument/2006/relationships/footer" Target="footer2.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entral.health\DFSGroupData\Sites\CO1\CO\PBD\PEB\EVAL\DUSC\DUSC%20policy\PvA%20transparency%20project\Management%20and%20templates\Template%20and%20SOP\pbs.gov.au" TargetMode="External"/><Relationship Id="rId20" Type="http://schemas.openxmlformats.org/officeDocument/2006/relationships/chart" Target="charts/chart3.xml"/><Relationship Id="rId29" Type="http://schemas.openxmlformats.org/officeDocument/2006/relationships/chart" Target="charts/chart1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ga.gov.au/hp/information-medicines-pi.htm" TargetMode="External"/><Relationship Id="rId24" Type="http://schemas.openxmlformats.org/officeDocument/2006/relationships/chart" Target="charts/chart7.xm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file:///\\central.health\DFSGroupData\Sites\CO1\CO\PBD\PEB\EVAL\DUSC\DUSC%20policy\PvA%20transparency%20project\Management%20and%20templates\Template%20and%20SOP\pbs.gov.au" TargetMode="External"/><Relationship Id="rId23" Type="http://schemas.openxmlformats.org/officeDocument/2006/relationships/chart" Target="charts/chart6.xml"/><Relationship Id="rId28" Type="http://schemas.openxmlformats.org/officeDocument/2006/relationships/chart" Target="charts/chart9.xml"/><Relationship Id="rId36" Type="http://schemas.openxmlformats.org/officeDocument/2006/relationships/header" Target="header4.xml"/><Relationship Id="rId10" Type="http://schemas.openxmlformats.org/officeDocument/2006/relationships/hyperlink" Target="http://www.pbs.gov.au/pbs/home" TargetMode="External"/><Relationship Id="rId19" Type="http://schemas.openxmlformats.org/officeDocument/2006/relationships/chart" Target="charts/chart2.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ebs.tga.gov.au/" TargetMode="External"/><Relationship Id="rId14" Type="http://schemas.openxmlformats.org/officeDocument/2006/relationships/hyperlink" Target="http://www.pbs.gov.au/medicine/item/2172H" TargetMode="External"/><Relationship Id="rId22" Type="http://schemas.openxmlformats.org/officeDocument/2006/relationships/chart" Target="charts/chart5.xml"/><Relationship Id="rId27" Type="http://schemas.openxmlformats.org/officeDocument/2006/relationships/chart" Target="charts/chart8.xml"/><Relationship Id="rId30" Type="http://schemas.openxmlformats.org/officeDocument/2006/relationships/header" Target="header1.xml"/><Relationship Id="rId35" Type="http://schemas.openxmlformats.org/officeDocument/2006/relationships/header" Target="header3.xml"/><Relationship Id="rId43"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pbs.gov.au/info/industry/listing/elements/pbac-meetings/psd/2006-11/pbac-psd-methylphenidate-nov06" TargetMode="External"/><Relationship Id="rId13" Type="http://schemas.openxmlformats.org/officeDocument/2006/relationships/hyperlink" Target="http://www.health.act.gov.au/health-services/population-health/health-protection-service/pharmaceutical-services/controlled-medicines" TargetMode="External"/><Relationship Id="rId18" Type="http://schemas.openxmlformats.org/officeDocument/2006/relationships/hyperlink" Target="http://www.health.nsw.gov.au/pharmaceutical/Documents/adhd-criteria-adult.pdf" TargetMode="External"/><Relationship Id="rId3" Type="http://schemas.openxmlformats.org/officeDocument/2006/relationships/hyperlink" Target="http://www.ebs.tga.gov.au/ebs/picmi/picmirepository.nsf/pdf?OpenAgent&amp;id=CP-2010-PI-04269-3" TargetMode="External"/><Relationship Id="rId21" Type="http://schemas.openxmlformats.org/officeDocument/2006/relationships/hyperlink" Target="http://www.sahealth.sa.gov.au/wps/wcm/connect/public+content/sa+health+internet/clinical+resources/clinical+topics/medicines+and+drugs/prescribing+medicines+regulations+and+requirements/prescribing+drugs+of+dependence/authorities+for+prescribing+drugs+of+dependence" TargetMode="External"/><Relationship Id="rId7" Type="http://schemas.openxmlformats.org/officeDocument/2006/relationships/hyperlink" Target="http://www.pbs.gov.au/info/industry/listing/elements/pbac-meetings/pbac-outcomes/2005-03/positive-recommendations" TargetMode="External"/><Relationship Id="rId12" Type="http://schemas.openxmlformats.org/officeDocument/2006/relationships/hyperlink" Target="http://www.pbs.gov.au/info/industry/listing/elements/pbac-meetings/psd/2008-07/pbac-psd-atomoxetine-hydrochloride-july08" TargetMode="External"/><Relationship Id="rId17" Type="http://schemas.openxmlformats.org/officeDocument/2006/relationships/hyperlink" Target="http://www.health.nsw.gov.au/pharmaceutical/Documents/adhd-criteria-child.pdf" TargetMode="External"/><Relationship Id="rId25" Type="http://schemas.openxmlformats.org/officeDocument/2006/relationships/hyperlink" Target="http://www.public.health.wa.gov.au/3/1312/2/forms_and_resources_for_stimulant_prescribers.pm" TargetMode="External"/><Relationship Id="rId2" Type="http://schemas.openxmlformats.org/officeDocument/2006/relationships/hyperlink" Target="http://www.ebs.tga.gov.au/ebs/picmi/picmirepository.nsf/pdf?OpenAgent&amp;id=CP-2009-PI-00828-3" TargetMode="External"/><Relationship Id="rId16" Type="http://schemas.openxmlformats.org/officeDocument/2006/relationships/hyperlink" Target="http://www.health.nsw.gov.au/pharmaceutical/doctors/Pages/prescribe-psychostimulant.aspx" TargetMode="External"/><Relationship Id="rId20" Type="http://schemas.openxmlformats.org/officeDocument/2006/relationships/hyperlink" Target="http://health.nt.gov.au/Environmental_Health/Medicines_and_Poisons_Control/Medical_Practitioners/index.aspx" TargetMode="External"/><Relationship Id="rId1" Type="http://schemas.openxmlformats.org/officeDocument/2006/relationships/hyperlink" Target="http://www.ebs.tga.gov.au/ebs/picmi/picmirepository.nsf/pdf?OpenAgent&amp;id=CP-2010-PI-03175-3" TargetMode="External"/><Relationship Id="rId6" Type="http://schemas.openxmlformats.org/officeDocument/2006/relationships/hyperlink" Target="https://www.tga.gov.au/publication-issue/medicines-safety-update-volume-5-number-5-october-2014-0" TargetMode="External"/><Relationship Id="rId11" Type="http://schemas.openxmlformats.org/officeDocument/2006/relationships/hyperlink" Target="http://www.pbs.gov.au/info/industry/listing/elements/pbac-meetings/psd/2006-11/pbac-psd-atomoxetine-nov06" TargetMode="External"/><Relationship Id="rId24" Type="http://schemas.openxmlformats.org/officeDocument/2006/relationships/hyperlink" Target="http://docs.health.vic.gov.au/docs/doc/Prescribing-psychostimulants-to-treat-ADHD-or-narcolepsy--permit-and-notification-requirements" TargetMode="External"/><Relationship Id="rId5" Type="http://schemas.openxmlformats.org/officeDocument/2006/relationships/hyperlink" Target="https://www.tga.gov.au/publication-issue/medicines-safety-update-volume-4-number-5-october-2013" TargetMode="External"/><Relationship Id="rId15" Type="http://schemas.openxmlformats.org/officeDocument/2006/relationships/hyperlink" Target="http://www.health.nsw.gov.au/pharmaceutical/Documents/section28-requirements.pdf" TargetMode="External"/><Relationship Id="rId23" Type="http://schemas.openxmlformats.org/officeDocument/2006/relationships/hyperlink" Target="http://www.dhhs.tas.gov.au/__data/assets/pdf_file/0005/46517/ADHD_Criteria_for_Children_and_Adolescents.pdf" TargetMode="External"/><Relationship Id="rId10" Type="http://schemas.openxmlformats.org/officeDocument/2006/relationships/hyperlink" Target="http://www.pbs.gov.au/info/industry/listing/elements/pbac-meetings/pbac-outcomes/2007-11/positive-recommendations" TargetMode="External"/><Relationship Id="rId19" Type="http://schemas.openxmlformats.org/officeDocument/2006/relationships/hyperlink" Target="http://health.nt.gov.au/Environmental_Health/Medicines_and_Poisons_Control/Medical_Practitioners/index.aspx" TargetMode="External"/><Relationship Id="rId4" Type="http://schemas.openxmlformats.org/officeDocument/2006/relationships/hyperlink" Target="http://www.tga.gov.au/safety/alerts-medicine-atomoxetine-111102.htm" TargetMode="External"/><Relationship Id="rId9" Type="http://schemas.openxmlformats.org/officeDocument/2006/relationships/hyperlink" Target="http://www.pbs.gov.au/info/industry/listing/elements/pbac-meetings/psd/2012-07/methylphenidate-hydrochloride" TargetMode="External"/><Relationship Id="rId14" Type="http://schemas.openxmlformats.org/officeDocument/2006/relationships/hyperlink" Target="http://www.health.act.gov.au/health-services/population-health/health-protection-service/pharmaceutical-services/controlled-medicines" TargetMode="External"/><Relationship Id="rId22" Type="http://schemas.openxmlformats.org/officeDocument/2006/relationships/hyperlink" Target="http://www.dhhs.tas.gov.au/__data/assets/pdf_file/0007/46519/Adult_Psychostimulant_guidelines2005_updated_2009_.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entral.health\DFSGroupData\Sites\CO1\CO\PBD\PEB\EVAL\DUSC\DUSC%20Documents\Predicted%20vs%20actual%20usage\PvA%20-%202015%20Jun\ADHD\ADHD%20report%20June%202015%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entral.health\DFSGroupData\Sites\CO1\CO\PBD\PEB\EVAL\DUSC\DUSC%20Documents\Predicted%20vs%20actual%20usage\PvA%20-%202015%20Jun\ADHD\ADHD%20report%20June%202015%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ntral.health\DFSGroupData\Sites\CO1\CO\PBD\PEB\EVAL\DUSC\DUSC%20Documents\Predicted%20vs%20actual%20usage\PvA%20-%202015%20Jun\ADHD\ADHD%20report%20June%202015%20graphs%20v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ntral.health\DFSGroupData\Sites\CO1\CO\PBD\PEB\EVAL\DUSC\DUSC%20Documents\Predicted%20vs%20actual%20usage\PvA%20-%202015%20Jun\ADHD\ADHD%20report%20June%202015%20graphs.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H:\Requests%202015\D842%20-%20ADHD%20PvA\Copy%20of%20DUSC%20-%20ATC1%20to%205,%20%20item%20and%20script%20type%20by%20QOS%20-%20most%20recent%205%20years%20-%20scripts%20-%20incl%20pub%20hosp%20HSD%20from%20July%2013.xlsm"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2" Type="http://schemas.openxmlformats.org/officeDocument/2006/relationships/oleObject" Target="file:///\\central.health\DFSGroupData\Sites\CO1\CO\PBD\PEB\EVAL\DUSC\DUSC%20Database%20and%20other%20utilisation%20data\Data%20Requests\Requests%202015\D842%20-%20ADHD%20PvA\D842%20-%20figs%203&amp;4%20+%20table%208.xlsx"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1" Type="http://schemas.openxmlformats.org/officeDocument/2006/relationships/oleObject" Target="file:///\\central.health\DFSGroupData\Sites\CO1\CO\PBD\PEB\EVAL\DUSC\DUSC%20Documents\Predicted%20vs%20actual%20usage\PvA%20-%202015%20Jun\ADHD\ADHD%20report%20June%202015%20graphs%20v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entral.health\DFSGroupData\Sites\CO1\CO\PBD\PEB\EVAL\DUSC\DUSC%20Documents\Predicted%20vs%20actual%20usage\PvA%20-%202015%20Jun\ADHD\ADHD%20report%20June%202015%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entral.health\DFSGroupData\Sites\CO1\CO\PBD\PEB\EVAL\DUSC\DUSC%20Database%20and%20other%20utilisation%20data\Data%20Requests\Requests%202015\D842%20-%20ADHD%20PvA\D842%20-%20PATS_PER_1000POP%20by%20state%20using%20authoriti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entral.health\DFSGroupData\Sites\CO1\CO\PBD\PEB\EVAL\DUSC\DUSC%20Database%20and%20other%20utilisation%20data\Data%20Requests\Requests%202015\D842%20-%20ADHD%20PvA\D842%20-%20ADHD%20patient%20counts,%202011%20to%202014%20-%20figs6to10%20-%20v8%20+%20age_grp%20and%20state,%20fig%2010%20using%20scrip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[ADHD report June 2015 graphs v0.2.xlsx]Fig1 total Prev pt 2014 by age!PivotTable1</c:name>
    <c:fmtId val="-1"/>
  </c:pivotSource>
  <c:chart>
    <c:autoTitleDeleted val="1"/>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spPr>
          <a:ln>
            <a:solidFill>
              <a:schemeClr val="accent6"/>
            </a:solidFill>
          </a:ln>
        </c:spPr>
        <c:marker>
          <c:symbol val="none"/>
        </c:marker>
      </c:pivotFmt>
      <c:pivotFmt>
        <c:idx val="18"/>
        <c:spPr>
          <a:ln>
            <a:solidFill>
              <a:schemeClr val="accent6"/>
            </a:solidFill>
          </a:ln>
        </c:spPr>
        <c:marker>
          <c:symbol val="none"/>
        </c:marker>
      </c:pivotFmt>
      <c:pivotFmt>
        <c:idx val="19"/>
        <c:spPr>
          <a:ln>
            <a:solidFill>
              <a:schemeClr val="accent6"/>
            </a:solidFill>
          </a:ln>
        </c:spPr>
        <c:marker>
          <c:symbol val="none"/>
        </c:marker>
      </c:pivotFmt>
    </c:pivotFmts>
    <c:plotArea>
      <c:layout>
        <c:manualLayout>
          <c:layoutTarget val="inner"/>
          <c:xMode val="edge"/>
          <c:yMode val="edge"/>
          <c:x val="0.11330579193295905"/>
          <c:y val="6.2854771036401788E-2"/>
          <c:w val="0.86584701575980128"/>
          <c:h val="0.82933254239847909"/>
        </c:manualLayout>
      </c:layout>
      <c:lineChart>
        <c:grouping val="standard"/>
        <c:varyColors val="0"/>
        <c:ser>
          <c:idx val="0"/>
          <c:order val="0"/>
          <c:tx>
            <c:strRef>
              <c:f>'Fig1 total Prev pt 2014 by age'!$B$5:$B$6</c:f>
              <c:strCache>
                <c:ptCount val="1"/>
                <c:pt idx="0">
                  <c:v>Total</c:v>
                </c:pt>
              </c:strCache>
            </c:strRef>
          </c:tx>
          <c:spPr>
            <a:ln>
              <a:solidFill>
                <a:schemeClr val="accent6"/>
              </a:solidFill>
            </a:ln>
          </c:spPr>
          <c:marker>
            <c:symbol val="none"/>
          </c:marker>
          <c:cat>
            <c:strRef>
              <c:f>'Fig1 total Prev pt 2014 by age'!$A$7:$A$101</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'Fig1 total Prev pt 2014 by age'!$B$7:$B$101</c:f>
              <c:numCache>
                <c:formatCode>General</c:formatCode>
                <c:ptCount val="94"/>
                <c:pt idx="0">
                  <c:v>1</c:v>
                </c:pt>
                <c:pt idx="1">
                  <c:v>3</c:v>
                </c:pt>
                <c:pt idx="2">
                  <c:v>7</c:v>
                </c:pt>
                <c:pt idx="3">
                  <c:v>78</c:v>
                </c:pt>
                <c:pt idx="4">
                  <c:v>535</c:v>
                </c:pt>
                <c:pt idx="5">
                  <c:v>2156</c:v>
                </c:pt>
                <c:pt idx="6">
                  <c:v>5244</c:v>
                </c:pt>
                <c:pt idx="7">
                  <c:v>7083</c:v>
                </c:pt>
                <c:pt idx="8">
                  <c:v>7866</c:v>
                </c:pt>
                <c:pt idx="9">
                  <c:v>8065</c:v>
                </c:pt>
                <c:pt idx="10">
                  <c:v>8037</c:v>
                </c:pt>
                <c:pt idx="11">
                  <c:v>7636</c:v>
                </c:pt>
                <c:pt idx="12">
                  <c:v>7319</c:v>
                </c:pt>
                <c:pt idx="13">
                  <c:v>6656</c:v>
                </c:pt>
                <c:pt idx="14">
                  <c:v>5982</c:v>
                </c:pt>
                <c:pt idx="15">
                  <c:v>5227</c:v>
                </c:pt>
                <c:pt idx="16">
                  <c:v>4191</c:v>
                </c:pt>
                <c:pt idx="17">
                  <c:v>3483</c:v>
                </c:pt>
                <c:pt idx="18">
                  <c:v>2238</c:v>
                </c:pt>
                <c:pt idx="19">
                  <c:v>1954</c:v>
                </c:pt>
                <c:pt idx="20">
                  <c:v>1737</c:v>
                </c:pt>
                <c:pt idx="21">
                  <c:v>1575</c:v>
                </c:pt>
                <c:pt idx="22">
                  <c:v>1539</c:v>
                </c:pt>
                <c:pt idx="23">
                  <c:v>1493</c:v>
                </c:pt>
                <c:pt idx="24">
                  <c:v>1479</c:v>
                </c:pt>
                <c:pt idx="25">
                  <c:v>1469</c:v>
                </c:pt>
                <c:pt idx="26">
                  <c:v>1381</c:v>
                </c:pt>
                <c:pt idx="27">
                  <c:v>1384</c:v>
                </c:pt>
                <c:pt idx="28">
                  <c:v>1388</c:v>
                </c:pt>
                <c:pt idx="29">
                  <c:v>1256</c:v>
                </c:pt>
                <c:pt idx="30">
                  <c:v>1263</c:v>
                </c:pt>
                <c:pt idx="31">
                  <c:v>1235</c:v>
                </c:pt>
                <c:pt idx="32">
                  <c:v>1146</c:v>
                </c:pt>
                <c:pt idx="33">
                  <c:v>1065</c:v>
                </c:pt>
                <c:pt idx="34">
                  <c:v>978</c:v>
                </c:pt>
                <c:pt idx="35">
                  <c:v>947</c:v>
                </c:pt>
                <c:pt idx="36">
                  <c:v>902</c:v>
                </c:pt>
                <c:pt idx="37">
                  <c:v>820</c:v>
                </c:pt>
                <c:pt idx="38">
                  <c:v>798</c:v>
                </c:pt>
                <c:pt idx="39">
                  <c:v>799</c:v>
                </c:pt>
                <c:pt idx="40">
                  <c:v>825</c:v>
                </c:pt>
                <c:pt idx="41">
                  <c:v>858</c:v>
                </c:pt>
                <c:pt idx="42">
                  <c:v>837</c:v>
                </c:pt>
                <c:pt idx="43">
                  <c:v>823</c:v>
                </c:pt>
                <c:pt idx="44">
                  <c:v>742</c:v>
                </c:pt>
                <c:pt idx="45">
                  <c:v>749</c:v>
                </c:pt>
                <c:pt idx="46">
                  <c:v>622</c:v>
                </c:pt>
                <c:pt idx="47">
                  <c:v>614</c:v>
                </c:pt>
                <c:pt idx="48">
                  <c:v>556</c:v>
                </c:pt>
                <c:pt idx="49">
                  <c:v>541</c:v>
                </c:pt>
                <c:pt idx="50">
                  <c:v>570</c:v>
                </c:pt>
                <c:pt idx="51">
                  <c:v>521</c:v>
                </c:pt>
                <c:pt idx="52">
                  <c:v>491</c:v>
                </c:pt>
                <c:pt idx="53">
                  <c:v>485</c:v>
                </c:pt>
                <c:pt idx="54">
                  <c:v>427</c:v>
                </c:pt>
                <c:pt idx="55">
                  <c:v>369</c:v>
                </c:pt>
                <c:pt idx="56">
                  <c:v>367</c:v>
                </c:pt>
                <c:pt idx="57">
                  <c:v>318</c:v>
                </c:pt>
                <c:pt idx="58">
                  <c:v>314</c:v>
                </c:pt>
                <c:pt idx="59">
                  <c:v>303</c:v>
                </c:pt>
                <c:pt idx="60">
                  <c:v>281</c:v>
                </c:pt>
                <c:pt idx="61">
                  <c:v>224</c:v>
                </c:pt>
                <c:pt idx="62">
                  <c:v>193</c:v>
                </c:pt>
                <c:pt idx="63">
                  <c:v>196</c:v>
                </c:pt>
                <c:pt idx="64">
                  <c:v>165</c:v>
                </c:pt>
                <c:pt idx="65">
                  <c:v>176</c:v>
                </c:pt>
                <c:pt idx="66">
                  <c:v>143</c:v>
                </c:pt>
                <c:pt idx="67">
                  <c:v>110</c:v>
                </c:pt>
                <c:pt idx="68">
                  <c:v>96</c:v>
                </c:pt>
                <c:pt idx="69">
                  <c:v>82</c:v>
                </c:pt>
                <c:pt idx="70">
                  <c:v>72</c:v>
                </c:pt>
                <c:pt idx="71">
                  <c:v>79</c:v>
                </c:pt>
                <c:pt idx="72">
                  <c:v>55</c:v>
                </c:pt>
                <c:pt idx="73">
                  <c:v>32</c:v>
                </c:pt>
                <c:pt idx="74">
                  <c:v>36</c:v>
                </c:pt>
                <c:pt idx="75">
                  <c:v>30</c:v>
                </c:pt>
                <c:pt idx="76">
                  <c:v>36</c:v>
                </c:pt>
                <c:pt idx="77">
                  <c:v>35</c:v>
                </c:pt>
                <c:pt idx="78">
                  <c:v>27</c:v>
                </c:pt>
                <c:pt idx="79">
                  <c:v>23</c:v>
                </c:pt>
                <c:pt idx="80">
                  <c:v>18</c:v>
                </c:pt>
                <c:pt idx="81">
                  <c:v>28</c:v>
                </c:pt>
                <c:pt idx="82">
                  <c:v>9</c:v>
                </c:pt>
                <c:pt idx="83">
                  <c:v>18</c:v>
                </c:pt>
                <c:pt idx="84">
                  <c:v>15</c:v>
                </c:pt>
                <c:pt idx="85">
                  <c:v>8</c:v>
                </c:pt>
                <c:pt idx="86">
                  <c:v>5</c:v>
                </c:pt>
                <c:pt idx="87">
                  <c:v>8</c:v>
                </c:pt>
                <c:pt idx="88">
                  <c:v>1</c:v>
                </c:pt>
                <c:pt idx="89">
                  <c:v>4</c:v>
                </c:pt>
                <c:pt idx="90">
                  <c:v>2</c:v>
                </c:pt>
                <c:pt idx="91">
                  <c:v>3</c:v>
                </c:pt>
                <c:pt idx="92">
                  <c:v>3</c:v>
                </c:pt>
                <c:pt idx="93">
                  <c:v>1</c:v>
                </c:pt>
              </c:numCache>
            </c:numRef>
          </c:val>
          <c:smooth val="0"/>
        </c:ser>
        <c:dLbls>
          <c:showLegendKey val="0"/>
          <c:showVal val="0"/>
          <c:showCatName val="0"/>
          <c:showSerName val="0"/>
          <c:showPercent val="0"/>
          <c:showBubbleSize val="0"/>
        </c:dLbls>
        <c:marker val="1"/>
        <c:smooth val="0"/>
        <c:axId val="106983424"/>
        <c:axId val="77386880"/>
      </c:lineChart>
      <c:catAx>
        <c:axId val="106983424"/>
        <c:scaling>
          <c:orientation val="minMax"/>
        </c:scaling>
        <c:delete val="0"/>
        <c:axPos val="b"/>
        <c:title>
          <c:tx>
            <c:rich>
              <a:bodyPr/>
              <a:lstStyle/>
              <a:p>
                <a:pPr>
                  <a:defRPr/>
                </a:pPr>
                <a:r>
                  <a:rPr lang="en-AU"/>
                  <a:t>Age</a:t>
                </a:r>
              </a:p>
            </c:rich>
          </c:tx>
          <c:overlay val="0"/>
        </c:title>
        <c:majorTickMark val="out"/>
        <c:minorTickMark val="none"/>
        <c:tickLblPos val="nextTo"/>
        <c:crossAx val="77386880"/>
        <c:crosses val="autoZero"/>
        <c:auto val="1"/>
        <c:lblAlgn val="ctr"/>
        <c:lblOffset val="100"/>
        <c:noMultiLvlLbl val="0"/>
      </c:catAx>
      <c:valAx>
        <c:axId val="77386880"/>
        <c:scaling>
          <c:orientation val="minMax"/>
        </c:scaling>
        <c:delete val="0"/>
        <c:axPos val="l"/>
        <c:majorGridlines/>
        <c:title>
          <c:tx>
            <c:rich>
              <a:bodyPr rot="-5400000" vert="horz"/>
              <a:lstStyle/>
              <a:p>
                <a:pPr>
                  <a:defRPr/>
                </a:pPr>
                <a:r>
                  <a:rPr lang="en-AU"/>
                  <a:t>Prevalent</a:t>
                </a:r>
                <a:r>
                  <a:rPr lang="en-AU" baseline="0"/>
                  <a:t> patients</a:t>
                </a:r>
                <a:endParaRPr lang="en-AU"/>
              </a:p>
            </c:rich>
          </c:tx>
          <c:overlay val="0"/>
        </c:title>
        <c:numFmt formatCode="General" sourceLinked="1"/>
        <c:majorTickMark val="out"/>
        <c:minorTickMark val="none"/>
        <c:tickLblPos val="nextTo"/>
        <c:crossAx val="106983424"/>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[ADHD report June 2015 graphs v0.2.xlsx]Fig11 prev px1000 by state+drug!PivotTable2</c:name>
    <c:fmtId val="-1"/>
  </c:pivotSource>
  <c:chart>
    <c:autoTitleDeleted val="1"/>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s>
    <c:plotArea>
      <c:layout>
        <c:manualLayout>
          <c:layoutTarget val="inner"/>
          <c:xMode val="edge"/>
          <c:yMode val="edge"/>
          <c:x val="9.2670531192400415E-2"/>
          <c:y val="3.3743878025987203E-2"/>
          <c:w val="0.87848382552648463"/>
          <c:h val="0.75128944532331998"/>
        </c:manualLayout>
      </c:layout>
      <c:barChart>
        <c:barDir val="col"/>
        <c:grouping val="clustered"/>
        <c:varyColors val="0"/>
        <c:ser>
          <c:idx val="0"/>
          <c:order val="0"/>
          <c:tx>
            <c:strRef>
              <c:f>'Fig11 prev px1000 by state+drug'!$B$4:$B$5</c:f>
              <c:strCache>
                <c:ptCount val="1"/>
                <c:pt idx="0">
                  <c:v>Atomoxetine (Strattera)</c:v>
                </c:pt>
              </c:strCache>
            </c:strRef>
          </c:tx>
          <c:invertIfNegative val="0"/>
          <c:cat>
            <c:strRef>
              <c:f>'Fig11 prev px1000 by state+drug'!$A$6:$A$13</c:f>
              <c:strCache>
                <c:ptCount val="8"/>
                <c:pt idx="0">
                  <c:v>ACT</c:v>
                </c:pt>
                <c:pt idx="1">
                  <c:v>NSW</c:v>
                </c:pt>
                <c:pt idx="2">
                  <c:v>NT</c:v>
                </c:pt>
                <c:pt idx="3">
                  <c:v>QLD</c:v>
                </c:pt>
                <c:pt idx="4">
                  <c:v>SA</c:v>
                </c:pt>
                <c:pt idx="5">
                  <c:v>TAS</c:v>
                </c:pt>
                <c:pt idx="6">
                  <c:v>VIC</c:v>
                </c:pt>
                <c:pt idx="7">
                  <c:v>WA</c:v>
                </c:pt>
              </c:strCache>
            </c:strRef>
          </c:cat>
          <c:val>
            <c:numRef>
              <c:f>'Fig11 prev px1000 by state+drug'!$B$6:$B$13</c:f>
              <c:numCache>
                <c:formatCode>General</c:formatCode>
                <c:ptCount val="8"/>
                <c:pt idx="0">
                  <c:v>0.34456315590000008</c:v>
                </c:pt>
                <c:pt idx="1">
                  <c:v>0.29274565239999978</c:v>
                </c:pt>
                <c:pt idx="2">
                  <c:v>0.19177489769999997</c:v>
                </c:pt>
                <c:pt idx="3">
                  <c:v>0.57364328330000014</c:v>
                </c:pt>
                <c:pt idx="4">
                  <c:v>0.14237290490000001</c:v>
                </c:pt>
                <c:pt idx="5">
                  <c:v>0.3962996482999997</c:v>
                </c:pt>
                <c:pt idx="6">
                  <c:v>0.21928672040000008</c:v>
                </c:pt>
                <c:pt idx="7">
                  <c:v>0.26113424760000004</c:v>
                </c:pt>
              </c:numCache>
            </c:numRef>
          </c:val>
        </c:ser>
        <c:ser>
          <c:idx val="1"/>
          <c:order val="1"/>
          <c:tx>
            <c:strRef>
              <c:f>'Fig11 prev px1000 by state+drug'!$C$4:$C$5</c:f>
              <c:strCache>
                <c:ptCount val="1"/>
                <c:pt idx="0">
                  <c:v>Dexamphetamine</c:v>
                </c:pt>
              </c:strCache>
            </c:strRef>
          </c:tx>
          <c:invertIfNegative val="0"/>
          <c:cat>
            <c:strRef>
              <c:f>'Fig11 prev px1000 by state+drug'!$A$6:$A$13</c:f>
              <c:strCache>
                <c:ptCount val="8"/>
                <c:pt idx="0">
                  <c:v>ACT</c:v>
                </c:pt>
                <c:pt idx="1">
                  <c:v>NSW</c:v>
                </c:pt>
                <c:pt idx="2">
                  <c:v>NT</c:v>
                </c:pt>
                <c:pt idx="3">
                  <c:v>QLD</c:v>
                </c:pt>
                <c:pt idx="4">
                  <c:v>SA</c:v>
                </c:pt>
                <c:pt idx="5">
                  <c:v>TAS</c:v>
                </c:pt>
                <c:pt idx="6">
                  <c:v>VIC</c:v>
                </c:pt>
                <c:pt idx="7">
                  <c:v>WA</c:v>
                </c:pt>
              </c:strCache>
            </c:strRef>
          </c:cat>
          <c:val>
            <c:numRef>
              <c:f>'Fig11 prev px1000 by state+drug'!$C$6:$C$13</c:f>
              <c:numCache>
                <c:formatCode>General</c:formatCode>
                <c:ptCount val="8"/>
                <c:pt idx="0">
                  <c:v>1.8264437963</c:v>
                </c:pt>
                <c:pt idx="1">
                  <c:v>1.2956090000999998</c:v>
                </c:pt>
                <c:pt idx="2">
                  <c:v>0.68141293389999968</c:v>
                </c:pt>
                <c:pt idx="3">
                  <c:v>1.4403549681999999</c:v>
                </c:pt>
                <c:pt idx="4">
                  <c:v>1.1496612111999991</c:v>
                </c:pt>
                <c:pt idx="5">
                  <c:v>1.0198888021999986</c:v>
                </c:pt>
                <c:pt idx="6">
                  <c:v>0.8761197788999997</c:v>
                </c:pt>
                <c:pt idx="7">
                  <c:v>4.2069038145000022</c:v>
                </c:pt>
              </c:numCache>
            </c:numRef>
          </c:val>
        </c:ser>
        <c:ser>
          <c:idx val="2"/>
          <c:order val="2"/>
          <c:tx>
            <c:strRef>
              <c:f>'Fig11 prev px1000 by state+drug'!$D$4:$D$5</c:f>
              <c:strCache>
                <c:ptCount val="1"/>
                <c:pt idx="0">
                  <c:v>MPH-CR (Concerta)</c:v>
                </c:pt>
              </c:strCache>
            </c:strRef>
          </c:tx>
          <c:invertIfNegative val="0"/>
          <c:cat>
            <c:strRef>
              <c:f>'Fig11 prev px1000 by state+drug'!$A$6:$A$13</c:f>
              <c:strCache>
                <c:ptCount val="8"/>
                <c:pt idx="0">
                  <c:v>ACT</c:v>
                </c:pt>
                <c:pt idx="1">
                  <c:v>NSW</c:v>
                </c:pt>
                <c:pt idx="2">
                  <c:v>NT</c:v>
                </c:pt>
                <c:pt idx="3">
                  <c:v>QLD</c:v>
                </c:pt>
                <c:pt idx="4">
                  <c:v>SA</c:v>
                </c:pt>
                <c:pt idx="5">
                  <c:v>TAS</c:v>
                </c:pt>
                <c:pt idx="6">
                  <c:v>VIC</c:v>
                </c:pt>
                <c:pt idx="7">
                  <c:v>WA</c:v>
                </c:pt>
              </c:strCache>
            </c:strRef>
          </c:cat>
          <c:val>
            <c:numRef>
              <c:f>'Fig11 prev px1000 by state+drug'!$D$6:$D$13</c:f>
              <c:numCache>
                <c:formatCode>General</c:formatCode>
                <c:ptCount val="8"/>
                <c:pt idx="0">
                  <c:v>2.6191981254999988</c:v>
                </c:pt>
                <c:pt idx="1">
                  <c:v>2.1659986219999956</c:v>
                </c:pt>
                <c:pt idx="2">
                  <c:v>1.4158699855000014</c:v>
                </c:pt>
                <c:pt idx="3">
                  <c:v>1.8746637073000019</c:v>
                </c:pt>
                <c:pt idx="4">
                  <c:v>0.66618655349999945</c:v>
                </c:pt>
                <c:pt idx="5">
                  <c:v>1.5074927826999995</c:v>
                </c:pt>
                <c:pt idx="6">
                  <c:v>1.1137231892000012</c:v>
                </c:pt>
                <c:pt idx="7">
                  <c:v>1.360851391200002</c:v>
                </c:pt>
              </c:numCache>
            </c:numRef>
          </c:val>
        </c:ser>
        <c:ser>
          <c:idx val="3"/>
          <c:order val="3"/>
          <c:tx>
            <c:strRef>
              <c:f>'Fig11 prev px1000 by state+drug'!$E$4:$E$5</c:f>
              <c:strCache>
                <c:ptCount val="1"/>
                <c:pt idx="0">
                  <c:v>MPH-CR (Ritalin LA)</c:v>
                </c:pt>
              </c:strCache>
            </c:strRef>
          </c:tx>
          <c:invertIfNegative val="0"/>
          <c:cat>
            <c:strRef>
              <c:f>'Fig11 prev px1000 by state+drug'!$A$6:$A$13</c:f>
              <c:strCache>
                <c:ptCount val="8"/>
                <c:pt idx="0">
                  <c:v>ACT</c:v>
                </c:pt>
                <c:pt idx="1">
                  <c:v>NSW</c:v>
                </c:pt>
                <c:pt idx="2">
                  <c:v>NT</c:v>
                </c:pt>
                <c:pt idx="3">
                  <c:v>QLD</c:v>
                </c:pt>
                <c:pt idx="4">
                  <c:v>SA</c:v>
                </c:pt>
                <c:pt idx="5">
                  <c:v>TAS</c:v>
                </c:pt>
                <c:pt idx="6">
                  <c:v>VIC</c:v>
                </c:pt>
                <c:pt idx="7">
                  <c:v>WA</c:v>
                </c:pt>
              </c:strCache>
            </c:strRef>
          </c:cat>
          <c:val>
            <c:numRef>
              <c:f>'Fig11 prev px1000 by state+drug'!$E$6:$E$13</c:f>
              <c:numCache>
                <c:formatCode>General</c:formatCode>
                <c:ptCount val="8"/>
                <c:pt idx="0">
                  <c:v>1.4922434421000008</c:v>
                </c:pt>
                <c:pt idx="1">
                  <c:v>1.2296381480999996</c:v>
                </c:pt>
                <c:pt idx="2">
                  <c:v>0.65285071399999994</c:v>
                </c:pt>
                <c:pt idx="3">
                  <c:v>1.1030298486999999</c:v>
                </c:pt>
                <c:pt idx="4">
                  <c:v>0.39330515059999949</c:v>
                </c:pt>
                <c:pt idx="5">
                  <c:v>1.1869563016999998</c:v>
                </c:pt>
                <c:pt idx="6">
                  <c:v>0.68524960349999986</c:v>
                </c:pt>
                <c:pt idx="7">
                  <c:v>1.1719953726000001</c:v>
                </c:pt>
              </c:numCache>
            </c:numRef>
          </c:val>
        </c:ser>
        <c:ser>
          <c:idx val="4"/>
          <c:order val="4"/>
          <c:tx>
            <c:strRef>
              <c:f>'Fig11 prev px1000 by state+drug'!$F$4:$F$5</c:f>
              <c:strCache>
                <c:ptCount val="1"/>
                <c:pt idx="0">
                  <c:v>MPH-IR (Attenta or Ritalin)</c:v>
                </c:pt>
              </c:strCache>
            </c:strRef>
          </c:tx>
          <c:invertIfNegative val="0"/>
          <c:cat>
            <c:strRef>
              <c:f>'Fig11 prev px1000 by state+drug'!$A$6:$A$13</c:f>
              <c:strCache>
                <c:ptCount val="8"/>
                <c:pt idx="0">
                  <c:v>ACT</c:v>
                </c:pt>
                <c:pt idx="1">
                  <c:v>NSW</c:v>
                </c:pt>
                <c:pt idx="2">
                  <c:v>NT</c:v>
                </c:pt>
                <c:pt idx="3">
                  <c:v>QLD</c:v>
                </c:pt>
                <c:pt idx="4">
                  <c:v>SA</c:v>
                </c:pt>
                <c:pt idx="5">
                  <c:v>TAS</c:v>
                </c:pt>
                <c:pt idx="6">
                  <c:v>VIC</c:v>
                </c:pt>
                <c:pt idx="7">
                  <c:v>WA</c:v>
                </c:pt>
              </c:strCache>
            </c:strRef>
          </c:cat>
          <c:val>
            <c:numRef>
              <c:f>'Fig11 prev px1000 by state+drug'!$F$6:$F$13</c:f>
              <c:numCache>
                <c:formatCode>General</c:formatCode>
                <c:ptCount val="8"/>
                <c:pt idx="0">
                  <c:v>2.2590907666999991</c:v>
                </c:pt>
                <c:pt idx="1">
                  <c:v>2.4789611487999985</c:v>
                </c:pt>
                <c:pt idx="2">
                  <c:v>1.3342636464000006</c:v>
                </c:pt>
                <c:pt idx="3">
                  <c:v>2.347300033500006</c:v>
                </c:pt>
                <c:pt idx="4">
                  <c:v>0.90822049229999968</c:v>
                </c:pt>
                <c:pt idx="5">
                  <c:v>1.728954351599999</c:v>
                </c:pt>
                <c:pt idx="6">
                  <c:v>1.3064763878999992</c:v>
                </c:pt>
                <c:pt idx="7">
                  <c:v>1.7082532027999997</c:v>
                </c:pt>
              </c:numCache>
            </c:numRef>
          </c:val>
        </c:ser>
        <c:ser>
          <c:idx val="5"/>
          <c:order val="5"/>
          <c:tx>
            <c:strRef>
              <c:f>'Fig11 prev px1000 by state+drug'!$G$4:$G$5</c:f>
              <c:strCache>
                <c:ptCount val="1"/>
                <c:pt idx="0">
                  <c:v>Total</c:v>
                </c:pt>
              </c:strCache>
            </c:strRef>
          </c:tx>
          <c:invertIfNegative val="0"/>
          <c:cat>
            <c:strRef>
              <c:f>'Fig11 prev px1000 by state+drug'!$A$6:$A$13</c:f>
              <c:strCache>
                <c:ptCount val="8"/>
                <c:pt idx="0">
                  <c:v>ACT</c:v>
                </c:pt>
                <c:pt idx="1">
                  <c:v>NSW</c:v>
                </c:pt>
                <c:pt idx="2">
                  <c:v>NT</c:v>
                </c:pt>
                <c:pt idx="3">
                  <c:v>QLD</c:v>
                </c:pt>
                <c:pt idx="4">
                  <c:v>SA</c:v>
                </c:pt>
                <c:pt idx="5">
                  <c:v>TAS</c:v>
                </c:pt>
                <c:pt idx="6">
                  <c:v>VIC</c:v>
                </c:pt>
                <c:pt idx="7">
                  <c:v>WA</c:v>
                </c:pt>
              </c:strCache>
            </c:strRef>
          </c:cat>
          <c:val>
            <c:numRef>
              <c:f>'Fig11 prev px1000 by state+drug'!$G$6:$G$13</c:f>
              <c:numCache>
                <c:formatCode>General</c:formatCode>
                <c:ptCount val="8"/>
                <c:pt idx="0">
                  <c:v>6.6943698859999889</c:v>
                </c:pt>
                <c:pt idx="1">
                  <c:v>5.9426968607000346</c:v>
                </c:pt>
                <c:pt idx="2">
                  <c:v>3.41522529840001</c:v>
                </c:pt>
                <c:pt idx="3">
                  <c:v>5.92616497369995</c:v>
                </c:pt>
                <c:pt idx="4">
                  <c:v>2.8083055567999993</c:v>
                </c:pt>
                <c:pt idx="5">
                  <c:v>4.6506929391000087</c:v>
                </c:pt>
                <c:pt idx="6">
                  <c:v>3.3788300481000051</c:v>
                </c:pt>
                <c:pt idx="7">
                  <c:v>7.383648566599998</c:v>
                </c:pt>
              </c:numCache>
            </c:numRef>
          </c:val>
        </c:ser>
        <c:dLbls>
          <c:showLegendKey val="0"/>
          <c:showVal val="0"/>
          <c:showCatName val="0"/>
          <c:showSerName val="0"/>
          <c:showPercent val="0"/>
          <c:showBubbleSize val="0"/>
        </c:dLbls>
        <c:gapWidth val="150"/>
        <c:axId val="137738880"/>
        <c:axId val="137749248"/>
      </c:barChart>
      <c:catAx>
        <c:axId val="137738880"/>
        <c:scaling>
          <c:orientation val="minMax"/>
        </c:scaling>
        <c:delete val="0"/>
        <c:axPos val="b"/>
        <c:title>
          <c:tx>
            <c:rich>
              <a:bodyPr/>
              <a:lstStyle/>
              <a:p>
                <a:pPr>
                  <a:defRPr/>
                </a:pPr>
                <a:r>
                  <a:rPr lang="en-AU"/>
                  <a:t>State</a:t>
                </a:r>
              </a:p>
            </c:rich>
          </c:tx>
          <c:overlay val="0"/>
        </c:title>
        <c:majorTickMark val="out"/>
        <c:minorTickMark val="none"/>
        <c:tickLblPos val="nextTo"/>
        <c:crossAx val="137749248"/>
        <c:crosses val="autoZero"/>
        <c:auto val="1"/>
        <c:lblAlgn val="ctr"/>
        <c:lblOffset val="100"/>
        <c:noMultiLvlLbl val="0"/>
      </c:catAx>
      <c:valAx>
        <c:axId val="137749248"/>
        <c:scaling>
          <c:orientation val="minMax"/>
        </c:scaling>
        <c:delete val="0"/>
        <c:axPos val="l"/>
        <c:majorGridlines/>
        <c:title>
          <c:tx>
            <c:rich>
              <a:bodyPr rot="-5400000" vert="horz"/>
              <a:lstStyle/>
              <a:p>
                <a:pPr>
                  <a:defRPr/>
                </a:pPr>
                <a:r>
                  <a:rPr lang="en-AU"/>
                  <a:t>People</a:t>
                </a:r>
                <a:r>
                  <a:rPr lang="en-AU" baseline="0"/>
                  <a:t> supplied ADHD medicines per 1000 population</a:t>
                </a:r>
                <a:endParaRPr lang="en-AU"/>
              </a:p>
            </c:rich>
          </c:tx>
          <c:overlay val="0"/>
        </c:title>
        <c:numFmt formatCode="General" sourceLinked="1"/>
        <c:majorTickMark val="out"/>
        <c:minorTickMark val="none"/>
        <c:tickLblPos val="nextTo"/>
        <c:crossAx val="137738880"/>
        <c:crosses val="autoZero"/>
        <c:crossBetween val="between"/>
      </c:valAx>
    </c:plotArea>
    <c:legend>
      <c:legendPos val="r"/>
      <c:layout>
        <c:manualLayout>
          <c:xMode val="edge"/>
          <c:yMode val="edge"/>
          <c:x val="6.7535554481240698E-2"/>
          <c:y val="0.90396680255782225"/>
          <c:w val="0.93026015270926898"/>
          <c:h val="8.727805669000549E-2"/>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Sheet5!$W$10</c:f>
              <c:strCache>
                <c:ptCount val="1"/>
                <c:pt idx="0">
                  <c:v>All patients</c:v>
                </c:pt>
              </c:strCache>
            </c:strRef>
          </c:tx>
          <c:spPr>
            <a:ln w="28575">
              <a:noFill/>
            </a:ln>
          </c:spPr>
          <c:marker>
            <c:symbol val="diamond"/>
            <c:size val="7"/>
            <c:spPr>
              <a:solidFill>
                <a:schemeClr val="tx1"/>
              </a:solidFill>
              <a:ln>
                <a:solidFill>
                  <a:schemeClr val="tx1"/>
                </a:solidFill>
              </a:ln>
            </c:spPr>
          </c:marker>
          <c:cat>
            <c:numRef>
              <c:f>Sheet5!$X$8:$AB$8</c:f>
              <c:numCache>
                <c:formatCode>General</c:formatCode>
                <c:ptCount val="5"/>
                <c:pt idx="0">
                  <c:v>2010</c:v>
                </c:pt>
                <c:pt idx="1">
                  <c:v>2011</c:v>
                </c:pt>
                <c:pt idx="2">
                  <c:v>2012</c:v>
                </c:pt>
                <c:pt idx="3">
                  <c:v>2013</c:v>
                </c:pt>
                <c:pt idx="4">
                  <c:v>2014</c:v>
                </c:pt>
              </c:numCache>
            </c:numRef>
          </c:cat>
          <c:val>
            <c:numRef>
              <c:f>Sheet5!$X$10:$AB$10</c:f>
              <c:numCache>
                <c:formatCode>General</c:formatCode>
                <c:ptCount val="5"/>
                <c:pt idx="0">
                  <c:v>2.999954027215888</c:v>
                </c:pt>
                <c:pt idx="1">
                  <c:v>2.9364808652246257</c:v>
                </c:pt>
                <c:pt idx="2">
                  <c:v>2.9112387764419418</c:v>
                </c:pt>
                <c:pt idx="3">
                  <c:v>2.8531306275107355</c:v>
                </c:pt>
                <c:pt idx="4">
                  <c:v>2.8163578734111034</c:v>
                </c:pt>
              </c:numCache>
            </c:numRef>
          </c:val>
          <c:smooth val="0"/>
        </c:ser>
        <c:dLbls>
          <c:showLegendKey val="0"/>
          <c:showVal val="0"/>
          <c:showCatName val="0"/>
          <c:showSerName val="0"/>
          <c:showPercent val="0"/>
          <c:showBubbleSize val="0"/>
        </c:dLbls>
        <c:marker val="1"/>
        <c:smooth val="0"/>
        <c:axId val="86114304"/>
        <c:axId val="86116608"/>
      </c:lineChart>
      <c:catAx>
        <c:axId val="86114304"/>
        <c:scaling>
          <c:orientation val="minMax"/>
        </c:scaling>
        <c:delete val="0"/>
        <c:axPos val="b"/>
        <c:title>
          <c:tx>
            <c:rich>
              <a:bodyPr/>
              <a:lstStyle/>
              <a:p>
                <a:pPr>
                  <a:defRPr/>
                </a:pPr>
                <a:r>
                  <a:rPr lang="en-AU"/>
                  <a:t>Year</a:t>
                </a:r>
              </a:p>
            </c:rich>
          </c:tx>
          <c:overlay val="0"/>
        </c:title>
        <c:numFmt formatCode="General" sourceLinked="1"/>
        <c:majorTickMark val="out"/>
        <c:minorTickMark val="none"/>
        <c:tickLblPos val="nextTo"/>
        <c:crossAx val="86116608"/>
        <c:crossesAt val="0"/>
        <c:auto val="1"/>
        <c:lblAlgn val="ctr"/>
        <c:lblOffset val="100"/>
        <c:noMultiLvlLbl val="0"/>
      </c:catAx>
      <c:valAx>
        <c:axId val="86116608"/>
        <c:scaling>
          <c:orientation val="minMax"/>
          <c:max val="5"/>
          <c:min val="0"/>
        </c:scaling>
        <c:delete val="0"/>
        <c:axPos val="l"/>
        <c:majorGridlines/>
        <c:title>
          <c:tx>
            <c:rich>
              <a:bodyPr rot="-5400000" vert="horz"/>
              <a:lstStyle/>
              <a:p>
                <a:pPr>
                  <a:defRPr/>
                </a:pPr>
                <a:r>
                  <a:rPr lang="en-AU"/>
                  <a:t>Male:Female Ratio</a:t>
                </a:r>
              </a:p>
            </c:rich>
          </c:tx>
          <c:layout>
            <c:manualLayout>
              <c:xMode val="edge"/>
              <c:yMode val="edge"/>
              <c:x val="2.2222222222222223E-2"/>
              <c:y val="0.30682159875646614"/>
            </c:manualLayout>
          </c:layout>
          <c:overlay val="0"/>
        </c:title>
        <c:numFmt formatCode="General" sourceLinked="1"/>
        <c:majorTickMark val="out"/>
        <c:minorTickMark val="none"/>
        <c:tickLblPos val="nextTo"/>
        <c:crossAx val="861143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[ADHD report June 2015 graphs.xlsx]Fig6 prev pt by age and sex '14!PivotTable1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pivotFmt>
      <c:pivotFmt>
        <c:idx val="4"/>
        <c:marker>
          <c:symbol val="none"/>
        </c:marker>
      </c:pivotFmt>
      <c:pivotFmt>
        <c:idx val="5"/>
        <c:marker>
          <c:symbol val="none"/>
        </c:marker>
      </c:pivotFmt>
      <c:pivotFmt>
        <c:idx val="6"/>
        <c:marker>
          <c:symbol val="none"/>
        </c:marker>
      </c:pivotFmt>
      <c:pivotFmt>
        <c:idx val="7"/>
        <c:marker>
          <c:symbol val="none"/>
        </c:marker>
      </c:pivotFmt>
    </c:pivotFmts>
    <c:plotArea>
      <c:layout/>
      <c:lineChart>
        <c:grouping val="standard"/>
        <c:varyColors val="0"/>
        <c:ser>
          <c:idx val="0"/>
          <c:order val="0"/>
          <c:tx>
            <c:strRef>
              <c:f>'Fig6 prev pt by age and sex ''14'!$B$4:$B$5</c:f>
              <c:strCache>
                <c:ptCount val="1"/>
                <c:pt idx="0">
                  <c:v>M</c:v>
                </c:pt>
              </c:strCache>
            </c:strRef>
          </c:tx>
          <c:marker>
            <c:symbol val="none"/>
          </c:marker>
          <c:cat>
            <c:strRef>
              <c:f>'Fig6 prev pt by age and sex ''14'!$A$6:$A$100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by age and sex ''14'!$B$6:$B$100</c:f>
              <c:numCache>
                <c:formatCode>General</c:formatCode>
                <c:ptCount val="94"/>
                <c:pt idx="0">
                  <c:v>2</c:v>
                </c:pt>
                <c:pt idx="1">
                  <c:v>6</c:v>
                </c:pt>
                <c:pt idx="2">
                  <c:v>8</c:v>
                </c:pt>
                <c:pt idx="3">
                  <c:v>140</c:v>
                </c:pt>
                <c:pt idx="4">
                  <c:v>932</c:v>
                </c:pt>
                <c:pt idx="5">
                  <c:v>3738</c:v>
                </c:pt>
                <c:pt idx="6">
                  <c:v>10009</c:v>
                </c:pt>
                <c:pt idx="7">
                  <c:v>13520</c:v>
                </c:pt>
                <c:pt idx="8">
                  <c:v>14811</c:v>
                </c:pt>
                <c:pt idx="9">
                  <c:v>15156</c:v>
                </c:pt>
                <c:pt idx="10">
                  <c:v>15012</c:v>
                </c:pt>
                <c:pt idx="11">
                  <c:v>14106</c:v>
                </c:pt>
                <c:pt idx="12">
                  <c:v>13420</c:v>
                </c:pt>
                <c:pt idx="13">
                  <c:v>12113</c:v>
                </c:pt>
                <c:pt idx="14">
                  <c:v>10659</c:v>
                </c:pt>
                <c:pt idx="15">
                  <c:v>9019</c:v>
                </c:pt>
                <c:pt idx="16">
                  <c:v>7085</c:v>
                </c:pt>
                <c:pt idx="17">
                  <c:v>5614</c:v>
                </c:pt>
                <c:pt idx="18">
                  <c:v>3541</c:v>
                </c:pt>
                <c:pt idx="19">
                  <c:v>2937</c:v>
                </c:pt>
                <c:pt idx="20">
                  <c:v>2486</c:v>
                </c:pt>
                <c:pt idx="21">
                  <c:v>2252</c:v>
                </c:pt>
                <c:pt idx="22">
                  <c:v>2138</c:v>
                </c:pt>
                <c:pt idx="23">
                  <c:v>1999</c:v>
                </c:pt>
                <c:pt idx="24">
                  <c:v>1993</c:v>
                </c:pt>
                <c:pt idx="25">
                  <c:v>1946</c:v>
                </c:pt>
                <c:pt idx="26">
                  <c:v>1843</c:v>
                </c:pt>
                <c:pt idx="27">
                  <c:v>1811</c:v>
                </c:pt>
                <c:pt idx="28">
                  <c:v>1807</c:v>
                </c:pt>
                <c:pt idx="29">
                  <c:v>1684</c:v>
                </c:pt>
                <c:pt idx="30">
                  <c:v>1655</c:v>
                </c:pt>
                <c:pt idx="31">
                  <c:v>1649</c:v>
                </c:pt>
                <c:pt idx="32">
                  <c:v>1540</c:v>
                </c:pt>
                <c:pt idx="33">
                  <c:v>1414</c:v>
                </c:pt>
                <c:pt idx="34">
                  <c:v>1302</c:v>
                </c:pt>
                <c:pt idx="35">
                  <c:v>1259</c:v>
                </c:pt>
                <c:pt idx="36">
                  <c:v>1124</c:v>
                </c:pt>
                <c:pt idx="37">
                  <c:v>1090</c:v>
                </c:pt>
                <c:pt idx="38">
                  <c:v>1009</c:v>
                </c:pt>
                <c:pt idx="39">
                  <c:v>951</c:v>
                </c:pt>
                <c:pt idx="40">
                  <c:v>969</c:v>
                </c:pt>
                <c:pt idx="41">
                  <c:v>1093</c:v>
                </c:pt>
                <c:pt idx="42">
                  <c:v>979</c:v>
                </c:pt>
                <c:pt idx="43">
                  <c:v>938</c:v>
                </c:pt>
                <c:pt idx="44">
                  <c:v>861</c:v>
                </c:pt>
                <c:pt idx="45">
                  <c:v>869</c:v>
                </c:pt>
                <c:pt idx="46">
                  <c:v>679</c:v>
                </c:pt>
                <c:pt idx="47">
                  <c:v>689</c:v>
                </c:pt>
                <c:pt idx="48">
                  <c:v>640</c:v>
                </c:pt>
                <c:pt idx="49">
                  <c:v>585</c:v>
                </c:pt>
                <c:pt idx="50">
                  <c:v>648</c:v>
                </c:pt>
                <c:pt idx="51">
                  <c:v>554</c:v>
                </c:pt>
                <c:pt idx="52">
                  <c:v>518</c:v>
                </c:pt>
                <c:pt idx="53">
                  <c:v>530</c:v>
                </c:pt>
                <c:pt idx="54">
                  <c:v>452</c:v>
                </c:pt>
                <c:pt idx="55">
                  <c:v>421</c:v>
                </c:pt>
                <c:pt idx="56">
                  <c:v>431</c:v>
                </c:pt>
                <c:pt idx="57">
                  <c:v>331</c:v>
                </c:pt>
                <c:pt idx="58">
                  <c:v>349</c:v>
                </c:pt>
                <c:pt idx="59">
                  <c:v>359</c:v>
                </c:pt>
                <c:pt idx="60">
                  <c:v>322</c:v>
                </c:pt>
                <c:pt idx="61">
                  <c:v>262</c:v>
                </c:pt>
                <c:pt idx="62">
                  <c:v>215</c:v>
                </c:pt>
                <c:pt idx="63">
                  <c:v>248</c:v>
                </c:pt>
                <c:pt idx="64">
                  <c:v>202</c:v>
                </c:pt>
                <c:pt idx="65">
                  <c:v>243</c:v>
                </c:pt>
                <c:pt idx="66">
                  <c:v>166</c:v>
                </c:pt>
                <c:pt idx="67">
                  <c:v>124</c:v>
                </c:pt>
                <c:pt idx="68">
                  <c:v>108</c:v>
                </c:pt>
                <c:pt idx="69">
                  <c:v>90</c:v>
                </c:pt>
                <c:pt idx="70">
                  <c:v>95</c:v>
                </c:pt>
                <c:pt idx="71">
                  <c:v>92</c:v>
                </c:pt>
                <c:pt idx="72">
                  <c:v>64</c:v>
                </c:pt>
                <c:pt idx="73">
                  <c:v>34</c:v>
                </c:pt>
                <c:pt idx="74">
                  <c:v>51</c:v>
                </c:pt>
                <c:pt idx="75">
                  <c:v>28</c:v>
                </c:pt>
                <c:pt idx="76">
                  <c:v>34</c:v>
                </c:pt>
                <c:pt idx="77">
                  <c:v>28</c:v>
                </c:pt>
                <c:pt idx="78">
                  <c:v>38</c:v>
                </c:pt>
                <c:pt idx="79">
                  <c:v>28</c:v>
                </c:pt>
                <c:pt idx="80">
                  <c:v>24</c:v>
                </c:pt>
                <c:pt idx="81">
                  <c:v>25</c:v>
                </c:pt>
                <c:pt idx="82">
                  <c:v>8</c:v>
                </c:pt>
                <c:pt idx="83">
                  <c:v>14</c:v>
                </c:pt>
                <c:pt idx="84">
                  <c:v>8</c:v>
                </c:pt>
                <c:pt idx="85">
                  <c:v>10</c:v>
                </c:pt>
                <c:pt idx="86">
                  <c:v>6</c:v>
                </c:pt>
                <c:pt idx="87">
                  <c:v>12</c:v>
                </c:pt>
                <c:pt idx="88">
                  <c:v>2</c:v>
                </c:pt>
                <c:pt idx="89">
                  <c:v>6</c:v>
                </c:pt>
                <c:pt idx="91">
                  <c:v>4</c:v>
                </c:pt>
                <c:pt idx="93">
                  <c:v>2</c:v>
                </c:pt>
              </c:numCache>
            </c:numRef>
          </c:val>
          <c:smooth val="0"/>
        </c:ser>
        <c:ser>
          <c:idx val="1"/>
          <c:order val="1"/>
          <c:tx>
            <c:strRef>
              <c:f>'Fig6 prev pt by age and sex ''14'!$C$4:$C$5</c:f>
              <c:strCache>
                <c:ptCount val="1"/>
                <c:pt idx="0">
                  <c:v>F</c:v>
                </c:pt>
              </c:strCache>
            </c:strRef>
          </c:tx>
          <c:marker>
            <c:symbol val="none"/>
          </c:marker>
          <c:cat>
            <c:strRef>
              <c:f>'Fig6 prev pt by age and sex ''14'!$A$6:$A$100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by age and sex ''14'!$C$6:$C$100</c:f>
              <c:numCache>
                <c:formatCode>General</c:formatCode>
                <c:ptCount val="94"/>
                <c:pt idx="2">
                  <c:v>6</c:v>
                </c:pt>
                <c:pt idx="3">
                  <c:v>20</c:v>
                </c:pt>
                <c:pt idx="4">
                  <c:v>190</c:v>
                </c:pt>
                <c:pt idx="5">
                  <c:v>865</c:v>
                </c:pt>
                <c:pt idx="6">
                  <c:v>2507</c:v>
                </c:pt>
                <c:pt idx="7">
                  <c:v>3405</c:v>
                </c:pt>
                <c:pt idx="8">
                  <c:v>3902</c:v>
                </c:pt>
                <c:pt idx="9">
                  <c:v>3917</c:v>
                </c:pt>
                <c:pt idx="10">
                  <c:v>3682</c:v>
                </c:pt>
                <c:pt idx="11">
                  <c:v>3539</c:v>
                </c:pt>
                <c:pt idx="12">
                  <c:v>3525</c:v>
                </c:pt>
                <c:pt idx="13">
                  <c:v>3117</c:v>
                </c:pt>
                <c:pt idx="14">
                  <c:v>2774</c:v>
                </c:pt>
                <c:pt idx="15">
                  <c:v>2661</c:v>
                </c:pt>
                <c:pt idx="16">
                  <c:v>2303</c:v>
                </c:pt>
                <c:pt idx="17">
                  <c:v>2167</c:v>
                </c:pt>
                <c:pt idx="18">
                  <c:v>1413</c:v>
                </c:pt>
                <c:pt idx="19">
                  <c:v>1307</c:v>
                </c:pt>
                <c:pt idx="20">
                  <c:v>1264</c:v>
                </c:pt>
                <c:pt idx="21">
                  <c:v>1127</c:v>
                </c:pt>
                <c:pt idx="22">
                  <c:v>1149</c:v>
                </c:pt>
                <c:pt idx="23">
                  <c:v>1166</c:v>
                </c:pt>
                <c:pt idx="24">
                  <c:v>1128</c:v>
                </c:pt>
                <c:pt idx="25">
                  <c:v>1131</c:v>
                </c:pt>
                <c:pt idx="26">
                  <c:v>1047</c:v>
                </c:pt>
                <c:pt idx="27">
                  <c:v>1071</c:v>
                </c:pt>
                <c:pt idx="28">
                  <c:v>1050</c:v>
                </c:pt>
                <c:pt idx="29">
                  <c:v>915</c:v>
                </c:pt>
                <c:pt idx="30">
                  <c:v>973</c:v>
                </c:pt>
                <c:pt idx="31">
                  <c:v>922</c:v>
                </c:pt>
                <c:pt idx="32">
                  <c:v>818</c:v>
                </c:pt>
                <c:pt idx="33">
                  <c:v>801</c:v>
                </c:pt>
                <c:pt idx="34">
                  <c:v>731</c:v>
                </c:pt>
                <c:pt idx="35">
                  <c:v>716</c:v>
                </c:pt>
                <c:pt idx="36">
                  <c:v>750</c:v>
                </c:pt>
                <c:pt idx="37">
                  <c:v>614</c:v>
                </c:pt>
                <c:pt idx="38">
                  <c:v>638</c:v>
                </c:pt>
                <c:pt idx="39">
                  <c:v>712</c:v>
                </c:pt>
                <c:pt idx="40">
                  <c:v>734</c:v>
                </c:pt>
                <c:pt idx="41">
                  <c:v>673</c:v>
                </c:pt>
                <c:pt idx="42">
                  <c:v>747</c:v>
                </c:pt>
                <c:pt idx="43">
                  <c:v>754</c:v>
                </c:pt>
                <c:pt idx="44">
                  <c:v>684</c:v>
                </c:pt>
                <c:pt idx="45">
                  <c:v>682</c:v>
                </c:pt>
                <c:pt idx="46">
                  <c:v>604</c:v>
                </c:pt>
                <c:pt idx="47">
                  <c:v>568</c:v>
                </c:pt>
                <c:pt idx="48">
                  <c:v>502</c:v>
                </c:pt>
                <c:pt idx="49">
                  <c:v>514</c:v>
                </c:pt>
                <c:pt idx="50">
                  <c:v>524</c:v>
                </c:pt>
                <c:pt idx="51">
                  <c:v>503</c:v>
                </c:pt>
                <c:pt idx="52">
                  <c:v>486</c:v>
                </c:pt>
                <c:pt idx="53">
                  <c:v>464</c:v>
                </c:pt>
                <c:pt idx="54">
                  <c:v>417</c:v>
                </c:pt>
                <c:pt idx="55">
                  <c:v>333</c:v>
                </c:pt>
                <c:pt idx="56">
                  <c:v>313</c:v>
                </c:pt>
                <c:pt idx="57">
                  <c:v>313</c:v>
                </c:pt>
                <c:pt idx="58">
                  <c:v>290</c:v>
                </c:pt>
                <c:pt idx="59">
                  <c:v>257</c:v>
                </c:pt>
                <c:pt idx="60">
                  <c:v>245</c:v>
                </c:pt>
                <c:pt idx="61">
                  <c:v>195</c:v>
                </c:pt>
                <c:pt idx="62">
                  <c:v>176</c:v>
                </c:pt>
                <c:pt idx="63">
                  <c:v>149</c:v>
                </c:pt>
                <c:pt idx="64">
                  <c:v>131</c:v>
                </c:pt>
                <c:pt idx="65">
                  <c:v>114</c:v>
                </c:pt>
                <c:pt idx="66">
                  <c:v>125</c:v>
                </c:pt>
                <c:pt idx="67">
                  <c:v>99</c:v>
                </c:pt>
                <c:pt idx="68">
                  <c:v>84</c:v>
                </c:pt>
                <c:pt idx="69">
                  <c:v>74</c:v>
                </c:pt>
                <c:pt idx="70">
                  <c:v>50</c:v>
                </c:pt>
                <c:pt idx="71">
                  <c:v>67</c:v>
                </c:pt>
                <c:pt idx="72">
                  <c:v>46</c:v>
                </c:pt>
                <c:pt idx="73">
                  <c:v>30</c:v>
                </c:pt>
                <c:pt idx="74">
                  <c:v>22</c:v>
                </c:pt>
                <c:pt idx="75">
                  <c:v>32</c:v>
                </c:pt>
                <c:pt idx="76">
                  <c:v>40</c:v>
                </c:pt>
                <c:pt idx="77">
                  <c:v>42</c:v>
                </c:pt>
                <c:pt idx="78">
                  <c:v>16</c:v>
                </c:pt>
                <c:pt idx="79">
                  <c:v>18</c:v>
                </c:pt>
                <c:pt idx="80">
                  <c:v>12</c:v>
                </c:pt>
                <c:pt idx="81">
                  <c:v>32</c:v>
                </c:pt>
                <c:pt idx="82">
                  <c:v>10</c:v>
                </c:pt>
                <c:pt idx="83">
                  <c:v>22</c:v>
                </c:pt>
                <c:pt idx="84">
                  <c:v>22</c:v>
                </c:pt>
                <c:pt idx="85">
                  <c:v>6</c:v>
                </c:pt>
                <c:pt idx="86">
                  <c:v>4</c:v>
                </c:pt>
                <c:pt idx="87">
                  <c:v>4</c:v>
                </c:pt>
                <c:pt idx="89">
                  <c:v>2</c:v>
                </c:pt>
                <c:pt idx="90">
                  <c:v>4</c:v>
                </c:pt>
                <c:pt idx="91">
                  <c:v>2</c:v>
                </c:pt>
                <c:pt idx="92">
                  <c:v>6</c:v>
                </c:pt>
              </c:numCache>
            </c:numRef>
          </c:val>
          <c:smooth val="0"/>
        </c:ser>
        <c:dLbls>
          <c:showLegendKey val="0"/>
          <c:showVal val="0"/>
          <c:showCatName val="0"/>
          <c:showSerName val="0"/>
          <c:showPercent val="0"/>
          <c:showBubbleSize val="0"/>
        </c:dLbls>
        <c:marker val="1"/>
        <c:smooth val="0"/>
        <c:axId val="86136704"/>
        <c:axId val="86163456"/>
      </c:lineChart>
      <c:catAx>
        <c:axId val="86136704"/>
        <c:scaling>
          <c:orientation val="minMax"/>
        </c:scaling>
        <c:delete val="0"/>
        <c:axPos val="b"/>
        <c:title>
          <c:tx>
            <c:rich>
              <a:bodyPr/>
              <a:lstStyle/>
              <a:p>
                <a:pPr>
                  <a:defRPr/>
                </a:pPr>
                <a:r>
                  <a:rPr lang="en-AU"/>
                  <a:t>Age</a:t>
                </a:r>
              </a:p>
            </c:rich>
          </c:tx>
          <c:overlay val="0"/>
        </c:title>
        <c:majorTickMark val="out"/>
        <c:minorTickMark val="none"/>
        <c:tickLblPos val="nextTo"/>
        <c:crossAx val="86163456"/>
        <c:crosses val="autoZero"/>
        <c:auto val="1"/>
        <c:lblAlgn val="ctr"/>
        <c:lblOffset val="100"/>
        <c:noMultiLvlLbl val="0"/>
      </c:catAx>
      <c:valAx>
        <c:axId val="86163456"/>
        <c:scaling>
          <c:orientation val="minMax"/>
        </c:scaling>
        <c:delete val="0"/>
        <c:axPos val="l"/>
        <c:majorGridlines/>
        <c:title>
          <c:tx>
            <c:rich>
              <a:bodyPr rot="-5400000" vert="horz"/>
              <a:lstStyle/>
              <a:p>
                <a:pPr>
                  <a:defRPr/>
                </a:pPr>
                <a:r>
                  <a:rPr lang="en-AU"/>
                  <a:t>Number of people</a:t>
                </a:r>
              </a:p>
            </c:rich>
          </c:tx>
          <c:overlay val="0"/>
        </c:title>
        <c:numFmt formatCode="General" sourceLinked="1"/>
        <c:majorTickMark val="out"/>
        <c:minorTickMark val="none"/>
        <c:tickLblPos val="nextTo"/>
        <c:crossAx val="8613670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[Copy of DUSC - ATC1 to 5,  item and script type by QOS - most recent 5 years - scripts - incl pub hosp HSD from July 13.xlsm]ATC 5 pivot!PivotTable1</c:name>
    <c:fmtId val="-1"/>
  </c:pivotSource>
  <c:chart>
    <c:autoTitleDeleted val="1"/>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dLbl>
          <c:idx val="0"/>
          <c:delete val="1"/>
        </c:dLbl>
      </c:pivotFmt>
      <c:pivotFmt>
        <c:idx val="28"/>
        <c:dLbl>
          <c:idx val="0"/>
          <c:delete val="1"/>
        </c:dLbl>
      </c:pivotFmt>
      <c:pivotFmt>
        <c:idx val="29"/>
        <c:dLbl>
          <c:idx val="0"/>
          <c:delete val="1"/>
        </c:dLbl>
      </c:pivotFmt>
      <c:pivotFmt>
        <c:idx val="30"/>
        <c:dLbl>
          <c:idx val="0"/>
          <c:delete val="1"/>
        </c:dLbl>
      </c:pivotFmt>
      <c:pivotFmt>
        <c:idx val="31"/>
        <c:dLbl>
          <c:idx val="0"/>
          <c:delete val="1"/>
        </c:dLbl>
      </c:pivotFmt>
      <c:pivotFmt>
        <c:idx val="32"/>
        <c:dLbl>
          <c:idx val="0"/>
          <c:delete val="1"/>
        </c:dLbl>
      </c:pivotFmt>
      <c:pivotFmt>
        <c:idx val="33"/>
        <c:dLbl>
          <c:idx val="0"/>
          <c:delete val="1"/>
        </c:dLbl>
      </c:pivotFmt>
      <c:pivotFmt>
        <c:idx val="34"/>
        <c:dLbl>
          <c:idx val="0"/>
          <c:delete val="1"/>
        </c:dLbl>
      </c:pivotFmt>
      <c:pivotFmt>
        <c:idx val="35"/>
        <c:dLbl>
          <c:idx val="0"/>
          <c:delete val="1"/>
        </c:dLbl>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dLbl>
          <c:idx val="0"/>
          <c:delete val="1"/>
        </c:dLbl>
      </c:pivotFmt>
      <c:pivotFmt>
        <c:idx val="73"/>
        <c:dLbl>
          <c:idx val="0"/>
          <c:delete val="1"/>
        </c:dLbl>
      </c:pivotFmt>
      <c:pivotFmt>
        <c:idx val="74"/>
        <c:dLbl>
          <c:idx val="0"/>
          <c:delete val="1"/>
        </c:dLbl>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s>
    <c:plotArea>
      <c:layout/>
      <c:lineChart>
        <c:grouping val="standard"/>
        <c:varyColors val="0"/>
        <c:ser>
          <c:idx val="0"/>
          <c:order val="0"/>
          <c:tx>
            <c:strRef>
              <c:f>'ATC 5 pivot'!$B$2</c:f>
              <c:strCache>
                <c:ptCount val="1"/>
                <c:pt idx="0">
                  <c:v>N06BA04 - METHYLPHENIDATE</c:v>
                </c:pt>
              </c:strCache>
            </c:strRef>
          </c:tx>
          <c:cat>
            <c:strRef>
              <c:f>'ATC 5 pivot'!$B$2</c:f>
              <c:strCache>
                <c:ptCount val="20"/>
                <c:pt idx="0">
                  <c:v>2010 Q1</c:v>
                </c:pt>
                <c:pt idx="1">
                  <c:v>2010 Q2</c:v>
                </c:pt>
                <c:pt idx="2">
                  <c:v>2010 Q3</c:v>
                </c:pt>
                <c:pt idx="3">
                  <c:v>2010 Q4</c:v>
                </c:pt>
                <c:pt idx="4">
                  <c:v>2011 Q1</c:v>
                </c:pt>
                <c:pt idx="5">
                  <c:v>2011 Q2</c:v>
                </c:pt>
                <c:pt idx="6">
                  <c:v>2011 Q3</c:v>
                </c:pt>
                <c:pt idx="7">
                  <c:v>2011 Q4</c:v>
                </c:pt>
                <c:pt idx="8">
                  <c:v>2012 Q1</c:v>
                </c:pt>
                <c:pt idx="9">
                  <c:v>2012 Q2</c:v>
                </c:pt>
                <c:pt idx="10">
                  <c:v>2012 Q3</c:v>
                </c:pt>
                <c:pt idx="11">
                  <c:v>2012 Q4</c:v>
                </c:pt>
                <c:pt idx="12">
                  <c:v>2013 Q1</c:v>
                </c:pt>
                <c:pt idx="13">
                  <c:v>2013 Q2</c:v>
                </c:pt>
                <c:pt idx="14">
                  <c:v>2013 Q3</c:v>
                </c:pt>
                <c:pt idx="15">
                  <c:v>2013 Q4</c:v>
                </c:pt>
                <c:pt idx="16">
                  <c:v>2014 Q1</c:v>
                </c:pt>
                <c:pt idx="17">
                  <c:v>2014 Q2</c:v>
                </c:pt>
                <c:pt idx="18">
                  <c:v>2014 Q3</c:v>
                </c:pt>
                <c:pt idx="19">
                  <c:v>2014 Q4</c:v>
                </c:pt>
              </c:strCache>
            </c:strRef>
          </c:cat>
          <c:val>
            <c:numRef>
              <c:f>'ATC 5 pivot'!$B$2</c:f>
              <c:numCache>
                <c:formatCode>_(* #,##0_);_(* \(#,##0\);_(* "-"??_);_(@_)</c:formatCode>
                <c:ptCount val="20"/>
                <c:pt idx="0">
                  <c:v>98192</c:v>
                </c:pt>
                <c:pt idx="1">
                  <c:v>106077</c:v>
                </c:pt>
                <c:pt idx="2">
                  <c:v>110955</c:v>
                </c:pt>
                <c:pt idx="3">
                  <c:v>112304</c:v>
                </c:pt>
                <c:pt idx="4">
                  <c:v>107193</c:v>
                </c:pt>
                <c:pt idx="5">
                  <c:v>116931</c:v>
                </c:pt>
                <c:pt idx="6">
                  <c:v>124628</c:v>
                </c:pt>
                <c:pt idx="7">
                  <c:v>124657</c:v>
                </c:pt>
                <c:pt idx="8">
                  <c:v>122101</c:v>
                </c:pt>
                <c:pt idx="9">
                  <c:v>129503</c:v>
                </c:pt>
                <c:pt idx="10">
                  <c:v>135105</c:v>
                </c:pt>
                <c:pt idx="11">
                  <c:v>133542</c:v>
                </c:pt>
                <c:pt idx="12">
                  <c:v>125496</c:v>
                </c:pt>
                <c:pt idx="13">
                  <c:v>138172</c:v>
                </c:pt>
                <c:pt idx="14">
                  <c:v>145832</c:v>
                </c:pt>
                <c:pt idx="15">
                  <c:v>146735</c:v>
                </c:pt>
                <c:pt idx="16">
                  <c:v>137662</c:v>
                </c:pt>
                <c:pt idx="17">
                  <c:v>148074</c:v>
                </c:pt>
                <c:pt idx="18">
                  <c:v>154534</c:v>
                </c:pt>
                <c:pt idx="19">
                  <c:v>155388</c:v>
                </c:pt>
              </c:numCache>
            </c:numRef>
          </c:val>
          <c:smooth val="0"/>
        </c:ser>
        <c:ser>
          <c:idx val="1"/>
          <c:order val="1"/>
          <c:tx>
            <c:strRef>
              <c:f>'ATC 5 pivot'!$B$2</c:f>
              <c:strCache>
                <c:ptCount val="1"/>
                <c:pt idx="0">
                  <c:v>N06BA09 - ATOMOXETINE</c:v>
                </c:pt>
              </c:strCache>
            </c:strRef>
          </c:tx>
          <c:cat>
            <c:strRef>
              <c:f>'ATC 5 pivot'!$B$2</c:f>
              <c:strCache>
                <c:ptCount val="20"/>
                <c:pt idx="0">
                  <c:v>2010 Q1</c:v>
                </c:pt>
                <c:pt idx="1">
                  <c:v>2010 Q2</c:v>
                </c:pt>
                <c:pt idx="2">
                  <c:v>2010 Q3</c:v>
                </c:pt>
                <c:pt idx="3">
                  <c:v>2010 Q4</c:v>
                </c:pt>
                <c:pt idx="4">
                  <c:v>2011 Q1</c:v>
                </c:pt>
                <c:pt idx="5">
                  <c:v>2011 Q2</c:v>
                </c:pt>
                <c:pt idx="6">
                  <c:v>2011 Q3</c:v>
                </c:pt>
                <c:pt idx="7">
                  <c:v>2011 Q4</c:v>
                </c:pt>
                <c:pt idx="8">
                  <c:v>2012 Q1</c:v>
                </c:pt>
                <c:pt idx="9">
                  <c:v>2012 Q2</c:v>
                </c:pt>
                <c:pt idx="10">
                  <c:v>2012 Q3</c:v>
                </c:pt>
                <c:pt idx="11">
                  <c:v>2012 Q4</c:v>
                </c:pt>
                <c:pt idx="12">
                  <c:v>2013 Q1</c:v>
                </c:pt>
                <c:pt idx="13">
                  <c:v>2013 Q2</c:v>
                </c:pt>
                <c:pt idx="14">
                  <c:v>2013 Q3</c:v>
                </c:pt>
                <c:pt idx="15">
                  <c:v>2013 Q4</c:v>
                </c:pt>
                <c:pt idx="16">
                  <c:v>2014 Q1</c:v>
                </c:pt>
                <c:pt idx="17">
                  <c:v>2014 Q2</c:v>
                </c:pt>
                <c:pt idx="18">
                  <c:v>2014 Q3</c:v>
                </c:pt>
                <c:pt idx="19">
                  <c:v>2014 Q4</c:v>
                </c:pt>
              </c:strCache>
            </c:strRef>
          </c:cat>
          <c:val>
            <c:numRef>
              <c:f>'ATC 5 pivot'!$B$2</c:f>
              <c:numCache>
                <c:formatCode>_(* #,##0_);_(* \(#,##0\);_(* "-"??_);_(@_)</c:formatCode>
                <c:ptCount val="20"/>
                <c:pt idx="0">
                  <c:v>7639</c:v>
                </c:pt>
                <c:pt idx="1">
                  <c:v>8193</c:v>
                </c:pt>
                <c:pt idx="2">
                  <c:v>8895</c:v>
                </c:pt>
                <c:pt idx="3">
                  <c:v>9110</c:v>
                </c:pt>
                <c:pt idx="4">
                  <c:v>8350</c:v>
                </c:pt>
                <c:pt idx="5">
                  <c:v>8889</c:v>
                </c:pt>
                <c:pt idx="6">
                  <c:v>9190</c:v>
                </c:pt>
                <c:pt idx="7">
                  <c:v>9594</c:v>
                </c:pt>
                <c:pt idx="8">
                  <c:v>8819</c:v>
                </c:pt>
                <c:pt idx="9">
                  <c:v>9288</c:v>
                </c:pt>
                <c:pt idx="10">
                  <c:v>9485</c:v>
                </c:pt>
                <c:pt idx="11">
                  <c:v>9650</c:v>
                </c:pt>
                <c:pt idx="12">
                  <c:v>8891</c:v>
                </c:pt>
                <c:pt idx="13">
                  <c:v>9554</c:v>
                </c:pt>
                <c:pt idx="14">
                  <c:v>9978</c:v>
                </c:pt>
                <c:pt idx="15">
                  <c:v>9752</c:v>
                </c:pt>
                <c:pt idx="16">
                  <c:v>8734</c:v>
                </c:pt>
                <c:pt idx="17">
                  <c:v>9618</c:v>
                </c:pt>
                <c:pt idx="18">
                  <c:v>10080</c:v>
                </c:pt>
                <c:pt idx="19">
                  <c:v>10642</c:v>
                </c:pt>
              </c:numCache>
            </c:numRef>
          </c:val>
          <c:smooth val="0"/>
        </c:ser>
        <c:ser>
          <c:idx val="2"/>
          <c:order val="2"/>
          <c:tx>
            <c:strRef>
              <c:f>'ATC 5 pivot'!$B$2</c:f>
              <c:strCache>
                <c:ptCount val="1"/>
                <c:pt idx="0">
                  <c:v>N06BA02 - DEXAMPHETAMINE SULPHATE</c:v>
                </c:pt>
              </c:strCache>
            </c:strRef>
          </c:tx>
          <c:cat>
            <c:strRef>
              <c:f>'ATC 5 pivot'!$B$2</c:f>
              <c:strCache>
                <c:ptCount val="20"/>
                <c:pt idx="0">
                  <c:v>2010 Q1</c:v>
                </c:pt>
                <c:pt idx="1">
                  <c:v>2010 Q2</c:v>
                </c:pt>
                <c:pt idx="2">
                  <c:v>2010 Q3</c:v>
                </c:pt>
                <c:pt idx="3">
                  <c:v>2010 Q4</c:v>
                </c:pt>
                <c:pt idx="4">
                  <c:v>2011 Q1</c:v>
                </c:pt>
                <c:pt idx="5">
                  <c:v>2011 Q2</c:v>
                </c:pt>
                <c:pt idx="6">
                  <c:v>2011 Q3</c:v>
                </c:pt>
                <c:pt idx="7">
                  <c:v>2011 Q4</c:v>
                </c:pt>
                <c:pt idx="8">
                  <c:v>2012 Q1</c:v>
                </c:pt>
                <c:pt idx="9">
                  <c:v>2012 Q2</c:v>
                </c:pt>
                <c:pt idx="10">
                  <c:v>2012 Q3</c:v>
                </c:pt>
                <c:pt idx="11">
                  <c:v>2012 Q4</c:v>
                </c:pt>
                <c:pt idx="12">
                  <c:v>2013 Q1</c:v>
                </c:pt>
                <c:pt idx="13">
                  <c:v>2013 Q2</c:v>
                </c:pt>
                <c:pt idx="14">
                  <c:v>2013 Q3</c:v>
                </c:pt>
                <c:pt idx="15">
                  <c:v>2013 Q4</c:v>
                </c:pt>
                <c:pt idx="16">
                  <c:v>2014 Q1</c:v>
                </c:pt>
                <c:pt idx="17">
                  <c:v>2014 Q2</c:v>
                </c:pt>
                <c:pt idx="18">
                  <c:v>2014 Q3</c:v>
                </c:pt>
                <c:pt idx="19">
                  <c:v>2014 Q4</c:v>
                </c:pt>
              </c:strCache>
            </c:strRef>
          </c:cat>
          <c:val>
            <c:numRef>
              <c:f>'ATC 5 pivot'!$B$2</c:f>
              <c:numCache>
                <c:formatCode>_(* #,##0_);_(* \(#,##0\);_(* "-"??_);_(@_)</c:formatCode>
                <c:ptCount val="20"/>
                <c:pt idx="0">
                  <c:v>54427</c:v>
                </c:pt>
                <c:pt idx="1">
                  <c:v>55892</c:v>
                </c:pt>
                <c:pt idx="2">
                  <c:v>57807</c:v>
                </c:pt>
                <c:pt idx="3">
                  <c:v>59138</c:v>
                </c:pt>
                <c:pt idx="4">
                  <c:v>52010</c:v>
                </c:pt>
                <c:pt idx="5">
                  <c:v>54812</c:v>
                </c:pt>
                <c:pt idx="6">
                  <c:v>54109</c:v>
                </c:pt>
                <c:pt idx="7">
                  <c:v>53178</c:v>
                </c:pt>
                <c:pt idx="8">
                  <c:v>53616</c:v>
                </c:pt>
                <c:pt idx="9">
                  <c:v>58277</c:v>
                </c:pt>
                <c:pt idx="10">
                  <c:v>59911</c:v>
                </c:pt>
                <c:pt idx="11">
                  <c:v>58990</c:v>
                </c:pt>
                <c:pt idx="12">
                  <c:v>56212</c:v>
                </c:pt>
                <c:pt idx="13">
                  <c:v>59390</c:v>
                </c:pt>
                <c:pt idx="14">
                  <c:v>60507</c:v>
                </c:pt>
                <c:pt idx="15">
                  <c:v>61743</c:v>
                </c:pt>
                <c:pt idx="16">
                  <c:v>58034</c:v>
                </c:pt>
                <c:pt idx="17">
                  <c:v>59979</c:v>
                </c:pt>
                <c:pt idx="18">
                  <c:v>61557</c:v>
                </c:pt>
                <c:pt idx="19">
                  <c:v>62904</c:v>
                </c:pt>
              </c:numCache>
            </c:numRef>
          </c:val>
          <c:smooth val="0"/>
        </c:ser>
        <c:dLbls>
          <c:showLegendKey val="0"/>
          <c:showVal val="0"/>
          <c:showCatName val="0"/>
          <c:showSerName val="0"/>
          <c:showPercent val="0"/>
          <c:showBubbleSize val="0"/>
        </c:dLbls>
        <c:marker val="1"/>
        <c:smooth val="0"/>
        <c:axId val="124355712"/>
        <c:axId val="124357248"/>
      </c:lineChart>
      <c:catAx>
        <c:axId val="124355712"/>
        <c:scaling>
          <c:orientation val="minMax"/>
        </c:scaling>
        <c:delete val="0"/>
        <c:axPos val="b"/>
        <c:numFmt formatCode="General" sourceLinked="1"/>
        <c:majorTickMark val="none"/>
        <c:minorTickMark val="none"/>
        <c:tickLblPos val="nextTo"/>
        <c:txPr>
          <a:bodyPr rot="-5400000" vert="horz"/>
          <a:lstStyle/>
          <a:p>
            <a:pPr>
              <a:defRPr sz="900"/>
            </a:pPr>
            <a:endParaRPr lang="en-US"/>
          </a:p>
        </c:txPr>
        <c:crossAx val="124357248"/>
        <c:crosses val="autoZero"/>
        <c:auto val="0"/>
        <c:lblAlgn val="ctr"/>
        <c:lblOffset val="100"/>
        <c:tickLblSkip val="1"/>
        <c:tickMarkSkip val="1"/>
        <c:noMultiLvlLbl val="0"/>
      </c:catAx>
      <c:valAx>
        <c:axId val="124357248"/>
        <c:scaling>
          <c:orientation val="minMax"/>
        </c:scaling>
        <c:delete val="0"/>
        <c:axPos val="l"/>
        <c:majorGridlines/>
        <c:title>
          <c:tx>
            <c:rich>
              <a:bodyPr rot="-5400000" vert="horz"/>
              <a:lstStyle/>
              <a:p>
                <a:pPr>
                  <a:defRPr/>
                </a:pPr>
                <a:r>
                  <a:rPr lang="en-AU"/>
                  <a:t>Number of Prescriptions</a:t>
                </a:r>
              </a:p>
            </c:rich>
          </c:tx>
          <c:overlay val="0"/>
        </c:title>
        <c:numFmt formatCode="#,##0" sourceLinked="0"/>
        <c:majorTickMark val="none"/>
        <c:minorTickMark val="none"/>
        <c:tickLblPos val="nextTo"/>
        <c:txPr>
          <a:bodyPr rot="0" vert="horz"/>
          <a:lstStyle/>
          <a:p>
            <a:pPr>
              <a:defRPr sz="900"/>
            </a:pPr>
            <a:endParaRPr lang="en-US"/>
          </a:p>
        </c:txPr>
        <c:crossAx val="124355712"/>
        <c:crosses val="autoZero"/>
        <c:crossBetween val="between"/>
      </c:valAx>
    </c:plotArea>
    <c:legend>
      <c:legendPos val="b"/>
      <c:overlay val="0"/>
      <c:txPr>
        <a:bodyPr/>
        <a:lstStyle/>
        <a:p>
          <a:pPr>
            <a:defRPr sz="800"/>
          </a:pPr>
          <a:endParaRPr lang="en-US"/>
        </a:p>
      </c:txPr>
    </c:legend>
    <c:plotVisOnly val="1"/>
    <c:dispBlanksAs val="gap"/>
    <c:showDLblsOverMax val="0"/>
  </c:chart>
  <c:externalData r:id="rId2">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[D842 - figs 3&amp;4 + table 8.xlsx]ATC 5 pivot - table 8!PivotTable1</c:name>
    <c:fmtId val="-1"/>
  </c:pivotSource>
  <c:chart>
    <c:autoTitleDeleted val="1"/>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pivotFmt>
      <c:pivotFmt>
        <c:idx val="19"/>
      </c:pivotFmt>
      <c:pivotFmt>
        <c:idx val="20"/>
      </c:pivotFmt>
      <c:pivotFmt>
        <c:idx val="21"/>
      </c:pivotFmt>
      <c:pivotFmt>
        <c:idx val="22"/>
      </c:pivotFmt>
      <c:pivotFmt>
        <c:idx val="23"/>
      </c:pivotFmt>
      <c:pivotFmt>
        <c:idx val="24"/>
      </c:pivotFmt>
      <c:pivotFmt>
        <c:idx val="25"/>
      </c:pivotFmt>
      <c:pivotFmt>
        <c:idx val="26"/>
      </c:pivotFmt>
      <c:pivotFmt>
        <c:idx val="27"/>
        <c:dLbl>
          <c:idx val="0"/>
          <c:delete val="1"/>
        </c:dLbl>
      </c:pivotFmt>
      <c:pivotFmt>
        <c:idx val="28"/>
        <c:dLbl>
          <c:idx val="0"/>
          <c:delete val="1"/>
        </c:dLbl>
      </c:pivotFmt>
      <c:pivotFmt>
        <c:idx val="29"/>
        <c:dLbl>
          <c:idx val="0"/>
          <c:delete val="1"/>
        </c:dLbl>
      </c:pivotFmt>
      <c:pivotFmt>
        <c:idx val="30"/>
        <c:dLbl>
          <c:idx val="0"/>
          <c:delete val="1"/>
        </c:dLbl>
      </c:pivotFmt>
      <c:pivotFmt>
        <c:idx val="31"/>
        <c:dLbl>
          <c:idx val="0"/>
          <c:delete val="1"/>
        </c:dLbl>
      </c:pivotFmt>
      <c:pivotFmt>
        <c:idx val="32"/>
        <c:dLbl>
          <c:idx val="0"/>
          <c:delete val="1"/>
        </c:dLbl>
      </c:pivotFmt>
      <c:pivotFmt>
        <c:idx val="33"/>
        <c:dLbl>
          <c:idx val="0"/>
          <c:delete val="1"/>
        </c:dLbl>
      </c:pivotFmt>
      <c:pivotFmt>
        <c:idx val="34"/>
        <c:dLbl>
          <c:idx val="0"/>
          <c:delete val="1"/>
        </c:dLbl>
      </c:pivotFmt>
      <c:pivotFmt>
        <c:idx val="35"/>
        <c:dLbl>
          <c:idx val="0"/>
          <c:delete val="1"/>
        </c:dLbl>
      </c:pivotFmt>
      <c:pivotFmt>
        <c:idx val="36"/>
      </c:pivotFmt>
      <c:pivotFmt>
        <c:idx val="37"/>
      </c:pivotFmt>
      <c:pivotFmt>
        <c:idx val="38"/>
      </c:pivotFmt>
      <c:pivotFmt>
        <c:idx val="39"/>
      </c:pivotFmt>
      <c:pivotFmt>
        <c:idx val="40"/>
      </c:pivotFmt>
      <c:pivotFmt>
        <c:idx val="41"/>
      </c:pivotFmt>
      <c:pivotFmt>
        <c:idx val="42"/>
      </c:pivotFmt>
      <c:pivotFmt>
        <c:idx val="43"/>
      </c:pivotFmt>
      <c:pivotFmt>
        <c:idx val="44"/>
      </c:pivotFmt>
      <c:pivotFmt>
        <c:idx val="45"/>
      </c:pivotFmt>
      <c:pivotFmt>
        <c:idx val="46"/>
      </c:pivotFmt>
      <c:pivotFmt>
        <c:idx val="47"/>
      </c:pivotFmt>
      <c:pivotFmt>
        <c:idx val="48"/>
      </c:pivotFmt>
      <c:pivotFmt>
        <c:idx val="49"/>
      </c:pivotFmt>
      <c:pivotFmt>
        <c:idx val="50"/>
      </c:pivotFmt>
      <c:pivotFmt>
        <c:idx val="51"/>
      </c:pivotFmt>
      <c:pivotFmt>
        <c:idx val="52"/>
      </c:pivotFmt>
      <c:pivotFmt>
        <c:idx val="53"/>
      </c:pivotFmt>
      <c:pivotFmt>
        <c:idx val="54"/>
      </c:pivotFmt>
      <c:pivotFmt>
        <c:idx val="55"/>
      </c:pivotFmt>
      <c:pivotFmt>
        <c:idx val="56"/>
      </c:pivotFmt>
      <c:pivotFmt>
        <c:idx val="57"/>
      </c:pivotFmt>
      <c:pivotFmt>
        <c:idx val="58"/>
      </c:pivotFmt>
      <c:pivotFmt>
        <c:idx val="59"/>
      </c:pivotFmt>
      <c:pivotFmt>
        <c:idx val="60"/>
      </c:pivotFmt>
      <c:pivotFmt>
        <c:idx val="61"/>
      </c:pivotFmt>
      <c:pivotFmt>
        <c:idx val="62"/>
      </c:pivotFmt>
      <c:pivotFmt>
        <c:idx val="63"/>
      </c:pivotFmt>
      <c:pivotFmt>
        <c:idx val="64"/>
      </c:pivotFmt>
      <c:pivotFmt>
        <c:idx val="65"/>
      </c:pivotFmt>
      <c:pivotFmt>
        <c:idx val="66"/>
      </c:pivotFmt>
      <c:pivotFmt>
        <c:idx val="67"/>
      </c:pivotFmt>
      <c:pivotFmt>
        <c:idx val="68"/>
      </c:pivotFmt>
      <c:pivotFmt>
        <c:idx val="69"/>
      </c:pivotFmt>
      <c:pivotFmt>
        <c:idx val="70"/>
      </c:pivotFmt>
      <c:pivotFmt>
        <c:idx val="71"/>
      </c:pivotFmt>
      <c:pivotFmt>
        <c:idx val="72"/>
        <c:dLbl>
          <c:idx val="0"/>
          <c:delete val="1"/>
        </c:dLbl>
      </c:pivotFmt>
      <c:pivotFmt>
        <c:idx val="73"/>
        <c:dLbl>
          <c:idx val="0"/>
          <c:delete val="1"/>
        </c:dLbl>
      </c:pivotFmt>
      <c:pivotFmt>
        <c:idx val="74"/>
        <c:dLbl>
          <c:idx val="0"/>
          <c:delete val="1"/>
        </c:dLbl>
      </c:pivotFmt>
      <c:pivotFmt>
        <c:idx val="75"/>
      </c:pivotFmt>
      <c:pivotFmt>
        <c:idx val="76"/>
      </c:pivotFmt>
      <c:pivotFmt>
        <c:idx val="77"/>
      </c:pivotFmt>
      <c:pivotFmt>
        <c:idx val="78"/>
      </c:pivotFmt>
      <c:pivotFmt>
        <c:idx val="79"/>
      </c:pivotFmt>
      <c:pivotFmt>
        <c:idx val="80"/>
      </c:pivotFmt>
      <c:pivotFmt>
        <c:idx val="81"/>
      </c:pivotFmt>
      <c:pivotFmt>
        <c:idx val="82"/>
      </c:pivotFmt>
      <c:pivotFmt>
        <c:idx val="83"/>
      </c:pivotFmt>
      <c:pivotFmt>
        <c:idx val="84"/>
      </c:pivotFmt>
      <c:pivotFmt>
        <c:idx val="85"/>
      </c:pivotFmt>
      <c:pivotFmt>
        <c:idx val="86"/>
      </c:pivotFmt>
      <c:pivotFmt>
        <c:idx val="87"/>
      </c:pivotFmt>
      <c:pivotFmt>
        <c:idx val="88"/>
      </c:pivotFmt>
      <c:pivotFmt>
        <c:idx val="89"/>
      </c:pivotFmt>
      <c:pivotFmt>
        <c:idx val="90"/>
      </c:pivotFmt>
      <c:pivotFmt>
        <c:idx val="91"/>
      </c:pivotFmt>
      <c:pivotFmt>
        <c:idx val="92"/>
      </c:pivotFmt>
      <c:pivotFmt>
        <c:idx val="93"/>
      </c:pivotFmt>
      <c:pivotFmt>
        <c:idx val="94"/>
      </c:pivotFmt>
      <c:pivotFmt>
        <c:idx val="95"/>
      </c:pivotFmt>
      <c:pivotFmt>
        <c:idx val="96"/>
      </c:pivotFmt>
      <c:pivotFmt>
        <c:idx val="97"/>
      </c:pivotFmt>
      <c:pivotFmt>
        <c:idx val="98"/>
      </c:pivotFmt>
      <c:pivotFmt>
        <c:idx val="99"/>
      </c:pivotFmt>
      <c:pivotFmt>
        <c:idx val="100"/>
      </c:pivotFmt>
      <c:pivotFmt>
        <c:idx val="101"/>
      </c:pivotFmt>
      <c:pivotFmt>
        <c:idx val="102"/>
      </c:pivotFmt>
      <c:pivotFmt>
        <c:idx val="103"/>
      </c:pivotFmt>
      <c:pivotFmt>
        <c:idx val="104"/>
      </c:pivotFmt>
      <c:pivotFmt>
        <c:idx val="105"/>
      </c:pivotFmt>
      <c:pivotFmt>
        <c:idx val="106"/>
      </c:pivotFmt>
      <c:pivotFmt>
        <c:idx val="107"/>
      </c:pivotFmt>
      <c:pivotFmt>
        <c:idx val="108"/>
      </c:pivotFmt>
      <c:pivotFmt>
        <c:idx val="109"/>
      </c:pivotFmt>
      <c:pivotFmt>
        <c:idx val="110"/>
      </c:pivotFmt>
      <c:pivotFmt>
        <c:idx val="111"/>
      </c:pivotFmt>
      <c:pivotFmt>
        <c:idx val="112"/>
      </c:pivotFmt>
      <c:pivotFmt>
        <c:idx val="113"/>
      </c:pivotFmt>
      <c:pivotFmt>
        <c:idx val="114"/>
      </c:pivotFmt>
      <c:pivotFmt>
        <c:idx val="115"/>
      </c:pivotFmt>
      <c:pivotFmt>
        <c:idx val="116"/>
      </c:pivotFmt>
      <c:pivotFmt>
        <c:idx val="117"/>
        <c:spPr>
          <a:ln>
            <a:solidFill>
              <a:srgbClr val="8064A2"/>
            </a:solidFill>
          </a:ln>
        </c:spPr>
        <c:marker>
          <c:spPr>
            <a:solidFill>
              <a:srgbClr val="8064A2"/>
            </a:solidFill>
            <a:ln>
              <a:solidFill>
                <a:srgbClr val="8064A2"/>
              </a:solidFill>
            </a:ln>
          </c:spPr>
        </c:marker>
      </c:pivotFmt>
      <c:pivotFmt>
        <c:idx val="118"/>
        <c:spPr>
          <a:ln>
            <a:solidFill>
              <a:srgbClr val="1F497D"/>
            </a:solidFill>
          </a:ln>
        </c:spPr>
        <c:marker>
          <c:spPr>
            <a:solidFill>
              <a:srgbClr val="1F497D"/>
            </a:solidFill>
            <a:ln>
              <a:solidFill>
                <a:srgbClr val="1F497D"/>
              </a:solidFill>
            </a:ln>
          </c:spPr>
        </c:marker>
      </c:pivotFmt>
      <c:pivotFmt>
        <c:idx val="119"/>
        <c:spPr>
          <a:ln>
            <a:solidFill>
              <a:srgbClr val="4BACC6"/>
            </a:solidFill>
          </a:ln>
        </c:spPr>
        <c:marker>
          <c:spPr>
            <a:solidFill>
              <a:srgbClr val="4BACC6"/>
            </a:solidFill>
            <a:ln>
              <a:solidFill>
                <a:srgbClr val="4BACC6"/>
              </a:solidFill>
            </a:ln>
          </c:spPr>
        </c:marker>
      </c:pivotFmt>
      <c:pivotFmt>
        <c:idx val="120"/>
        <c:spPr>
          <a:ln>
            <a:solidFill>
              <a:srgbClr val="8064A2"/>
            </a:solidFill>
          </a:ln>
        </c:spPr>
        <c:marker>
          <c:spPr>
            <a:solidFill>
              <a:srgbClr val="8064A2"/>
            </a:solidFill>
            <a:ln>
              <a:solidFill>
                <a:srgbClr val="8064A2"/>
              </a:solidFill>
            </a:ln>
          </c:spPr>
        </c:marker>
      </c:pivotFmt>
      <c:pivotFmt>
        <c:idx val="121"/>
        <c:spPr>
          <a:ln>
            <a:solidFill>
              <a:srgbClr val="1F497D"/>
            </a:solidFill>
          </a:ln>
        </c:spPr>
        <c:marker>
          <c:spPr>
            <a:solidFill>
              <a:srgbClr val="1F497D"/>
            </a:solidFill>
            <a:ln>
              <a:solidFill>
                <a:srgbClr val="1F497D"/>
              </a:solidFill>
            </a:ln>
          </c:spPr>
        </c:marker>
      </c:pivotFmt>
      <c:pivotFmt>
        <c:idx val="122"/>
        <c:spPr>
          <a:ln>
            <a:solidFill>
              <a:srgbClr val="4BACC6"/>
            </a:solidFill>
          </a:ln>
        </c:spPr>
        <c:marker>
          <c:spPr>
            <a:solidFill>
              <a:srgbClr val="4BACC6"/>
            </a:solidFill>
            <a:ln>
              <a:solidFill>
                <a:srgbClr val="4BACC6"/>
              </a:solidFill>
            </a:ln>
          </c:spPr>
        </c:marker>
      </c:pivotFmt>
      <c:pivotFmt>
        <c:idx val="123"/>
        <c:spPr>
          <a:ln>
            <a:solidFill>
              <a:srgbClr val="8064A2"/>
            </a:solidFill>
          </a:ln>
        </c:spPr>
        <c:marker>
          <c:spPr>
            <a:solidFill>
              <a:srgbClr val="8064A2"/>
            </a:solidFill>
            <a:ln>
              <a:solidFill>
                <a:srgbClr val="8064A2"/>
              </a:solidFill>
            </a:ln>
          </c:spPr>
        </c:marker>
      </c:pivotFmt>
      <c:pivotFmt>
        <c:idx val="124"/>
        <c:spPr>
          <a:ln>
            <a:solidFill>
              <a:srgbClr val="1F497D"/>
            </a:solidFill>
          </a:ln>
        </c:spPr>
        <c:marker>
          <c:spPr>
            <a:solidFill>
              <a:srgbClr val="1F497D"/>
            </a:solidFill>
            <a:ln>
              <a:solidFill>
                <a:srgbClr val="1F497D"/>
              </a:solidFill>
            </a:ln>
          </c:spPr>
        </c:marker>
      </c:pivotFmt>
      <c:pivotFmt>
        <c:idx val="125"/>
        <c:spPr>
          <a:ln>
            <a:solidFill>
              <a:srgbClr val="4BACC6"/>
            </a:solidFill>
          </a:ln>
        </c:spPr>
        <c:marker>
          <c:spPr>
            <a:solidFill>
              <a:srgbClr val="4BACC6"/>
            </a:solidFill>
            <a:ln>
              <a:solidFill>
                <a:srgbClr val="4BACC6"/>
              </a:solidFill>
            </a:ln>
          </c:spPr>
        </c:marker>
      </c:pivotFmt>
    </c:pivotFmts>
    <c:plotArea>
      <c:layout/>
      <c:lineChart>
        <c:grouping val="standard"/>
        <c:varyColors val="0"/>
        <c:ser>
          <c:idx val="0"/>
          <c:order val="0"/>
          <c:tx>
            <c:strRef>
              <c:f>'ATC 5 pivot - table 8'!$B$7:$B$8</c:f>
              <c:strCache>
                <c:ptCount val="1"/>
                <c:pt idx="0">
                  <c:v>MPH-MR (Concerta)</c:v>
                </c:pt>
              </c:strCache>
            </c:strRef>
          </c:tx>
          <c:spPr>
            <a:ln>
              <a:solidFill>
                <a:srgbClr val="8064A2"/>
              </a:solidFill>
            </a:ln>
          </c:spPr>
          <c:marker>
            <c:spPr>
              <a:solidFill>
                <a:srgbClr val="8064A2"/>
              </a:solidFill>
              <a:ln>
                <a:solidFill>
                  <a:srgbClr val="8064A2"/>
                </a:solidFill>
              </a:ln>
            </c:spPr>
          </c:marker>
          <c:cat>
            <c:strRef>
              <c:f>'ATC 5 pivot - table 8'!$A$9:$A$29</c:f>
              <c:strCache>
                <c:ptCount val="20"/>
                <c:pt idx="0">
                  <c:v>2010 Q1</c:v>
                </c:pt>
                <c:pt idx="1">
                  <c:v>2010 Q2</c:v>
                </c:pt>
                <c:pt idx="2">
                  <c:v>2010 Q3</c:v>
                </c:pt>
                <c:pt idx="3">
                  <c:v>2010 Q4</c:v>
                </c:pt>
                <c:pt idx="4">
                  <c:v>2011 Q1</c:v>
                </c:pt>
                <c:pt idx="5">
                  <c:v>2011 Q2</c:v>
                </c:pt>
                <c:pt idx="6">
                  <c:v>2011 Q3</c:v>
                </c:pt>
                <c:pt idx="7">
                  <c:v>2011 Q4</c:v>
                </c:pt>
                <c:pt idx="8">
                  <c:v>2012 Q1</c:v>
                </c:pt>
                <c:pt idx="9">
                  <c:v>2012 Q2</c:v>
                </c:pt>
                <c:pt idx="10">
                  <c:v>2012 Q3</c:v>
                </c:pt>
                <c:pt idx="11">
                  <c:v>2012 Q4</c:v>
                </c:pt>
                <c:pt idx="12">
                  <c:v>2013 Q1</c:v>
                </c:pt>
                <c:pt idx="13">
                  <c:v>2013 Q2</c:v>
                </c:pt>
                <c:pt idx="14">
                  <c:v>2013 Q3</c:v>
                </c:pt>
                <c:pt idx="15">
                  <c:v>2013 Q4</c:v>
                </c:pt>
                <c:pt idx="16">
                  <c:v>2014 Q1</c:v>
                </c:pt>
                <c:pt idx="17">
                  <c:v>2014 Q2</c:v>
                </c:pt>
                <c:pt idx="18">
                  <c:v>2014 Q3</c:v>
                </c:pt>
                <c:pt idx="19">
                  <c:v>2014 Q4</c:v>
                </c:pt>
              </c:strCache>
            </c:strRef>
          </c:cat>
          <c:val>
            <c:numRef>
              <c:f>'ATC 5 pivot - table 8'!$B$9:$B$29</c:f>
              <c:numCache>
                <c:formatCode>_(* #,##0_);_(* \(#,##0\);_(* "-"??_);_(@_)</c:formatCode>
                <c:ptCount val="20"/>
                <c:pt idx="0">
                  <c:v>52763</c:v>
                </c:pt>
                <c:pt idx="1">
                  <c:v>56359</c:v>
                </c:pt>
                <c:pt idx="2">
                  <c:v>58625</c:v>
                </c:pt>
                <c:pt idx="3">
                  <c:v>58826</c:v>
                </c:pt>
                <c:pt idx="4">
                  <c:v>55167</c:v>
                </c:pt>
                <c:pt idx="5">
                  <c:v>60132</c:v>
                </c:pt>
                <c:pt idx="6">
                  <c:v>63347</c:v>
                </c:pt>
                <c:pt idx="7">
                  <c:v>62988</c:v>
                </c:pt>
                <c:pt idx="8">
                  <c:v>60844</c:v>
                </c:pt>
                <c:pt idx="9">
                  <c:v>64876</c:v>
                </c:pt>
                <c:pt idx="10">
                  <c:v>66892</c:v>
                </c:pt>
                <c:pt idx="11">
                  <c:v>66787</c:v>
                </c:pt>
                <c:pt idx="12">
                  <c:v>62339</c:v>
                </c:pt>
                <c:pt idx="13">
                  <c:v>68373</c:v>
                </c:pt>
                <c:pt idx="14">
                  <c:v>71647</c:v>
                </c:pt>
                <c:pt idx="15">
                  <c:v>72635</c:v>
                </c:pt>
                <c:pt idx="16">
                  <c:v>67160</c:v>
                </c:pt>
                <c:pt idx="17">
                  <c:v>72665</c:v>
                </c:pt>
                <c:pt idx="18">
                  <c:v>75548</c:v>
                </c:pt>
                <c:pt idx="19">
                  <c:v>76398</c:v>
                </c:pt>
              </c:numCache>
            </c:numRef>
          </c:val>
          <c:smooth val="0"/>
        </c:ser>
        <c:ser>
          <c:idx val="1"/>
          <c:order val="1"/>
          <c:tx>
            <c:strRef>
              <c:f>'ATC 5 pivot - table 8'!$C$7:$C$8</c:f>
              <c:strCache>
                <c:ptCount val="1"/>
                <c:pt idx="0">
                  <c:v>MPH-MR (Ritalin LA)</c:v>
                </c:pt>
              </c:strCache>
            </c:strRef>
          </c:tx>
          <c:spPr>
            <a:ln>
              <a:solidFill>
                <a:srgbClr val="1F497D"/>
              </a:solidFill>
            </a:ln>
          </c:spPr>
          <c:marker>
            <c:spPr>
              <a:solidFill>
                <a:srgbClr val="1F497D"/>
              </a:solidFill>
              <a:ln>
                <a:solidFill>
                  <a:srgbClr val="1F497D"/>
                </a:solidFill>
              </a:ln>
            </c:spPr>
          </c:marker>
          <c:cat>
            <c:strRef>
              <c:f>'ATC 5 pivot - table 8'!$A$9:$A$29</c:f>
              <c:strCache>
                <c:ptCount val="20"/>
                <c:pt idx="0">
                  <c:v>2010 Q1</c:v>
                </c:pt>
                <c:pt idx="1">
                  <c:v>2010 Q2</c:v>
                </c:pt>
                <c:pt idx="2">
                  <c:v>2010 Q3</c:v>
                </c:pt>
                <c:pt idx="3">
                  <c:v>2010 Q4</c:v>
                </c:pt>
                <c:pt idx="4">
                  <c:v>2011 Q1</c:v>
                </c:pt>
                <c:pt idx="5">
                  <c:v>2011 Q2</c:v>
                </c:pt>
                <c:pt idx="6">
                  <c:v>2011 Q3</c:v>
                </c:pt>
                <c:pt idx="7">
                  <c:v>2011 Q4</c:v>
                </c:pt>
                <c:pt idx="8">
                  <c:v>2012 Q1</c:v>
                </c:pt>
                <c:pt idx="9">
                  <c:v>2012 Q2</c:v>
                </c:pt>
                <c:pt idx="10">
                  <c:v>2012 Q3</c:v>
                </c:pt>
                <c:pt idx="11">
                  <c:v>2012 Q4</c:v>
                </c:pt>
                <c:pt idx="12">
                  <c:v>2013 Q1</c:v>
                </c:pt>
                <c:pt idx="13">
                  <c:v>2013 Q2</c:v>
                </c:pt>
                <c:pt idx="14">
                  <c:v>2013 Q3</c:v>
                </c:pt>
                <c:pt idx="15">
                  <c:v>2013 Q4</c:v>
                </c:pt>
                <c:pt idx="16">
                  <c:v>2014 Q1</c:v>
                </c:pt>
                <c:pt idx="17">
                  <c:v>2014 Q2</c:v>
                </c:pt>
                <c:pt idx="18">
                  <c:v>2014 Q3</c:v>
                </c:pt>
                <c:pt idx="19">
                  <c:v>2014 Q4</c:v>
                </c:pt>
              </c:strCache>
            </c:strRef>
          </c:cat>
          <c:val>
            <c:numRef>
              <c:f>'ATC 5 pivot - table 8'!$C$9:$C$29</c:f>
              <c:numCache>
                <c:formatCode>_(* #,##0_);_(* \(#,##0\);_(* "-"??_);_(@_)</c:formatCode>
                <c:ptCount val="20"/>
                <c:pt idx="0">
                  <c:v>19797</c:v>
                </c:pt>
                <c:pt idx="1">
                  <c:v>21650</c:v>
                </c:pt>
                <c:pt idx="2">
                  <c:v>23320</c:v>
                </c:pt>
                <c:pt idx="3">
                  <c:v>24492</c:v>
                </c:pt>
                <c:pt idx="4">
                  <c:v>23981</c:v>
                </c:pt>
                <c:pt idx="5">
                  <c:v>26955</c:v>
                </c:pt>
                <c:pt idx="6">
                  <c:v>28804</c:v>
                </c:pt>
                <c:pt idx="7">
                  <c:v>29394</c:v>
                </c:pt>
                <c:pt idx="8">
                  <c:v>29575</c:v>
                </c:pt>
                <c:pt idx="9">
                  <c:v>31526</c:v>
                </c:pt>
                <c:pt idx="10">
                  <c:v>32614</c:v>
                </c:pt>
                <c:pt idx="11">
                  <c:v>31939</c:v>
                </c:pt>
                <c:pt idx="12">
                  <c:v>30127</c:v>
                </c:pt>
                <c:pt idx="13">
                  <c:v>33586</c:v>
                </c:pt>
                <c:pt idx="14">
                  <c:v>35245</c:v>
                </c:pt>
                <c:pt idx="15">
                  <c:v>35525</c:v>
                </c:pt>
                <c:pt idx="16">
                  <c:v>33920</c:v>
                </c:pt>
                <c:pt idx="17">
                  <c:v>36430</c:v>
                </c:pt>
                <c:pt idx="18">
                  <c:v>37606</c:v>
                </c:pt>
                <c:pt idx="19">
                  <c:v>37604</c:v>
                </c:pt>
              </c:numCache>
            </c:numRef>
          </c:val>
          <c:smooth val="0"/>
        </c:ser>
        <c:ser>
          <c:idx val="2"/>
          <c:order val="2"/>
          <c:tx>
            <c:strRef>
              <c:f>'ATC 5 pivot - table 8'!$D$7:$D$8</c:f>
              <c:strCache>
                <c:ptCount val="1"/>
                <c:pt idx="0">
                  <c:v>MPH-IR (Ritalin 10)</c:v>
                </c:pt>
              </c:strCache>
            </c:strRef>
          </c:tx>
          <c:spPr>
            <a:ln>
              <a:solidFill>
                <a:srgbClr val="4BACC6"/>
              </a:solidFill>
            </a:ln>
          </c:spPr>
          <c:marker>
            <c:spPr>
              <a:solidFill>
                <a:srgbClr val="4BACC6"/>
              </a:solidFill>
              <a:ln>
                <a:solidFill>
                  <a:srgbClr val="4BACC6"/>
                </a:solidFill>
              </a:ln>
            </c:spPr>
          </c:marker>
          <c:cat>
            <c:strRef>
              <c:f>'ATC 5 pivot - table 8'!$A$9:$A$29</c:f>
              <c:strCache>
                <c:ptCount val="20"/>
                <c:pt idx="0">
                  <c:v>2010 Q1</c:v>
                </c:pt>
                <c:pt idx="1">
                  <c:v>2010 Q2</c:v>
                </c:pt>
                <c:pt idx="2">
                  <c:v>2010 Q3</c:v>
                </c:pt>
                <c:pt idx="3">
                  <c:v>2010 Q4</c:v>
                </c:pt>
                <c:pt idx="4">
                  <c:v>2011 Q1</c:v>
                </c:pt>
                <c:pt idx="5">
                  <c:v>2011 Q2</c:v>
                </c:pt>
                <c:pt idx="6">
                  <c:v>2011 Q3</c:v>
                </c:pt>
                <c:pt idx="7">
                  <c:v>2011 Q4</c:v>
                </c:pt>
                <c:pt idx="8">
                  <c:v>2012 Q1</c:v>
                </c:pt>
                <c:pt idx="9">
                  <c:v>2012 Q2</c:v>
                </c:pt>
                <c:pt idx="10">
                  <c:v>2012 Q3</c:v>
                </c:pt>
                <c:pt idx="11">
                  <c:v>2012 Q4</c:v>
                </c:pt>
                <c:pt idx="12">
                  <c:v>2013 Q1</c:v>
                </c:pt>
                <c:pt idx="13">
                  <c:v>2013 Q2</c:v>
                </c:pt>
                <c:pt idx="14">
                  <c:v>2013 Q3</c:v>
                </c:pt>
                <c:pt idx="15">
                  <c:v>2013 Q4</c:v>
                </c:pt>
                <c:pt idx="16">
                  <c:v>2014 Q1</c:v>
                </c:pt>
                <c:pt idx="17">
                  <c:v>2014 Q2</c:v>
                </c:pt>
                <c:pt idx="18">
                  <c:v>2014 Q3</c:v>
                </c:pt>
                <c:pt idx="19">
                  <c:v>2014 Q4</c:v>
                </c:pt>
              </c:strCache>
            </c:strRef>
          </c:cat>
          <c:val>
            <c:numRef>
              <c:f>'ATC 5 pivot - table 8'!$D$9:$D$29</c:f>
              <c:numCache>
                <c:formatCode>_(* #,##0_);_(* \(#,##0\);_(* "-"??_);_(@_)</c:formatCode>
                <c:ptCount val="20"/>
                <c:pt idx="0">
                  <c:v>25632</c:v>
                </c:pt>
                <c:pt idx="1">
                  <c:v>28068</c:v>
                </c:pt>
                <c:pt idx="2">
                  <c:v>28998</c:v>
                </c:pt>
                <c:pt idx="3">
                  <c:v>28962</c:v>
                </c:pt>
                <c:pt idx="4">
                  <c:v>28045</c:v>
                </c:pt>
                <c:pt idx="5">
                  <c:v>29844</c:v>
                </c:pt>
                <c:pt idx="6">
                  <c:v>32451</c:v>
                </c:pt>
                <c:pt idx="7">
                  <c:v>32275</c:v>
                </c:pt>
                <c:pt idx="8">
                  <c:v>31682</c:v>
                </c:pt>
                <c:pt idx="9">
                  <c:v>33101</c:v>
                </c:pt>
                <c:pt idx="10">
                  <c:v>35599</c:v>
                </c:pt>
                <c:pt idx="11">
                  <c:v>34816</c:v>
                </c:pt>
                <c:pt idx="12">
                  <c:v>33030</c:v>
                </c:pt>
                <c:pt idx="13">
                  <c:v>36213</c:v>
                </c:pt>
                <c:pt idx="14">
                  <c:v>38940</c:v>
                </c:pt>
                <c:pt idx="15">
                  <c:v>38575</c:v>
                </c:pt>
                <c:pt idx="16">
                  <c:v>36582</c:v>
                </c:pt>
                <c:pt idx="17">
                  <c:v>38979</c:v>
                </c:pt>
                <c:pt idx="18">
                  <c:v>41380</c:v>
                </c:pt>
                <c:pt idx="19">
                  <c:v>41386</c:v>
                </c:pt>
              </c:numCache>
            </c:numRef>
          </c:val>
          <c:smooth val="0"/>
        </c:ser>
        <c:dLbls>
          <c:showLegendKey val="0"/>
          <c:showVal val="0"/>
          <c:showCatName val="0"/>
          <c:showSerName val="0"/>
          <c:showPercent val="0"/>
          <c:showBubbleSize val="0"/>
        </c:dLbls>
        <c:marker val="1"/>
        <c:smooth val="0"/>
        <c:axId val="124627968"/>
        <c:axId val="124630528"/>
      </c:lineChart>
      <c:catAx>
        <c:axId val="124627968"/>
        <c:scaling>
          <c:orientation val="minMax"/>
        </c:scaling>
        <c:delete val="0"/>
        <c:axPos val="b"/>
        <c:title>
          <c:tx>
            <c:rich>
              <a:bodyPr/>
              <a:lstStyle/>
              <a:p>
                <a:pPr>
                  <a:defRPr/>
                </a:pPr>
                <a:r>
                  <a:rPr lang="en-AU"/>
                  <a:t>Quarter of supply</a:t>
                </a:r>
              </a:p>
            </c:rich>
          </c:tx>
          <c:overlay val="0"/>
        </c:title>
        <c:numFmt formatCode="General" sourceLinked="1"/>
        <c:majorTickMark val="none"/>
        <c:minorTickMark val="none"/>
        <c:tickLblPos val="nextTo"/>
        <c:txPr>
          <a:bodyPr rot="-5400000" vert="horz"/>
          <a:lstStyle/>
          <a:p>
            <a:pPr>
              <a:defRPr/>
            </a:pPr>
            <a:endParaRPr lang="en-US"/>
          </a:p>
        </c:txPr>
        <c:crossAx val="124630528"/>
        <c:crosses val="autoZero"/>
        <c:auto val="0"/>
        <c:lblAlgn val="ctr"/>
        <c:lblOffset val="100"/>
        <c:tickLblSkip val="1"/>
        <c:tickMarkSkip val="1"/>
        <c:noMultiLvlLbl val="0"/>
      </c:catAx>
      <c:valAx>
        <c:axId val="124630528"/>
        <c:scaling>
          <c:orientation val="minMax"/>
        </c:scaling>
        <c:delete val="0"/>
        <c:axPos val="l"/>
        <c:majorGridlines/>
        <c:title>
          <c:tx>
            <c:rich>
              <a:bodyPr rot="-5400000" vert="horz"/>
              <a:lstStyle/>
              <a:p>
                <a:pPr>
                  <a:defRPr/>
                </a:pPr>
                <a:r>
                  <a:rPr lang="en-AU"/>
                  <a:t>Prescriptions</a:t>
                </a:r>
              </a:p>
            </c:rich>
          </c:tx>
          <c:overlay val="0"/>
        </c:title>
        <c:numFmt formatCode="#,##0" sourceLinked="0"/>
        <c:majorTickMark val="none"/>
        <c:minorTickMark val="none"/>
        <c:tickLblPos val="nextTo"/>
        <c:txPr>
          <a:bodyPr rot="0" vert="horz"/>
          <a:lstStyle/>
          <a:p>
            <a:pPr>
              <a:defRPr/>
            </a:pPr>
            <a:endParaRPr lang="en-US"/>
          </a:p>
        </c:txPr>
        <c:crossAx val="124627968"/>
        <c:crosses val="autoZero"/>
        <c:crossBetween val="between"/>
      </c:valAx>
    </c:plotArea>
    <c:legend>
      <c:legendPos val="b"/>
      <c:overlay val="0"/>
      <c:txPr>
        <a:bodyPr/>
        <a:lstStyle/>
        <a:p>
          <a:pPr>
            <a:defRPr sz="900"/>
          </a:pPr>
          <a:endParaRPr lang="en-US"/>
        </a:p>
      </c:txPr>
    </c:legend>
    <c:plotVisOnly val="1"/>
    <c:dispBlanksAs val="gap"/>
    <c:showDLblsOverMax val="0"/>
  </c:chart>
  <c:externalData r:id="rId2">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[ADHD report June 2015 graphs v0.2.xlsx]5 Init ADHD Therapy by age+drug!PivotTable1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s>
    <c:plotArea>
      <c:layout>
        <c:manualLayout>
          <c:layoutTarget val="inner"/>
          <c:xMode val="edge"/>
          <c:yMode val="edge"/>
          <c:x val="0.11840377591689928"/>
          <c:y val="4.0303423108576646E-2"/>
          <c:w val="0.86198009970975853"/>
          <c:h val="0.73942184026462665"/>
        </c:manualLayout>
      </c:layout>
      <c:lineChart>
        <c:grouping val="standard"/>
        <c:varyColors val="0"/>
        <c:ser>
          <c:idx val="0"/>
          <c:order val="0"/>
          <c:tx>
            <c:strRef>
              <c:f>'5 Init ADHD Therapy by age+drug'!$B$5:$B$6</c:f>
              <c:strCache>
                <c:ptCount val="1"/>
                <c:pt idx="0">
                  <c:v>Atomoxetine (Strattera)</c:v>
                </c:pt>
              </c:strCache>
            </c:strRef>
          </c:tx>
          <c:marker>
            <c:symbol val="none"/>
          </c:marker>
          <c:cat>
            <c:strRef>
              <c:f>'5 Init ADHD Therapy by age+drug'!$A$7:$A$97</c:f>
              <c:strCache>
                <c:ptCount val="9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90</c:v>
                </c:pt>
                <c:pt idx="89">
                  <c:v>91</c:v>
                </c:pt>
              </c:strCache>
            </c:strRef>
          </c:cat>
          <c:val>
            <c:numRef>
              <c:f>'5 Init ADHD Therapy by age+drug'!$B$7:$B$97</c:f>
              <c:numCache>
                <c:formatCode>General</c:formatCode>
                <c:ptCount val="90"/>
                <c:pt idx="3">
                  <c:v>1</c:v>
                </c:pt>
                <c:pt idx="4">
                  <c:v>2</c:v>
                </c:pt>
                <c:pt idx="5">
                  <c:v>11</c:v>
                </c:pt>
                <c:pt idx="6">
                  <c:v>50</c:v>
                </c:pt>
                <c:pt idx="7">
                  <c:v>82</c:v>
                </c:pt>
                <c:pt idx="8">
                  <c:v>83</c:v>
                </c:pt>
                <c:pt idx="9">
                  <c:v>77</c:v>
                </c:pt>
                <c:pt idx="10">
                  <c:v>64</c:v>
                </c:pt>
                <c:pt idx="11">
                  <c:v>63</c:v>
                </c:pt>
                <c:pt idx="12">
                  <c:v>47</c:v>
                </c:pt>
                <c:pt idx="13">
                  <c:v>44</c:v>
                </c:pt>
                <c:pt idx="14">
                  <c:v>44</c:v>
                </c:pt>
                <c:pt idx="15">
                  <c:v>40</c:v>
                </c:pt>
                <c:pt idx="16">
                  <c:v>39</c:v>
                </c:pt>
                <c:pt idx="17">
                  <c:v>34</c:v>
                </c:pt>
                <c:pt idx="18">
                  <c:v>24</c:v>
                </c:pt>
                <c:pt idx="19">
                  <c:v>17</c:v>
                </c:pt>
                <c:pt idx="20">
                  <c:v>15</c:v>
                </c:pt>
                <c:pt idx="21">
                  <c:v>19</c:v>
                </c:pt>
                <c:pt idx="22">
                  <c:v>19</c:v>
                </c:pt>
                <c:pt idx="23">
                  <c:v>27</c:v>
                </c:pt>
                <c:pt idx="24">
                  <c:v>24</c:v>
                </c:pt>
                <c:pt idx="25">
                  <c:v>20</c:v>
                </c:pt>
                <c:pt idx="26">
                  <c:v>14</c:v>
                </c:pt>
                <c:pt idx="27">
                  <c:v>19</c:v>
                </c:pt>
                <c:pt idx="28">
                  <c:v>20</c:v>
                </c:pt>
                <c:pt idx="29">
                  <c:v>15</c:v>
                </c:pt>
                <c:pt idx="30">
                  <c:v>17</c:v>
                </c:pt>
                <c:pt idx="31">
                  <c:v>18</c:v>
                </c:pt>
                <c:pt idx="32">
                  <c:v>14</c:v>
                </c:pt>
                <c:pt idx="33">
                  <c:v>9</c:v>
                </c:pt>
                <c:pt idx="34">
                  <c:v>9</c:v>
                </c:pt>
                <c:pt idx="35">
                  <c:v>9</c:v>
                </c:pt>
                <c:pt idx="36">
                  <c:v>13</c:v>
                </c:pt>
                <c:pt idx="37">
                  <c:v>5</c:v>
                </c:pt>
                <c:pt idx="38">
                  <c:v>10</c:v>
                </c:pt>
                <c:pt idx="39">
                  <c:v>10</c:v>
                </c:pt>
                <c:pt idx="40">
                  <c:v>4</c:v>
                </c:pt>
                <c:pt idx="41">
                  <c:v>7</c:v>
                </c:pt>
                <c:pt idx="42">
                  <c:v>5</c:v>
                </c:pt>
                <c:pt idx="43">
                  <c:v>7</c:v>
                </c:pt>
                <c:pt idx="44">
                  <c:v>8</c:v>
                </c:pt>
                <c:pt idx="45">
                  <c:v>10</c:v>
                </c:pt>
                <c:pt idx="46">
                  <c:v>5</c:v>
                </c:pt>
                <c:pt idx="47">
                  <c:v>5</c:v>
                </c:pt>
                <c:pt idx="48">
                  <c:v>5</c:v>
                </c:pt>
                <c:pt idx="49">
                  <c:v>4</c:v>
                </c:pt>
                <c:pt idx="50">
                  <c:v>1</c:v>
                </c:pt>
                <c:pt idx="51">
                  <c:v>4</c:v>
                </c:pt>
                <c:pt idx="53">
                  <c:v>3</c:v>
                </c:pt>
                <c:pt idx="56">
                  <c:v>1</c:v>
                </c:pt>
                <c:pt idx="57">
                  <c:v>1</c:v>
                </c:pt>
                <c:pt idx="58">
                  <c:v>2</c:v>
                </c:pt>
                <c:pt idx="59">
                  <c:v>1</c:v>
                </c:pt>
                <c:pt idx="60">
                  <c:v>1</c:v>
                </c:pt>
                <c:pt idx="64">
                  <c:v>1</c:v>
                </c:pt>
                <c:pt idx="65">
                  <c:v>1</c:v>
                </c:pt>
                <c:pt idx="67">
                  <c:v>2</c:v>
                </c:pt>
                <c:pt idx="68">
                  <c:v>1</c:v>
                </c:pt>
                <c:pt idx="72">
                  <c:v>1</c:v>
                </c:pt>
                <c:pt idx="74">
                  <c:v>1</c:v>
                </c:pt>
              </c:numCache>
            </c:numRef>
          </c:val>
          <c:smooth val="0"/>
        </c:ser>
        <c:ser>
          <c:idx val="1"/>
          <c:order val="1"/>
          <c:tx>
            <c:strRef>
              <c:f>'5 Init ADHD Therapy by age+drug'!$C$5:$C$6</c:f>
              <c:strCache>
                <c:ptCount val="1"/>
                <c:pt idx="0">
                  <c:v>Dexamphetamine</c:v>
                </c:pt>
              </c:strCache>
            </c:strRef>
          </c:tx>
          <c:marker>
            <c:symbol val="none"/>
          </c:marker>
          <c:cat>
            <c:strRef>
              <c:f>'5 Init ADHD Therapy by age+drug'!$A$7:$A$97</c:f>
              <c:strCache>
                <c:ptCount val="9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90</c:v>
                </c:pt>
                <c:pt idx="89">
                  <c:v>91</c:v>
                </c:pt>
              </c:strCache>
            </c:strRef>
          </c:cat>
          <c:val>
            <c:numRef>
              <c:f>'5 Init ADHD Therapy by age+drug'!$C$7:$C$97</c:f>
              <c:numCache>
                <c:formatCode>General</c:formatCode>
                <c:ptCount val="90"/>
                <c:pt idx="1">
                  <c:v>1</c:v>
                </c:pt>
                <c:pt idx="2">
                  <c:v>1</c:v>
                </c:pt>
                <c:pt idx="3">
                  <c:v>30</c:v>
                </c:pt>
                <c:pt idx="4">
                  <c:v>122</c:v>
                </c:pt>
                <c:pt idx="5">
                  <c:v>257</c:v>
                </c:pt>
                <c:pt idx="6">
                  <c:v>187</c:v>
                </c:pt>
                <c:pt idx="7">
                  <c:v>148</c:v>
                </c:pt>
                <c:pt idx="8">
                  <c:v>104</c:v>
                </c:pt>
                <c:pt idx="9">
                  <c:v>105</c:v>
                </c:pt>
                <c:pt idx="10">
                  <c:v>82</c:v>
                </c:pt>
                <c:pt idx="11">
                  <c:v>68</c:v>
                </c:pt>
                <c:pt idx="12">
                  <c:v>56</c:v>
                </c:pt>
                <c:pt idx="13">
                  <c:v>67</c:v>
                </c:pt>
                <c:pt idx="14">
                  <c:v>51</c:v>
                </c:pt>
                <c:pt idx="15">
                  <c:v>56</c:v>
                </c:pt>
                <c:pt idx="16">
                  <c:v>69</c:v>
                </c:pt>
                <c:pt idx="17">
                  <c:v>89</c:v>
                </c:pt>
                <c:pt idx="18">
                  <c:v>98</c:v>
                </c:pt>
                <c:pt idx="19">
                  <c:v>117</c:v>
                </c:pt>
                <c:pt idx="20">
                  <c:v>121</c:v>
                </c:pt>
                <c:pt idx="21">
                  <c:v>150</c:v>
                </c:pt>
                <c:pt idx="22">
                  <c:v>155</c:v>
                </c:pt>
                <c:pt idx="23">
                  <c:v>157</c:v>
                </c:pt>
                <c:pt idx="24">
                  <c:v>157</c:v>
                </c:pt>
                <c:pt idx="25">
                  <c:v>165</c:v>
                </c:pt>
                <c:pt idx="26">
                  <c:v>157</c:v>
                </c:pt>
                <c:pt idx="27">
                  <c:v>140</c:v>
                </c:pt>
                <c:pt idx="28">
                  <c:v>127</c:v>
                </c:pt>
                <c:pt idx="29">
                  <c:v>136</c:v>
                </c:pt>
                <c:pt idx="30">
                  <c:v>126</c:v>
                </c:pt>
                <c:pt idx="31">
                  <c:v>129</c:v>
                </c:pt>
                <c:pt idx="32">
                  <c:v>120</c:v>
                </c:pt>
                <c:pt idx="33">
                  <c:v>118</c:v>
                </c:pt>
                <c:pt idx="34">
                  <c:v>108</c:v>
                </c:pt>
                <c:pt idx="35">
                  <c:v>95</c:v>
                </c:pt>
                <c:pt idx="36">
                  <c:v>92</c:v>
                </c:pt>
                <c:pt idx="37">
                  <c:v>98</c:v>
                </c:pt>
                <c:pt idx="38">
                  <c:v>82</c:v>
                </c:pt>
                <c:pt idx="39">
                  <c:v>92</c:v>
                </c:pt>
                <c:pt idx="40">
                  <c:v>104</c:v>
                </c:pt>
                <c:pt idx="41">
                  <c:v>80</c:v>
                </c:pt>
                <c:pt idx="42">
                  <c:v>75</c:v>
                </c:pt>
                <c:pt idx="43">
                  <c:v>84</c:v>
                </c:pt>
                <c:pt idx="44">
                  <c:v>78</c:v>
                </c:pt>
                <c:pt idx="45">
                  <c:v>75</c:v>
                </c:pt>
                <c:pt idx="46">
                  <c:v>58</c:v>
                </c:pt>
                <c:pt idx="47">
                  <c:v>52</c:v>
                </c:pt>
                <c:pt idx="48">
                  <c:v>47</c:v>
                </c:pt>
                <c:pt idx="49">
                  <c:v>42</c:v>
                </c:pt>
                <c:pt idx="50">
                  <c:v>61</c:v>
                </c:pt>
                <c:pt idx="51">
                  <c:v>53</c:v>
                </c:pt>
                <c:pt idx="52">
                  <c:v>35</c:v>
                </c:pt>
                <c:pt idx="53">
                  <c:v>54</c:v>
                </c:pt>
                <c:pt idx="54">
                  <c:v>40</c:v>
                </c:pt>
                <c:pt idx="55">
                  <c:v>33</c:v>
                </c:pt>
                <c:pt idx="56">
                  <c:v>39</c:v>
                </c:pt>
                <c:pt idx="57">
                  <c:v>32</c:v>
                </c:pt>
                <c:pt idx="58">
                  <c:v>23</c:v>
                </c:pt>
                <c:pt idx="59">
                  <c:v>26</c:v>
                </c:pt>
                <c:pt idx="60">
                  <c:v>25</c:v>
                </c:pt>
                <c:pt idx="61">
                  <c:v>14</c:v>
                </c:pt>
                <c:pt idx="62">
                  <c:v>13</c:v>
                </c:pt>
                <c:pt idx="63">
                  <c:v>12</c:v>
                </c:pt>
                <c:pt idx="64">
                  <c:v>16</c:v>
                </c:pt>
                <c:pt idx="65">
                  <c:v>11</c:v>
                </c:pt>
                <c:pt idx="66">
                  <c:v>11</c:v>
                </c:pt>
                <c:pt idx="67">
                  <c:v>5</c:v>
                </c:pt>
                <c:pt idx="68">
                  <c:v>10</c:v>
                </c:pt>
                <c:pt idx="69">
                  <c:v>7</c:v>
                </c:pt>
                <c:pt idx="70">
                  <c:v>5</c:v>
                </c:pt>
                <c:pt idx="71">
                  <c:v>7</c:v>
                </c:pt>
                <c:pt idx="72">
                  <c:v>2</c:v>
                </c:pt>
                <c:pt idx="73">
                  <c:v>2</c:v>
                </c:pt>
                <c:pt idx="74">
                  <c:v>3</c:v>
                </c:pt>
                <c:pt idx="75">
                  <c:v>2</c:v>
                </c:pt>
                <c:pt idx="77">
                  <c:v>4</c:v>
                </c:pt>
                <c:pt idx="79">
                  <c:v>2</c:v>
                </c:pt>
                <c:pt idx="80">
                  <c:v>1</c:v>
                </c:pt>
                <c:pt idx="81">
                  <c:v>1</c:v>
                </c:pt>
                <c:pt idx="82">
                  <c:v>2</c:v>
                </c:pt>
                <c:pt idx="83">
                  <c:v>1</c:v>
                </c:pt>
                <c:pt idx="84">
                  <c:v>2</c:v>
                </c:pt>
                <c:pt idx="85">
                  <c:v>2</c:v>
                </c:pt>
                <c:pt idx="88">
                  <c:v>1</c:v>
                </c:pt>
                <c:pt idx="89">
                  <c:v>1</c:v>
                </c:pt>
              </c:numCache>
            </c:numRef>
          </c:val>
          <c:smooth val="0"/>
        </c:ser>
        <c:ser>
          <c:idx val="2"/>
          <c:order val="2"/>
          <c:tx>
            <c:strRef>
              <c:f>'5 Init ADHD Therapy by age+drug'!$D$5:$D$6</c:f>
              <c:strCache>
                <c:ptCount val="1"/>
                <c:pt idx="0">
                  <c:v>MPH-MR (Concerta)</c:v>
                </c:pt>
              </c:strCache>
            </c:strRef>
          </c:tx>
          <c:marker>
            <c:symbol val="none"/>
          </c:marker>
          <c:cat>
            <c:strRef>
              <c:f>'5 Init ADHD Therapy by age+drug'!$A$7:$A$97</c:f>
              <c:strCache>
                <c:ptCount val="9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90</c:v>
                </c:pt>
                <c:pt idx="89">
                  <c:v>91</c:v>
                </c:pt>
              </c:strCache>
            </c:strRef>
          </c:cat>
          <c:val>
            <c:numRef>
              <c:f>'5 Init ADHD Therapy by age+drug'!$D$7:$D$97</c:f>
              <c:numCache>
                <c:formatCode>General</c:formatCode>
                <c:ptCount val="90"/>
                <c:pt idx="4">
                  <c:v>3</c:v>
                </c:pt>
                <c:pt idx="5">
                  <c:v>11</c:v>
                </c:pt>
                <c:pt idx="6">
                  <c:v>52</c:v>
                </c:pt>
                <c:pt idx="7">
                  <c:v>59</c:v>
                </c:pt>
                <c:pt idx="8">
                  <c:v>76</c:v>
                </c:pt>
                <c:pt idx="9">
                  <c:v>64</c:v>
                </c:pt>
                <c:pt idx="10">
                  <c:v>56</c:v>
                </c:pt>
                <c:pt idx="11">
                  <c:v>85</c:v>
                </c:pt>
                <c:pt idx="12">
                  <c:v>94</c:v>
                </c:pt>
                <c:pt idx="13">
                  <c:v>117</c:v>
                </c:pt>
                <c:pt idx="14">
                  <c:v>85</c:v>
                </c:pt>
                <c:pt idx="15">
                  <c:v>98</c:v>
                </c:pt>
                <c:pt idx="16">
                  <c:v>88</c:v>
                </c:pt>
                <c:pt idx="17">
                  <c:v>100</c:v>
                </c:pt>
                <c:pt idx="18">
                  <c:v>23</c:v>
                </c:pt>
                <c:pt idx="19">
                  <c:v>25</c:v>
                </c:pt>
                <c:pt idx="20">
                  <c:v>22</c:v>
                </c:pt>
                <c:pt idx="21">
                  <c:v>30</c:v>
                </c:pt>
                <c:pt idx="22">
                  <c:v>25</c:v>
                </c:pt>
                <c:pt idx="23">
                  <c:v>25</c:v>
                </c:pt>
                <c:pt idx="24">
                  <c:v>17</c:v>
                </c:pt>
                <c:pt idx="25">
                  <c:v>17</c:v>
                </c:pt>
                <c:pt idx="26">
                  <c:v>18</c:v>
                </c:pt>
                <c:pt idx="27">
                  <c:v>10</c:v>
                </c:pt>
                <c:pt idx="28">
                  <c:v>19</c:v>
                </c:pt>
                <c:pt idx="29">
                  <c:v>12</c:v>
                </c:pt>
                <c:pt idx="30">
                  <c:v>12</c:v>
                </c:pt>
                <c:pt idx="31">
                  <c:v>10</c:v>
                </c:pt>
                <c:pt idx="32">
                  <c:v>2</c:v>
                </c:pt>
                <c:pt idx="33">
                  <c:v>8</c:v>
                </c:pt>
                <c:pt idx="34">
                  <c:v>8</c:v>
                </c:pt>
                <c:pt idx="35">
                  <c:v>6</c:v>
                </c:pt>
                <c:pt idx="36">
                  <c:v>11</c:v>
                </c:pt>
                <c:pt idx="37">
                  <c:v>5</c:v>
                </c:pt>
                <c:pt idx="38">
                  <c:v>4</c:v>
                </c:pt>
                <c:pt idx="39">
                  <c:v>4</c:v>
                </c:pt>
                <c:pt idx="40">
                  <c:v>8</c:v>
                </c:pt>
                <c:pt idx="41">
                  <c:v>7</c:v>
                </c:pt>
                <c:pt idx="42">
                  <c:v>5</c:v>
                </c:pt>
                <c:pt idx="43">
                  <c:v>7</c:v>
                </c:pt>
                <c:pt idx="44">
                  <c:v>4</c:v>
                </c:pt>
                <c:pt idx="45">
                  <c:v>7</c:v>
                </c:pt>
                <c:pt idx="46">
                  <c:v>4</c:v>
                </c:pt>
                <c:pt idx="47">
                  <c:v>6</c:v>
                </c:pt>
                <c:pt idx="48">
                  <c:v>3</c:v>
                </c:pt>
                <c:pt idx="49">
                  <c:v>8</c:v>
                </c:pt>
                <c:pt idx="50">
                  <c:v>1</c:v>
                </c:pt>
                <c:pt idx="51">
                  <c:v>4</c:v>
                </c:pt>
                <c:pt idx="52">
                  <c:v>2</c:v>
                </c:pt>
                <c:pt idx="53">
                  <c:v>3</c:v>
                </c:pt>
                <c:pt idx="54">
                  <c:v>1</c:v>
                </c:pt>
                <c:pt idx="55">
                  <c:v>4</c:v>
                </c:pt>
                <c:pt idx="56">
                  <c:v>1</c:v>
                </c:pt>
                <c:pt idx="57">
                  <c:v>1</c:v>
                </c:pt>
                <c:pt idx="58">
                  <c:v>1</c:v>
                </c:pt>
                <c:pt idx="59">
                  <c:v>5</c:v>
                </c:pt>
                <c:pt idx="60">
                  <c:v>2</c:v>
                </c:pt>
                <c:pt idx="61">
                  <c:v>1</c:v>
                </c:pt>
                <c:pt idx="62">
                  <c:v>1</c:v>
                </c:pt>
                <c:pt idx="66">
                  <c:v>2</c:v>
                </c:pt>
                <c:pt idx="67">
                  <c:v>1</c:v>
                </c:pt>
                <c:pt idx="71">
                  <c:v>1</c:v>
                </c:pt>
                <c:pt idx="75">
                  <c:v>1</c:v>
                </c:pt>
                <c:pt idx="78">
                  <c:v>1</c:v>
                </c:pt>
                <c:pt idx="81">
                  <c:v>1</c:v>
                </c:pt>
                <c:pt idx="87">
                  <c:v>1</c:v>
                </c:pt>
              </c:numCache>
            </c:numRef>
          </c:val>
          <c:smooth val="0"/>
        </c:ser>
        <c:ser>
          <c:idx val="3"/>
          <c:order val="3"/>
          <c:tx>
            <c:strRef>
              <c:f>'5 Init ADHD Therapy by age+drug'!$E$5:$E$6</c:f>
              <c:strCache>
                <c:ptCount val="1"/>
                <c:pt idx="0">
                  <c:v>MPH-MR (Ritalin LA)</c:v>
                </c:pt>
              </c:strCache>
            </c:strRef>
          </c:tx>
          <c:marker>
            <c:symbol val="none"/>
          </c:marker>
          <c:cat>
            <c:strRef>
              <c:f>'5 Init ADHD Therapy by age+drug'!$A$7:$A$97</c:f>
              <c:strCache>
                <c:ptCount val="9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90</c:v>
                </c:pt>
                <c:pt idx="89">
                  <c:v>91</c:v>
                </c:pt>
              </c:strCache>
            </c:strRef>
          </c:cat>
          <c:val>
            <c:numRef>
              <c:f>'5 Init ADHD Therapy by age+drug'!$E$7:$E$97</c:f>
              <c:numCache>
                <c:formatCode>General</c:formatCode>
                <c:ptCount val="90"/>
                <c:pt idx="0">
                  <c:v>1</c:v>
                </c:pt>
                <c:pt idx="1">
                  <c:v>1</c:v>
                </c:pt>
                <c:pt idx="4">
                  <c:v>2</c:v>
                </c:pt>
                <c:pt idx="5">
                  <c:v>12</c:v>
                </c:pt>
                <c:pt idx="6">
                  <c:v>119</c:v>
                </c:pt>
                <c:pt idx="7">
                  <c:v>127</c:v>
                </c:pt>
                <c:pt idx="8">
                  <c:v>96</c:v>
                </c:pt>
                <c:pt idx="9">
                  <c:v>82</c:v>
                </c:pt>
                <c:pt idx="10">
                  <c:v>73</c:v>
                </c:pt>
                <c:pt idx="11">
                  <c:v>77</c:v>
                </c:pt>
                <c:pt idx="12">
                  <c:v>74</c:v>
                </c:pt>
                <c:pt idx="13">
                  <c:v>49</c:v>
                </c:pt>
                <c:pt idx="14">
                  <c:v>54</c:v>
                </c:pt>
                <c:pt idx="15">
                  <c:v>36</c:v>
                </c:pt>
                <c:pt idx="16">
                  <c:v>47</c:v>
                </c:pt>
                <c:pt idx="17">
                  <c:v>29</c:v>
                </c:pt>
                <c:pt idx="18">
                  <c:v>11</c:v>
                </c:pt>
                <c:pt idx="19">
                  <c:v>15</c:v>
                </c:pt>
                <c:pt idx="20">
                  <c:v>14</c:v>
                </c:pt>
                <c:pt idx="21">
                  <c:v>7</c:v>
                </c:pt>
                <c:pt idx="22">
                  <c:v>11</c:v>
                </c:pt>
                <c:pt idx="23">
                  <c:v>20</c:v>
                </c:pt>
                <c:pt idx="24">
                  <c:v>12</c:v>
                </c:pt>
                <c:pt idx="25">
                  <c:v>11</c:v>
                </c:pt>
                <c:pt idx="26">
                  <c:v>11</c:v>
                </c:pt>
                <c:pt idx="27">
                  <c:v>10</c:v>
                </c:pt>
                <c:pt idx="28">
                  <c:v>7</c:v>
                </c:pt>
                <c:pt idx="29">
                  <c:v>7</c:v>
                </c:pt>
                <c:pt idx="30">
                  <c:v>4</c:v>
                </c:pt>
                <c:pt idx="31">
                  <c:v>4</c:v>
                </c:pt>
                <c:pt idx="32">
                  <c:v>5</c:v>
                </c:pt>
                <c:pt idx="33">
                  <c:v>5</c:v>
                </c:pt>
                <c:pt idx="34">
                  <c:v>6</c:v>
                </c:pt>
                <c:pt idx="35">
                  <c:v>6</c:v>
                </c:pt>
                <c:pt idx="36">
                  <c:v>5</c:v>
                </c:pt>
                <c:pt idx="37">
                  <c:v>5</c:v>
                </c:pt>
                <c:pt idx="38">
                  <c:v>1</c:v>
                </c:pt>
                <c:pt idx="39">
                  <c:v>7</c:v>
                </c:pt>
                <c:pt idx="40">
                  <c:v>8</c:v>
                </c:pt>
                <c:pt idx="41">
                  <c:v>6</c:v>
                </c:pt>
                <c:pt idx="42">
                  <c:v>9</c:v>
                </c:pt>
                <c:pt idx="43">
                  <c:v>6</c:v>
                </c:pt>
                <c:pt idx="44">
                  <c:v>4</c:v>
                </c:pt>
                <c:pt idx="45">
                  <c:v>1</c:v>
                </c:pt>
                <c:pt idx="46">
                  <c:v>2</c:v>
                </c:pt>
                <c:pt idx="47">
                  <c:v>4</c:v>
                </c:pt>
                <c:pt idx="48">
                  <c:v>1</c:v>
                </c:pt>
                <c:pt idx="49">
                  <c:v>2</c:v>
                </c:pt>
                <c:pt idx="50">
                  <c:v>2</c:v>
                </c:pt>
                <c:pt idx="51">
                  <c:v>2</c:v>
                </c:pt>
                <c:pt idx="52">
                  <c:v>3</c:v>
                </c:pt>
                <c:pt idx="53">
                  <c:v>1</c:v>
                </c:pt>
                <c:pt idx="54">
                  <c:v>1</c:v>
                </c:pt>
                <c:pt idx="55">
                  <c:v>1</c:v>
                </c:pt>
                <c:pt idx="56">
                  <c:v>2</c:v>
                </c:pt>
                <c:pt idx="57">
                  <c:v>1</c:v>
                </c:pt>
                <c:pt idx="58">
                  <c:v>2</c:v>
                </c:pt>
                <c:pt idx="59">
                  <c:v>2</c:v>
                </c:pt>
                <c:pt idx="60">
                  <c:v>2</c:v>
                </c:pt>
                <c:pt idx="61">
                  <c:v>1</c:v>
                </c:pt>
                <c:pt idx="67">
                  <c:v>1</c:v>
                </c:pt>
                <c:pt idx="72">
                  <c:v>1</c:v>
                </c:pt>
              </c:numCache>
            </c:numRef>
          </c:val>
          <c:smooth val="0"/>
        </c:ser>
        <c:ser>
          <c:idx val="4"/>
          <c:order val="4"/>
          <c:tx>
            <c:strRef>
              <c:f>'5 Init ADHD Therapy by age+drug'!$F$5:$F$6</c:f>
              <c:strCache>
                <c:ptCount val="1"/>
                <c:pt idx="0">
                  <c:v>MPH-IR (Ritalin 10)</c:v>
                </c:pt>
              </c:strCache>
            </c:strRef>
          </c:tx>
          <c:marker>
            <c:symbol val="none"/>
          </c:marker>
          <c:cat>
            <c:strRef>
              <c:f>'5 Init ADHD Therapy by age+drug'!$A$7:$A$97</c:f>
              <c:strCache>
                <c:ptCount val="9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90</c:v>
                </c:pt>
                <c:pt idx="89">
                  <c:v>91</c:v>
                </c:pt>
              </c:strCache>
            </c:strRef>
          </c:cat>
          <c:val>
            <c:numRef>
              <c:f>'5 Init ADHD Therapy by age+drug'!$F$7:$F$97</c:f>
              <c:numCache>
                <c:formatCode>General</c:formatCode>
                <c:ptCount val="90"/>
                <c:pt idx="1">
                  <c:v>1</c:v>
                </c:pt>
                <c:pt idx="2">
                  <c:v>5</c:v>
                </c:pt>
                <c:pt idx="3">
                  <c:v>31</c:v>
                </c:pt>
                <c:pt idx="4">
                  <c:v>260</c:v>
                </c:pt>
                <c:pt idx="5">
                  <c:v>1194</c:v>
                </c:pt>
                <c:pt idx="6">
                  <c:v>2341</c:v>
                </c:pt>
                <c:pt idx="7">
                  <c:v>2271</c:v>
                </c:pt>
                <c:pt idx="8">
                  <c:v>1850</c:v>
                </c:pt>
                <c:pt idx="9">
                  <c:v>1447</c:v>
                </c:pt>
                <c:pt idx="10">
                  <c:v>976</c:v>
                </c:pt>
                <c:pt idx="11">
                  <c:v>749</c:v>
                </c:pt>
                <c:pt idx="12">
                  <c:v>592</c:v>
                </c:pt>
                <c:pt idx="13">
                  <c:v>587</c:v>
                </c:pt>
                <c:pt idx="14">
                  <c:v>424</c:v>
                </c:pt>
                <c:pt idx="15">
                  <c:v>352</c:v>
                </c:pt>
                <c:pt idx="16">
                  <c:v>296</c:v>
                </c:pt>
                <c:pt idx="17">
                  <c:v>267</c:v>
                </c:pt>
                <c:pt idx="18">
                  <c:v>128</c:v>
                </c:pt>
                <c:pt idx="19">
                  <c:v>131</c:v>
                </c:pt>
                <c:pt idx="20">
                  <c:v>108</c:v>
                </c:pt>
                <c:pt idx="21">
                  <c:v>141</c:v>
                </c:pt>
                <c:pt idx="22">
                  <c:v>132</c:v>
                </c:pt>
                <c:pt idx="23">
                  <c:v>145</c:v>
                </c:pt>
                <c:pt idx="24">
                  <c:v>114</c:v>
                </c:pt>
                <c:pt idx="25">
                  <c:v>118</c:v>
                </c:pt>
                <c:pt idx="26">
                  <c:v>97</c:v>
                </c:pt>
                <c:pt idx="27">
                  <c:v>103</c:v>
                </c:pt>
                <c:pt idx="28">
                  <c:v>81</c:v>
                </c:pt>
                <c:pt idx="29">
                  <c:v>75</c:v>
                </c:pt>
                <c:pt idx="30">
                  <c:v>99</c:v>
                </c:pt>
                <c:pt idx="31">
                  <c:v>91</c:v>
                </c:pt>
                <c:pt idx="32">
                  <c:v>71</c:v>
                </c:pt>
                <c:pt idx="33">
                  <c:v>85</c:v>
                </c:pt>
                <c:pt idx="34">
                  <c:v>66</c:v>
                </c:pt>
                <c:pt idx="35">
                  <c:v>69</c:v>
                </c:pt>
                <c:pt idx="36">
                  <c:v>66</c:v>
                </c:pt>
                <c:pt idx="37">
                  <c:v>68</c:v>
                </c:pt>
                <c:pt idx="38">
                  <c:v>54</c:v>
                </c:pt>
                <c:pt idx="39">
                  <c:v>63</c:v>
                </c:pt>
                <c:pt idx="40">
                  <c:v>65</c:v>
                </c:pt>
                <c:pt idx="41">
                  <c:v>63</c:v>
                </c:pt>
                <c:pt idx="42">
                  <c:v>76</c:v>
                </c:pt>
                <c:pt idx="43">
                  <c:v>56</c:v>
                </c:pt>
                <c:pt idx="44">
                  <c:v>62</c:v>
                </c:pt>
                <c:pt idx="45">
                  <c:v>58</c:v>
                </c:pt>
                <c:pt idx="46">
                  <c:v>46</c:v>
                </c:pt>
                <c:pt idx="47">
                  <c:v>44</c:v>
                </c:pt>
                <c:pt idx="48">
                  <c:v>40</c:v>
                </c:pt>
                <c:pt idx="49">
                  <c:v>39</c:v>
                </c:pt>
                <c:pt idx="50">
                  <c:v>39</c:v>
                </c:pt>
                <c:pt idx="51">
                  <c:v>33</c:v>
                </c:pt>
                <c:pt idx="52">
                  <c:v>22</c:v>
                </c:pt>
                <c:pt idx="53">
                  <c:v>25</c:v>
                </c:pt>
                <c:pt idx="54">
                  <c:v>18</c:v>
                </c:pt>
                <c:pt idx="55">
                  <c:v>21</c:v>
                </c:pt>
                <c:pt idx="56">
                  <c:v>28</c:v>
                </c:pt>
                <c:pt idx="57">
                  <c:v>15</c:v>
                </c:pt>
                <c:pt idx="58">
                  <c:v>19</c:v>
                </c:pt>
                <c:pt idx="59">
                  <c:v>13</c:v>
                </c:pt>
                <c:pt idx="60">
                  <c:v>10</c:v>
                </c:pt>
                <c:pt idx="61">
                  <c:v>10</c:v>
                </c:pt>
                <c:pt idx="62">
                  <c:v>12</c:v>
                </c:pt>
                <c:pt idx="63">
                  <c:v>12</c:v>
                </c:pt>
                <c:pt idx="64">
                  <c:v>10</c:v>
                </c:pt>
                <c:pt idx="65">
                  <c:v>6</c:v>
                </c:pt>
                <c:pt idx="66">
                  <c:v>6</c:v>
                </c:pt>
                <c:pt idx="68">
                  <c:v>4</c:v>
                </c:pt>
                <c:pt idx="69">
                  <c:v>2</c:v>
                </c:pt>
                <c:pt idx="70">
                  <c:v>2</c:v>
                </c:pt>
                <c:pt idx="71">
                  <c:v>4</c:v>
                </c:pt>
                <c:pt idx="72">
                  <c:v>3</c:v>
                </c:pt>
                <c:pt idx="74">
                  <c:v>3</c:v>
                </c:pt>
                <c:pt idx="75">
                  <c:v>3</c:v>
                </c:pt>
                <c:pt idx="76">
                  <c:v>2</c:v>
                </c:pt>
                <c:pt idx="77">
                  <c:v>2</c:v>
                </c:pt>
                <c:pt idx="78">
                  <c:v>1</c:v>
                </c:pt>
                <c:pt idx="79">
                  <c:v>1</c:v>
                </c:pt>
                <c:pt idx="81">
                  <c:v>1</c:v>
                </c:pt>
                <c:pt idx="82">
                  <c:v>1</c:v>
                </c:pt>
                <c:pt idx="83">
                  <c:v>1</c:v>
                </c:pt>
                <c:pt idx="84">
                  <c:v>1</c:v>
                </c:pt>
                <c:pt idx="86">
                  <c:v>1</c:v>
                </c:pt>
                <c:pt idx="87">
                  <c:v>1</c:v>
                </c:pt>
                <c:pt idx="89">
                  <c:v>1</c:v>
                </c:pt>
              </c:numCache>
            </c:numRef>
          </c:val>
          <c:smooth val="0"/>
        </c:ser>
        <c:dLbls>
          <c:showLegendKey val="0"/>
          <c:showVal val="0"/>
          <c:showCatName val="0"/>
          <c:showSerName val="0"/>
          <c:showPercent val="0"/>
          <c:showBubbleSize val="0"/>
        </c:dLbls>
        <c:marker val="1"/>
        <c:smooth val="0"/>
        <c:axId val="124251136"/>
        <c:axId val="125109376"/>
      </c:lineChart>
      <c:catAx>
        <c:axId val="124251136"/>
        <c:scaling>
          <c:orientation val="minMax"/>
        </c:scaling>
        <c:delete val="0"/>
        <c:axPos val="b"/>
        <c:title>
          <c:tx>
            <c:rich>
              <a:bodyPr/>
              <a:lstStyle/>
              <a:p>
                <a:pPr>
                  <a:defRPr/>
                </a:pPr>
                <a:r>
                  <a:rPr lang="en-AU"/>
                  <a:t>Age</a:t>
                </a:r>
              </a:p>
            </c:rich>
          </c:tx>
          <c:overlay val="0"/>
        </c:title>
        <c:majorTickMark val="out"/>
        <c:minorTickMark val="none"/>
        <c:tickLblPos val="nextTo"/>
        <c:crossAx val="125109376"/>
        <c:crosses val="autoZero"/>
        <c:auto val="1"/>
        <c:lblAlgn val="ctr"/>
        <c:lblOffset val="100"/>
        <c:noMultiLvlLbl val="0"/>
      </c:catAx>
      <c:valAx>
        <c:axId val="125109376"/>
        <c:scaling>
          <c:orientation val="minMax"/>
        </c:scaling>
        <c:delete val="0"/>
        <c:axPos val="l"/>
        <c:majorGridlines/>
        <c:title>
          <c:tx>
            <c:rich>
              <a:bodyPr rot="-5400000" vert="horz"/>
              <a:lstStyle/>
              <a:p>
                <a:pPr>
                  <a:defRPr/>
                </a:pPr>
                <a:r>
                  <a:rPr lang="en-AU"/>
                  <a:t>Number of initiating patients</a:t>
                </a:r>
              </a:p>
            </c:rich>
          </c:tx>
          <c:overlay val="0"/>
        </c:title>
        <c:numFmt formatCode="General" sourceLinked="1"/>
        <c:majorTickMark val="out"/>
        <c:minorTickMark val="none"/>
        <c:tickLblPos val="nextTo"/>
        <c:crossAx val="124251136"/>
        <c:crosses val="autoZero"/>
        <c:crossBetween val="between"/>
      </c:valAx>
    </c:plotArea>
    <c:legend>
      <c:legendPos val="r"/>
      <c:layout>
        <c:manualLayout>
          <c:xMode val="edge"/>
          <c:yMode val="edge"/>
          <c:x val="2.3228483158355202E-2"/>
          <c:y val="0.89589143536725924"/>
          <c:w val="0.95246596128608929"/>
          <c:h val="0.10395487146508244"/>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[ADHD report June 2015 graphs v0.2.xlsx]Fig6 Prev pt 2014 by age+drug!PivotTable1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
        <c:idx val="24"/>
        <c:marker>
          <c:symbol val="none"/>
        </c:marker>
      </c:pivotFmt>
      <c:pivotFmt>
        <c:idx val="25"/>
        <c:marker>
          <c:symbol val="none"/>
        </c:marker>
      </c:pivotFmt>
      <c:pivotFmt>
        <c:idx val="26"/>
        <c:marker>
          <c:symbol val="none"/>
        </c:marker>
      </c:pivotFmt>
      <c:pivotFmt>
        <c:idx val="27"/>
        <c:marker>
          <c:symbol val="none"/>
        </c:marker>
      </c:pivotFmt>
    </c:pivotFmts>
    <c:plotArea>
      <c:layout>
        <c:manualLayout>
          <c:layoutTarget val="inner"/>
          <c:xMode val="edge"/>
          <c:yMode val="edge"/>
          <c:x val="0.11330579193295905"/>
          <c:y val="2.1238679454881625E-2"/>
          <c:w val="0.86584701575980128"/>
          <c:h val="0.76395173550915074"/>
        </c:manualLayout>
      </c:layout>
      <c:lineChart>
        <c:grouping val="standard"/>
        <c:varyColors val="0"/>
        <c:ser>
          <c:idx val="0"/>
          <c:order val="0"/>
          <c:tx>
            <c:strRef>
              <c:f>'Fig6 Prev pt 2014 by age+drug'!$B$5:$B$6</c:f>
              <c:strCache>
                <c:ptCount val="1"/>
                <c:pt idx="0">
                  <c:v>Atomoxetine (Strattera)</c:v>
                </c:pt>
              </c:strCache>
            </c:strRef>
          </c:tx>
          <c:marker>
            <c:symbol val="none"/>
          </c:marker>
          <c:cat>
            <c:strRef>
              <c:f>'Fig6 Prev pt 2014 by age+drug'!$A$7:$A$100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2014 by age+drug'!$B$7:$B$100</c:f>
              <c:numCache>
                <c:formatCode>General</c:formatCode>
                <c:ptCount val="94"/>
                <c:pt idx="3">
                  <c:v>1</c:v>
                </c:pt>
                <c:pt idx="4">
                  <c:v>3</c:v>
                </c:pt>
                <c:pt idx="5">
                  <c:v>24</c:v>
                </c:pt>
                <c:pt idx="6">
                  <c:v>252</c:v>
                </c:pt>
                <c:pt idx="7">
                  <c:v>419</c:v>
                </c:pt>
                <c:pt idx="8">
                  <c:v>517</c:v>
                </c:pt>
                <c:pt idx="9">
                  <c:v>615</c:v>
                </c:pt>
                <c:pt idx="10">
                  <c:v>642</c:v>
                </c:pt>
                <c:pt idx="11">
                  <c:v>645</c:v>
                </c:pt>
                <c:pt idx="12">
                  <c:v>633</c:v>
                </c:pt>
                <c:pt idx="13">
                  <c:v>576</c:v>
                </c:pt>
                <c:pt idx="14">
                  <c:v>529</c:v>
                </c:pt>
                <c:pt idx="15">
                  <c:v>458</c:v>
                </c:pt>
                <c:pt idx="16">
                  <c:v>315</c:v>
                </c:pt>
                <c:pt idx="17">
                  <c:v>271</c:v>
                </c:pt>
                <c:pt idx="18">
                  <c:v>188</c:v>
                </c:pt>
                <c:pt idx="19">
                  <c:v>139</c:v>
                </c:pt>
                <c:pt idx="20">
                  <c:v>108</c:v>
                </c:pt>
                <c:pt idx="21">
                  <c:v>95</c:v>
                </c:pt>
                <c:pt idx="22">
                  <c:v>86</c:v>
                </c:pt>
                <c:pt idx="23">
                  <c:v>76</c:v>
                </c:pt>
                <c:pt idx="24">
                  <c:v>59</c:v>
                </c:pt>
                <c:pt idx="25">
                  <c:v>65</c:v>
                </c:pt>
                <c:pt idx="26">
                  <c:v>50</c:v>
                </c:pt>
                <c:pt idx="27">
                  <c:v>51</c:v>
                </c:pt>
                <c:pt idx="28">
                  <c:v>59</c:v>
                </c:pt>
                <c:pt idx="29">
                  <c:v>53</c:v>
                </c:pt>
                <c:pt idx="30">
                  <c:v>45</c:v>
                </c:pt>
                <c:pt idx="31">
                  <c:v>57</c:v>
                </c:pt>
                <c:pt idx="32">
                  <c:v>34</c:v>
                </c:pt>
                <c:pt idx="33">
                  <c:v>35</c:v>
                </c:pt>
                <c:pt idx="34">
                  <c:v>33</c:v>
                </c:pt>
                <c:pt idx="35">
                  <c:v>25</c:v>
                </c:pt>
                <c:pt idx="36">
                  <c:v>36</c:v>
                </c:pt>
                <c:pt idx="37">
                  <c:v>19</c:v>
                </c:pt>
                <c:pt idx="38">
                  <c:v>24</c:v>
                </c:pt>
                <c:pt idx="39">
                  <c:v>15</c:v>
                </c:pt>
                <c:pt idx="40">
                  <c:v>18</c:v>
                </c:pt>
                <c:pt idx="41">
                  <c:v>22</c:v>
                </c:pt>
                <c:pt idx="42">
                  <c:v>16</c:v>
                </c:pt>
                <c:pt idx="43">
                  <c:v>17</c:v>
                </c:pt>
                <c:pt idx="44">
                  <c:v>21</c:v>
                </c:pt>
                <c:pt idx="45">
                  <c:v>23</c:v>
                </c:pt>
                <c:pt idx="46">
                  <c:v>12</c:v>
                </c:pt>
                <c:pt idx="47">
                  <c:v>12</c:v>
                </c:pt>
                <c:pt idx="48">
                  <c:v>13</c:v>
                </c:pt>
                <c:pt idx="49">
                  <c:v>10</c:v>
                </c:pt>
                <c:pt idx="50">
                  <c:v>8</c:v>
                </c:pt>
                <c:pt idx="51">
                  <c:v>9</c:v>
                </c:pt>
                <c:pt idx="52">
                  <c:v>5</c:v>
                </c:pt>
                <c:pt idx="53">
                  <c:v>10</c:v>
                </c:pt>
                <c:pt idx="54">
                  <c:v>4</c:v>
                </c:pt>
                <c:pt idx="55">
                  <c:v>3</c:v>
                </c:pt>
                <c:pt idx="56">
                  <c:v>1</c:v>
                </c:pt>
                <c:pt idx="57">
                  <c:v>4</c:v>
                </c:pt>
                <c:pt idx="58">
                  <c:v>2</c:v>
                </c:pt>
                <c:pt idx="59">
                  <c:v>2</c:v>
                </c:pt>
                <c:pt idx="60">
                  <c:v>5</c:v>
                </c:pt>
                <c:pt idx="61">
                  <c:v>3</c:v>
                </c:pt>
                <c:pt idx="63">
                  <c:v>1</c:v>
                </c:pt>
                <c:pt idx="64">
                  <c:v>2</c:v>
                </c:pt>
                <c:pt idx="65">
                  <c:v>3</c:v>
                </c:pt>
                <c:pt idx="66">
                  <c:v>1</c:v>
                </c:pt>
                <c:pt idx="67">
                  <c:v>4</c:v>
                </c:pt>
                <c:pt idx="68">
                  <c:v>1</c:v>
                </c:pt>
                <c:pt idx="71">
                  <c:v>1</c:v>
                </c:pt>
                <c:pt idx="72">
                  <c:v>1</c:v>
                </c:pt>
                <c:pt idx="74">
                  <c:v>1</c:v>
                </c:pt>
              </c:numCache>
            </c:numRef>
          </c:val>
          <c:smooth val="0"/>
        </c:ser>
        <c:ser>
          <c:idx val="1"/>
          <c:order val="1"/>
          <c:tx>
            <c:strRef>
              <c:f>'Fig6 Prev pt 2014 by age+drug'!$C$5:$C$6</c:f>
              <c:strCache>
                <c:ptCount val="1"/>
                <c:pt idx="0">
                  <c:v>Dexamphetamine</c:v>
                </c:pt>
              </c:strCache>
            </c:strRef>
          </c:tx>
          <c:marker>
            <c:symbol val="none"/>
          </c:marker>
          <c:cat>
            <c:strRef>
              <c:f>'Fig6 Prev pt 2014 by age+drug'!$A$7:$A$100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2014 by age+drug'!$C$7:$C$100</c:f>
              <c:numCache>
                <c:formatCode>General</c:formatCode>
                <c:ptCount val="94"/>
                <c:pt idx="1">
                  <c:v>1</c:v>
                </c:pt>
                <c:pt idx="2">
                  <c:v>2</c:v>
                </c:pt>
                <c:pt idx="3">
                  <c:v>37</c:v>
                </c:pt>
                <c:pt idx="4">
                  <c:v>181</c:v>
                </c:pt>
                <c:pt idx="5">
                  <c:v>502</c:v>
                </c:pt>
                <c:pt idx="6">
                  <c:v>696</c:v>
                </c:pt>
                <c:pt idx="7">
                  <c:v>818</c:v>
                </c:pt>
                <c:pt idx="8">
                  <c:v>766</c:v>
                </c:pt>
                <c:pt idx="9">
                  <c:v>825</c:v>
                </c:pt>
                <c:pt idx="10">
                  <c:v>748</c:v>
                </c:pt>
                <c:pt idx="11">
                  <c:v>699</c:v>
                </c:pt>
                <c:pt idx="12">
                  <c:v>678</c:v>
                </c:pt>
                <c:pt idx="13">
                  <c:v>614</c:v>
                </c:pt>
                <c:pt idx="14">
                  <c:v>594</c:v>
                </c:pt>
                <c:pt idx="15">
                  <c:v>572</c:v>
                </c:pt>
                <c:pt idx="16">
                  <c:v>557</c:v>
                </c:pt>
                <c:pt idx="17">
                  <c:v>577</c:v>
                </c:pt>
                <c:pt idx="18">
                  <c:v>482</c:v>
                </c:pt>
                <c:pt idx="19">
                  <c:v>589</c:v>
                </c:pt>
                <c:pt idx="20">
                  <c:v>609</c:v>
                </c:pt>
                <c:pt idx="21">
                  <c:v>678</c:v>
                </c:pt>
                <c:pt idx="22">
                  <c:v>735</c:v>
                </c:pt>
                <c:pt idx="23">
                  <c:v>776</c:v>
                </c:pt>
                <c:pt idx="24">
                  <c:v>883</c:v>
                </c:pt>
                <c:pt idx="25">
                  <c:v>939</c:v>
                </c:pt>
                <c:pt idx="26">
                  <c:v>916</c:v>
                </c:pt>
                <c:pt idx="27">
                  <c:v>931</c:v>
                </c:pt>
                <c:pt idx="28">
                  <c:v>973</c:v>
                </c:pt>
                <c:pt idx="29">
                  <c:v>916</c:v>
                </c:pt>
                <c:pt idx="30">
                  <c:v>933</c:v>
                </c:pt>
                <c:pt idx="31">
                  <c:v>898</c:v>
                </c:pt>
                <c:pt idx="32">
                  <c:v>883</c:v>
                </c:pt>
                <c:pt idx="33">
                  <c:v>780</c:v>
                </c:pt>
                <c:pt idx="34">
                  <c:v>728</c:v>
                </c:pt>
                <c:pt idx="35">
                  <c:v>693</c:v>
                </c:pt>
                <c:pt idx="36">
                  <c:v>667</c:v>
                </c:pt>
                <c:pt idx="37">
                  <c:v>611</c:v>
                </c:pt>
                <c:pt idx="38">
                  <c:v>589</c:v>
                </c:pt>
                <c:pt idx="39">
                  <c:v>598</c:v>
                </c:pt>
                <c:pt idx="40">
                  <c:v>596</c:v>
                </c:pt>
                <c:pt idx="41">
                  <c:v>611</c:v>
                </c:pt>
                <c:pt idx="42">
                  <c:v>588</c:v>
                </c:pt>
                <c:pt idx="43">
                  <c:v>613</c:v>
                </c:pt>
                <c:pt idx="44">
                  <c:v>548</c:v>
                </c:pt>
                <c:pt idx="45">
                  <c:v>541</c:v>
                </c:pt>
                <c:pt idx="46">
                  <c:v>468</c:v>
                </c:pt>
                <c:pt idx="47">
                  <c:v>420</c:v>
                </c:pt>
                <c:pt idx="48">
                  <c:v>406</c:v>
                </c:pt>
                <c:pt idx="49">
                  <c:v>400</c:v>
                </c:pt>
                <c:pt idx="50">
                  <c:v>421</c:v>
                </c:pt>
                <c:pt idx="51">
                  <c:v>371</c:v>
                </c:pt>
                <c:pt idx="52">
                  <c:v>378</c:v>
                </c:pt>
                <c:pt idx="53">
                  <c:v>367</c:v>
                </c:pt>
                <c:pt idx="54">
                  <c:v>333</c:v>
                </c:pt>
                <c:pt idx="55">
                  <c:v>287</c:v>
                </c:pt>
                <c:pt idx="56">
                  <c:v>289</c:v>
                </c:pt>
                <c:pt idx="57">
                  <c:v>242</c:v>
                </c:pt>
                <c:pt idx="58">
                  <c:v>246</c:v>
                </c:pt>
                <c:pt idx="59">
                  <c:v>234</c:v>
                </c:pt>
                <c:pt idx="60">
                  <c:v>219</c:v>
                </c:pt>
                <c:pt idx="61">
                  <c:v>171</c:v>
                </c:pt>
                <c:pt idx="62">
                  <c:v>157</c:v>
                </c:pt>
                <c:pt idx="63">
                  <c:v>155</c:v>
                </c:pt>
                <c:pt idx="64">
                  <c:v>128</c:v>
                </c:pt>
                <c:pt idx="65">
                  <c:v>141</c:v>
                </c:pt>
                <c:pt idx="66">
                  <c:v>111</c:v>
                </c:pt>
                <c:pt idx="67">
                  <c:v>95</c:v>
                </c:pt>
                <c:pt idx="68">
                  <c:v>78</c:v>
                </c:pt>
                <c:pt idx="69">
                  <c:v>71</c:v>
                </c:pt>
                <c:pt idx="70">
                  <c:v>61</c:v>
                </c:pt>
                <c:pt idx="71">
                  <c:v>70</c:v>
                </c:pt>
                <c:pt idx="72">
                  <c:v>45</c:v>
                </c:pt>
                <c:pt idx="73">
                  <c:v>28</c:v>
                </c:pt>
                <c:pt idx="74">
                  <c:v>27</c:v>
                </c:pt>
                <c:pt idx="75">
                  <c:v>25</c:v>
                </c:pt>
                <c:pt idx="76">
                  <c:v>31</c:v>
                </c:pt>
                <c:pt idx="77">
                  <c:v>32</c:v>
                </c:pt>
                <c:pt idx="78">
                  <c:v>24</c:v>
                </c:pt>
                <c:pt idx="79">
                  <c:v>21</c:v>
                </c:pt>
                <c:pt idx="80">
                  <c:v>16</c:v>
                </c:pt>
                <c:pt idx="81">
                  <c:v>24</c:v>
                </c:pt>
                <c:pt idx="82">
                  <c:v>6</c:v>
                </c:pt>
                <c:pt idx="83">
                  <c:v>13</c:v>
                </c:pt>
                <c:pt idx="84">
                  <c:v>14</c:v>
                </c:pt>
                <c:pt idx="85">
                  <c:v>7</c:v>
                </c:pt>
                <c:pt idx="86">
                  <c:v>3</c:v>
                </c:pt>
                <c:pt idx="87">
                  <c:v>6</c:v>
                </c:pt>
                <c:pt idx="88">
                  <c:v>1</c:v>
                </c:pt>
                <c:pt idx="89">
                  <c:v>4</c:v>
                </c:pt>
                <c:pt idx="90">
                  <c:v>2</c:v>
                </c:pt>
                <c:pt idx="91">
                  <c:v>1</c:v>
                </c:pt>
                <c:pt idx="92">
                  <c:v>2</c:v>
                </c:pt>
                <c:pt idx="93">
                  <c:v>1</c:v>
                </c:pt>
              </c:numCache>
            </c:numRef>
          </c:val>
          <c:smooth val="0"/>
        </c:ser>
        <c:ser>
          <c:idx val="2"/>
          <c:order val="2"/>
          <c:tx>
            <c:strRef>
              <c:f>'Fig6 Prev pt 2014 by age+drug'!$D$5:$D$6</c:f>
              <c:strCache>
                <c:ptCount val="1"/>
                <c:pt idx="0">
                  <c:v>MPH-MR (Concerta)</c:v>
                </c:pt>
              </c:strCache>
            </c:strRef>
          </c:tx>
          <c:marker>
            <c:symbol val="none"/>
          </c:marker>
          <c:cat>
            <c:strRef>
              <c:f>'Fig6 Prev pt 2014 by age+drug'!$A$7:$A$100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2014 by age+drug'!$D$7:$D$100</c:f>
              <c:numCache>
                <c:formatCode>General</c:formatCode>
                <c:ptCount val="94"/>
                <c:pt idx="4">
                  <c:v>12</c:v>
                </c:pt>
                <c:pt idx="5">
                  <c:v>106</c:v>
                </c:pt>
                <c:pt idx="6">
                  <c:v>1182</c:v>
                </c:pt>
                <c:pt idx="7">
                  <c:v>1863</c:v>
                </c:pt>
                <c:pt idx="8">
                  <c:v>2558</c:v>
                </c:pt>
                <c:pt idx="9">
                  <c:v>2880</c:v>
                </c:pt>
                <c:pt idx="10">
                  <c:v>3205</c:v>
                </c:pt>
                <c:pt idx="11">
                  <c:v>3305</c:v>
                </c:pt>
                <c:pt idx="12">
                  <c:v>3720</c:v>
                </c:pt>
                <c:pt idx="13">
                  <c:v>3673</c:v>
                </c:pt>
                <c:pt idx="14">
                  <c:v>3373</c:v>
                </c:pt>
                <c:pt idx="15">
                  <c:v>2979</c:v>
                </c:pt>
                <c:pt idx="16">
                  <c:v>2346</c:v>
                </c:pt>
                <c:pt idx="17">
                  <c:v>1839</c:v>
                </c:pt>
                <c:pt idx="18">
                  <c:v>1147</c:v>
                </c:pt>
                <c:pt idx="19">
                  <c:v>783</c:v>
                </c:pt>
                <c:pt idx="20">
                  <c:v>621</c:v>
                </c:pt>
                <c:pt idx="21">
                  <c:v>426</c:v>
                </c:pt>
                <c:pt idx="22">
                  <c:v>380</c:v>
                </c:pt>
                <c:pt idx="23">
                  <c:v>265</c:v>
                </c:pt>
                <c:pt idx="24">
                  <c:v>214</c:v>
                </c:pt>
                <c:pt idx="25">
                  <c:v>148</c:v>
                </c:pt>
                <c:pt idx="26">
                  <c:v>137</c:v>
                </c:pt>
                <c:pt idx="27">
                  <c:v>115</c:v>
                </c:pt>
                <c:pt idx="28">
                  <c:v>101</c:v>
                </c:pt>
                <c:pt idx="29">
                  <c:v>82</c:v>
                </c:pt>
                <c:pt idx="30">
                  <c:v>73</c:v>
                </c:pt>
                <c:pt idx="31">
                  <c:v>73</c:v>
                </c:pt>
                <c:pt idx="32">
                  <c:v>49</c:v>
                </c:pt>
                <c:pt idx="33">
                  <c:v>59</c:v>
                </c:pt>
                <c:pt idx="34">
                  <c:v>59</c:v>
                </c:pt>
                <c:pt idx="35">
                  <c:v>43</c:v>
                </c:pt>
                <c:pt idx="36">
                  <c:v>45</c:v>
                </c:pt>
                <c:pt idx="37">
                  <c:v>34</c:v>
                </c:pt>
                <c:pt idx="38">
                  <c:v>23</c:v>
                </c:pt>
                <c:pt idx="39">
                  <c:v>41</c:v>
                </c:pt>
                <c:pt idx="40">
                  <c:v>36</c:v>
                </c:pt>
                <c:pt idx="41">
                  <c:v>29</c:v>
                </c:pt>
                <c:pt idx="42">
                  <c:v>27</c:v>
                </c:pt>
                <c:pt idx="43">
                  <c:v>30</c:v>
                </c:pt>
                <c:pt idx="44">
                  <c:v>29</c:v>
                </c:pt>
                <c:pt idx="45">
                  <c:v>31</c:v>
                </c:pt>
                <c:pt idx="46">
                  <c:v>28</c:v>
                </c:pt>
                <c:pt idx="47">
                  <c:v>27</c:v>
                </c:pt>
                <c:pt idx="48">
                  <c:v>22</c:v>
                </c:pt>
                <c:pt idx="49">
                  <c:v>18</c:v>
                </c:pt>
                <c:pt idx="50">
                  <c:v>19</c:v>
                </c:pt>
                <c:pt idx="51">
                  <c:v>13</c:v>
                </c:pt>
                <c:pt idx="52">
                  <c:v>14</c:v>
                </c:pt>
                <c:pt idx="53">
                  <c:v>17</c:v>
                </c:pt>
                <c:pt idx="54">
                  <c:v>13</c:v>
                </c:pt>
                <c:pt idx="55">
                  <c:v>15</c:v>
                </c:pt>
                <c:pt idx="56">
                  <c:v>6</c:v>
                </c:pt>
                <c:pt idx="57">
                  <c:v>9</c:v>
                </c:pt>
                <c:pt idx="58">
                  <c:v>7</c:v>
                </c:pt>
                <c:pt idx="59">
                  <c:v>14</c:v>
                </c:pt>
                <c:pt idx="60">
                  <c:v>7</c:v>
                </c:pt>
                <c:pt idx="61">
                  <c:v>7</c:v>
                </c:pt>
                <c:pt idx="62">
                  <c:v>4</c:v>
                </c:pt>
                <c:pt idx="63">
                  <c:v>4</c:v>
                </c:pt>
                <c:pt idx="64">
                  <c:v>3</c:v>
                </c:pt>
                <c:pt idx="65">
                  <c:v>3</c:v>
                </c:pt>
                <c:pt idx="66">
                  <c:v>7</c:v>
                </c:pt>
                <c:pt idx="67">
                  <c:v>1</c:v>
                </c:pt>
                <c:pt idx="68">
                  <c:v>1</c:v>
                </c:pt>
                <c:pt idx="70">
                  <c:v>1</c:v>
                </c:pt>
                <c:pt idx="71">
                  <c:v>1</c:v>
                </c:pt>
                <c:pt idx="75">
                  <c:v>1</c:v>
                </c:pt>
                <c:pt idx="78">
                  <c:v>1</c:v>
                </c:pt>
                <c:pt idx="81">
                  <c:v>1</c:v>
                </c:pt>
                <c:pt idx="87">
                  <c:v>1</c:v>
                </c:pt>
              </c:numCache>
            </c:numRef>
          </c:val>
          <c:smooth val="0"/>
        </c:ser>
        <c:ser>
          <c:idx val="3"/>
          <c:order val="3"/>
          <c:tx>
            <c:strRef>
              <c:f>'Fig6 Prev pt 2014 by age+drug'!$E$5:$E$6</c:f>
              <c:strCache>
                <c:ptCount val="1"/>
                <c:pt idx="0">
                  <c:v>MPH-MR (Ritalin LA)</c:v>
                </c:pt>
              </c:strCache>
            </c:strRef>
          </c:tx>
          <c:marker>
            <c:symbol val="none"/>
          </c:marker>
          <c:cat>
            <c:strRef>
              <c:f>'Fig6 Prev pt 2014 by age+drug'!$A$7:$A$100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2014 by age+drug'!$E$7:$E$100</c:f>
              <c:numCache>
                <c:formatCode>General</c:formatCode>
                <c:ptCount val="94"/>
                <c:pt idx="0">
                  <c:v>1</c:v>
                </c:pt>
                <c:pt idx="1">
                  <c:v>1</c:v>
                </c:pt>
                <c:pt idx="4">
                  <c:v>16</c:v>
                </c:pt>
                <c:pt idx="5">
                  <c:v>135</c:v>
                </c:pt>
                <c:pt idx="6">
                  <c:v>1348</c:v>
                </c:pt>
                <c:pt idx="7">
                  <c:v>2067</c:v>
                </c:pt>
                <c:pt idx="8">
                  <c:v>2411</c:v>
                </c:pt>
                <c:pt idx="9">
                  <c:v>2489</c:v>
                </c:pt>
                <c:pt idx="10">
                  <c:v>2527</c:v>
                </c:pt>
                <c:pt idx="11">
                  <c:v>2385</c:v>
                </c:pt>
                <c:pt idx="12">
                  <c:v>2193</c:v>
                </c:pt>
                <c:pt idx="13">
                  <c:v>1676</c:v>
                </c:pt>
                <c:pt idx="14">
                  <c:v>1413</c:v>
                </c:pt>
                <c:pt idx="15">
                  <c:v>1114</c:v>
                </c:pt>
                <c:pt idx="16">
                  <c:v>799</c:v>
                </c:pt>
                <c:pt idx="17">
                  <c:v>565</c:v>
                </c:pt>
                <c:pt idx="18">
                  <c:v>294</c:v>
                </c:pt>
                <c:pt idx="19">
                  <c:v>235</c:v>
                </c:pt>
                <c:pt idx="20">
                  <c:v>198</c:v>
                </c:pt>
                <c:pt idx="21">
                  <c:v>137</c:v>
                </c:pt>
                <c:pt idx="22">
                  <c:v>142</c:v>
                </c:pt>
                <c:pt idx="23">
                  <c:v>141</c:v>
                </c:pt>
                <c:pt idx="24">
                  <c:v>114</c:v>
                </c:pt>
                <c:pt idx="25">
                  <c:v>108</c:v>
                </c:pt>
                <c:pt idx="26">
                  <c:v>93</c:v>
                </c:pt>
                <c:pt idx="27">
                  <c:v>82</c:v>
                </c:pt>
                <c:pt idx="28">
                  <c:v>71</c:v>
                </c:pt>
                <c:pt idx="29">
                  <c:v>44</c:v>
                </c:pt>
                <c:pt idx="30">
                  <c:v>58</c:v>
                </c:pt>
                <c:pt idx="31">
                  <c:v>44</c:v>
                </c:pt>
                <c:pt idx="32">
                  <c:v>40</c:v>
                </c:pt>
                <c:pt idx="33">
                  <c:v>44</c:v>
                </c:pt>
                <c:pt idx="34">
                  <c:v>34</c:v>
                </c:pt>
                <c:pt idx="35">
                  <c:v>32</c:v>
                </c:pt>
                <c:pt idx="36">
                  <c:v>33</c:v>
                </c:pt>
                <c:pt idx="37">
                  <c:v>29</c:v>
                </c:pt>
                <c:pt idx="38">
                  <c:v>21</c:v>
                </c:pt>
                <c:pt idx="39">
                  <c:v>28</c:v>
                </c:pt>
                <c:pt idx="40">
                  <c:v>31</c:v>
                </c:pt>
                <c:pt idx="41">
                  <c:v>33</c:v>
                </c:pt>
                <c:pt idx="42">
                  <c:v>30</c:v>
                </c:pt>
                <c:pt idx="43">
                  <c:v>27</c:v>
                </c:pt>
                <c:pt idx="44">
                  <c:v>24</c:v>
                </c:pt>
                <c:pt idx="45">
                  <c:v>27</c:v>
                </c:pt>
                <c:pt idx="46">
                  <c:v>13</c:v>
                </c:pt>
                <c:pt idx="47">
                  <c:v>19</c:v>
                </c:pt>
                <c:pt idx="48">
                  <c:v>17</c:v>
                </c:pt>
                <c:pt idx="49">
                  <c:v>11</c:v>
                </c:pt>
                <c:pt idx="50">
                  <c:v>10</c:v>
                </c:pt>
                <c:pt idx="51">
                  <c:v>6</c:v>
                </c:pt>
                <c:pt idx="52">
                  <c:v>12</c:v>
                </c:pt>
                <c:pt idx="53">
                  <c:v>6</c:v>
                </c:pt>
                <c:pt idx="54">
                  <c:v>9</c:v>
                </c:pt>
                <c:pt idx="55">
                  <c:v>2</c:v>
                </c:pt>
                <c:pt idx="56">
                  <c:v>6</c:v>
                </c:pt>
                <c:pt idx="57">
                  <c:v>3</c:v>
                </c:pt>
                <c:pt idx="58">
                  <c:v>6</c:v>
                </c:pt>
                <c:pt idx="59">
                  <c:v>3</c:v>
                </c:pt>
                <c:pt idx="60">
                  <c:v>6</c:v>
                </c:pt>
                <c:pt idx="61">
                  <c:v>7</c:v>
                </c:pt>
                <c:pt idx="62">
                  <c:v>2</c:v>
                </c:pt>
                <c:pt idx="63">
                  <c:v>4</c:v>
                </c:pt>
                <c:pt idx="64">
                  <c:v>2</c:v>
                </c:pt>
                <c:pt idx="66">
                  <c:v>1</c:v>
                </c:pt>
                <c:pt idx="67">
                  <c:v>2</c:v>
                </c:pt>
                <c:pt idx="68">
                  <c:v>1</c:v>
                </c:pt>
                <c:pt idx="72">
                  <c:v>1</c:v>
                </c:pt>
                <c:pt idx="78">
                  <c:v>1</c:v>
                </c:pt>
              </c:numCache>
            </c:numRef>
          </c:val>
          <c:smooth val="0"/>
        </c:ser>
        <c:ser>
          <c:idx val="4"/>
          <c:order val="4"/>
          <c:tx>
            <c:strRef>
              <c:f>'Fig6 Prev pt 2014 by age+drug'!$F$5:$F$6</c:f>
              <c:strCache>
                <c:ptCount val="1"/>
                <c:pt idx="0">
                  <c:v>MPH-IR (Ritalin 10)</c:v>
                </c:pt>
              </c:strCache>
            </c:strRef>
          </c:tx>
          <c:marker>
            <c:symbol val="none"/>
          </c:marker>
          <c:cat>
            <c:strRef>
              <c:f>'Fig6 Prev pt 2014 by age+drug'!$A$7:$A$100</c:f>
              <c:strCache>
                <c:ptCount val="9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strCache>
            </c:strRef>
          </c:cat>
          <c:val>
            <c:numRef>
              <c:f>'Fig6 Prev pt 2014 by age+drug'!$F$7:$F$100</c:f>
              <c:numCache>
                <c:formatCode>General</c:formatCode>
                <c:ptCount val="94"/>
                <c:pt idx="1">
                  <c:v>1</c:v>
                </c:pt>
                <c:pt idx="2">
                  <c:v>5</c:v>
                </c:pt>
                <c:pt idx="3">
                  <c:v>44</c:v>
                </c:pt>
                <c:pt idx="4">
                  <c:v>375</c:v>
                </c:pt>
                <c:pt idx="5">
                  <c:v>1680</c:v>
                </c:pt>
                <c:pt idx="6">
                  <c:v>3794</c:v>
                </c:pt>
                <c:pt idx="7">
                  <c:v>4675</c:v>
                </c:pt>
                <c:pt idx="8">
                  <c:v>4595</c:v>
                </c:pt>
                <c:pt idx="9">
                  <c:v>4199</c:v>
                </c:pt>
                <c:pt idx="10">
                  <c:v>3535</c:v>
                </c:pt>
                <c:pt idx="11">
                  <c:v>2975</c:v>
                </c:pt>
                <c:pt idx="12">
                  <c:v>2402</c:v>
                </c:pt>
                <c:pt idx="13">
                  <c:v>2035</c:v>
                </c:pt>
                <c:pt idx="14">
                  <c:v>1542</c:v>
                </c:pt>
                <c:pt idx="15">
                  <c:v>1330</c:v>
                </c:pt>
                <c:pt idx="16">
                  <c:v>1180</c:v>
                </c:pt>
                <c:pt idx="17">
                  <c:v>1046</c:v>
                </c:pt>
                <c:pt idx="18">
                  <c:v>605</c:v>
                </c:pt>
                <c:pt idx="19">
                  <c:v>544</c:v>
                </c:pt>
                <c:pt idx="20">
                  <c:v>477</c:v>
                </c:pt>
                <c:pt idx="21">
                  <c:v>468</c:v>
                </c:pt>
                <c:pt idx="22">
                  <c:v>405</c:v>
                </c:pt>
                <c:pt idx="23">
                  <c:v>414</c:v>
                </c:pt>
                <c:pt idx="24">
                  <c:v>372</c:v>
                </c:pt>
                <c:pt idx="25">
                  <c:v>348</c:v>
                </c:pt>
                <c:pt idx="26">
                  <c:v>313</c:v>
                </c:pt>
                <c:pt idx="27">
                  <c:v>319</c:v>
                </c:pt>
                <c:pt idx="28">
                  <c:v>265</c:v>
                </c:pt>
                <c:pt idx="29">
                  <c:v>248</c:v>
                </c:pt>
                <c:pt idx="30">
                  <c:v>256</c:v>
                </c:pt>
                <c:pt idx="31">
                  <c:v>264</c:v>
                </c:pt>
                <c:pt idx="32">
                  <c:v>206</c:v>
                </c:pt>
                <c:pt idx="33">
                  <c:v>232</c:v>
                </c:pt>
                <c:pt idx="34">
                  <c:v>201</c:v>
                </c:pt>
                <c:pt idx="35">
                  <c:v>235</c:v>
                </c:pt>
                <c:pt idx="36">
                  <c:v>191</c:v>
                </c:pt>
                <c:pt idx="37">
                  <c:v>191</c:v>
                </c:pt>
                <c:pt idx="38">
                  <c:v>192</c:v>
                </c:pt>
                <c:pt idx="39">
                  <c:v>182</c:v>
                </c:pt>
                <c:pt idx="40">
                  <c:v>197</c:v>
                </c:pt>
                <c:pt idx="41">
                  <c:v>213</c:v>
                </c:pt>
                <c:pt idx="42">
                  <c:v>228</c:v>
                </c:pt>
                <c:pt idx="43">
                  <c:v>182</c:v>
                </c:pt>
                <c:pt idx="44">
                  <c:v>181</c:v>
                </c:pt>
                <c:pt idx="45">
                  <c:v>180</c:v>
                </c:pt>
                <c:pt idx="46">
                  <c:v>140</c:v>
                </c:pt>
                <c:pt idx="47">
                  <c:v>165</c:v>
                </c:pt>
                <c:pt idx="48">
                  <c:v>128</c:v>
                </c:pt>
                <c:pt idx="49">
                  <c:v>119</c:v>
                </c:pt>
                <c:pt idx="50">
                  <c:v>144</c:v>
                </c:pt>
                <c:pt idx="51">
                  <c:v>137</c:v>
                </c:pt>
                <c:pt idx="52">
                  <c:v>104</c:v>
                </c:pt>
                <c:pt idx="53">
                  <c:v>109</c:v>
                </c:pt>
                <c:pt idx="54">
                  <c:v>83</c:v>
                </c:pt>
                <c:pt idx="55">
                  <c:v>78</c:v>
                </c:pt>
                <c:pt idx="56">
                  <c:v>75</c:v>
                </c:pt>
                <c:pt idx="57">
                  <c:v>68</c:v>
                </c:pt>
                <c:pt idx="58">
                  <c:v>64</c:v>
                </c:pt>
                <c:pt idx="59">
                  <c:v>60</c:v>
                </c:pt>
                <c:pt idx="60">
                  <c:v>49</c:v>
                </c:pt>
                <c:pt idx="61">
                  <c:v>45</c:v>
                </c:pt>
                <c:pt idx="62">
                  <c:v>35</c:v>
                </c:pt>
                <c:pt idx="63">
                  <c:v>37</c:v>
                </c:pt>
                <c:pt idx="64">
                  <c:v>33</c:v>
                </c:pt>
                <c:pt idx="65">
                  <c:v>34</c:v>
                </c:pt>
                <c:pt idx="66">
                  <c:v>28</c:v>
                </c:pt>
                <c:pt idx="67">
                  <c:v>11</c:v>
                </c:pt>
                <c:pt idx="68">
                  <c:v>15</c:v>
                </c:pt>
                <c:pt idx="69">
                  <c:v>11</c:v>
                </c:pt>
                <c:pt idx="70">
                  <c:v>11</c:v>
                </c:pt>
                <c:pt idx="71">
                  <c:v>8</c:v>
                </c:pt>
                <c:pt idx="72">
                  <c:v>8</c:v>
                </c:pt>
                <c:pt idx="73">
                  <c:v>4</c:v>
                </c:pt>
                <c:pt idx="74">
                  <c:v>9</c:v>
                </c:pt>
                <c:pt idx="75">
                  <c:v>4</c:v>
                </c:pt>
                <c:pt idx="76">
                  <c:v>7</c:v>
                </c:pt>
                <c:pt idx="77">
                  <c:v>3</c:v>
                </c:pt>
                <c:pt idx="78">
                  <c:v>1</c:v>
                </c:pt>
                <c:pt idx="79">
                  <c:v>2</c:v>
                </c:pt>
                <c:pt idx="80">
                  <c:v>2</c:v>
                </c:pt>
                <c:pt idx="81">
                  <c:v>4</c:v>
                </c:pt>
                <c:pt idx="82">
                  <c:v>3</c:v>
                </c:pt>
                <c:pt idx="83">
                  <c:v>5</c:v>
                </c:pt>
                <c:pt idx="84">
                  <c:v>1</c:v>
                </c:pt>
                <c:pt idx="85">
                  <c:v>1</c:v>
                </c:pt>
                <c:pt idx="86">
                  <c:v>2</c:v>
                </c:pt>
                <c:pt idx="87">
                  <c:v>1</c:v>
                </c:pt>
                <c:pt idx="91">
                  <c:v>2</c:v>
                </c:pt>
                <c:pt idx="92">
                  <c:v>1</c:v>
                </c:pt>
              </c:numCache>
            </c:numRef>
          </c:val>
          <c:smooth val="0"/>
        </c:ser>
        <c:dLbls>
          <c:showLegendKey val="0"/>
          <c:showVal val="0"/>
          <c:showCatName val="0"/>
          <c:showSerName val="0"/>
          <c:showPercent val="0"/>
          <c:showBubbleSize val="0"/>
        </c:dLbls>
        <c:marker val="1"/>
        <c:smooth val="0"/>
        <c:axId val="132252800"/>
        <c:axId val="132254720"/>
      </c:lineChart>
      <c:catAx>
        <c:axId val="132252800"/>
        <c:scaling>
          <c:orientation val="minMax"/>
        </c:scaling>
        <c:delete val="0"/>
        <c:axPos val="b"/>
        <c:title>
          <c:tx>
            <c:rich>
              <a:bodyPr/>
              <a:lstStyle/>
              <a:p>
                <a:pPr>
                  <a:defRPr/>
                </a:pPr>
                <a:r>
                  <a:rPr lang="en-AU"/>
                  <a:t>Age</a:t>
                </a:r>
              </a:p>
            </c:rich>
          </c:tx>
          <c:overlay val="0"/>
        </c:title>
        <c:majorTickMark val="out"/>
        <c:minorTickMark val="none"/>
        <c:tickLblPos val="nextTo"/>
        <c:crossAx val="132254720"/>
        <c:crosses val="autoZero"/>
        <c:auto val="1"/>
        <c:lblAlgn val="ctr"/>
        <c:lblOffset val="100"/>
        <c:noMultiLvlLbl val="0"/>
      </c:catAx>
      <c:valAx>
        <c:axId val="132254720"/>
        <c:scaling>
          <c:orientation val="minMax"/>
        </c:scaling>
        <c:delete val="0"/>
        <c:axPos val="l"/>
        <c:majorGridlines/>
        <c:title>
          <c:tx>
            <c:rich>
              <a:bodyPr rot="-5400000" vert="horz"/>
              <a:lstStyle/>
              <a:p>
                <a:pPr>
                  <a:defRPr/>
                </a:pPr>
                <a:r>
                  <a:rPr lang="en-AU"/>
                  <a:t>Prevalent</a:t>
                </a:r>
                <a:r>
                  <a:rPr lang="en-AU" baseline="0"/>
                  <a:t> patients</a:t>
                </a:r>
                <a:endParaRPr lang="en-AU"/>
              </a:p>
            </c:rich>
          </c:tx>
          <c:overlay val="0"/>
        </c:title>
        <c:numFmt formatCode="General" sourceLinked="1"/>
        <c:majorTickMark val="out"/>
        <c:minorTickMark val="none"/>
        <c:tickLblPos val="nextTo"/>
        <c:crossAx val="132252800"/>
        <c:crosses val="autoZero"/>
        <c:crossBetween val="between"/>
      </c:valAx>
    </c:plotArea>
    <c:legend>
      <c:legendPos val="r"/>
      <c:layout>
        <c:manualLayout>
          <c:xMode val="edge"/>
          <c:yMode val="edge"/>
          <c:x val="1.3623248074382836E-2"/>
          <c:y val="0.90683051333131559"/>
          <c:w val="0.97185242367579872"/>
          <c:h val="9.2927875843874685E-2"/>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[D842 - PATS_PER_1000POP by state using authorities.xlsx]Sheet1!PivotTable8</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
        <c:idx val="24"/>
        <c:marker>
          <c:symbol val="none"/>
        </c:marker>
      </c:pivotFmt>
      <c:pivotFmt>
        <c:idx val="25"/>
        <c:marker>
          <c:symbol val="none"/>
        </c:marker>
      </c:pivotFmt>
    </c:pivotFmts>
    <c:plotArea>
      <c:layout/>
      <c:barChart>
        <c:barDir val="col"/>
        <c:grouping val="clustered"/>
        <c:varyColors val="0"/>
        <c:ser>
          <c:idx val="0"/>
          <c:order val="0"/>
          <c:tx>
            <c:strRef>
              <c:f>Sheet1!$B$4:$B$5</c:f>
              <c:strCache>
                <c:ptCount val="1"/>
                <c:pt idx="0">
                  <c:v>2011</c:v>
                </c:pt>
              </c:strCache>
            </c:strRef>
          </c:tx>
          <c:invertIfNegative val="0"/>
          <c:cat>
            <c:strRef>
              <c:f>Sheet1!$A$6:$A$14</c:f>
              <c:strCache>
                <c:ptCount val="8"/>
                <c:pt idx="0">
                  <c:v>ACT</c:v>
                </c:pt>
                <c:pt idx="1">
                  <c:v>NSW</c:v>
                </c:pt>
                <c:pt idx="2">
                  <c:v>NT</c:v>
                </c:pt>
                <c:pt idx="3">
                  <c:v>QLD</c:v>
                </c:pt>
                <c:pt idx="4">
                  <c:v>SA</c:v>
                </c:pt>
                <c:pt idx="5">
                  <c:v>TAS</c:v>
                </c:pt>
                <c:pt idx="6">
                  <c:v>VIC</c:v>
                </c:pt>
                <c:pt idx="7">
                  <c:v>WA</c:v>
                </c:pt>
              </c:strCache>
            </c:strRef>
          </c:cat>
          <c:val>
            <c:numRef>
              <c:f>Sheet1!$B$6:$B$14</c:f>
              <c:numCache>
                <c:formatCode>General</c:formatCode>
                <c:ptCount val="8"/>
                <c:pt idx="0">
                  <c:v>6.1264112771650501</c:v>
                </c:pt>
                <c:pt idx="1">
                  <c:v>4.8851357310328503</c:v>
                </c:pt>
                <c:pt idx="2">
                  <c:v>2.5461351915653299</c:v>
                </c:pt>
                <c:pt idx="3">
                  <c:v>4.6007038737193504</c:v>
                </c:pt>
                <c:pt idx="4">
                  <c:v>2.2768447936556</c:v>
                </c:pt>
                <c:pt idx="5">
                  <c:v>4.0434667788221699</c:v>
                </c:pt>
                <c:pt idx="6">
                  <c:v>2.6645461598698801</c:v>
                </c:pt>
                <c:pt idx="7">
                  <c:v>6.5580739855837997</c:v>
                </c:pt>
              </c:numCache>
            </c:numRef>
          </c:val>
        </c:ser>
        <c:ser>
          <c:idx val="1"/>
          <c:order val="1"/>
          <c:tx>
            <c:strRef>
              <c:f>Sheet1!$C$4:$C$5</c:f>
              <c:strCache>
                <c:ptCount val="1"/>
                <c:pt idx="0">
                  <c:v>2012</c:v>
                </c:pt>
              </c:strCache>
            </c:strRef>
          </c:tx>
          <c:invertIfNegative val="0"/>
          <c:cat>
            <c:strRef>
              <c:f>Sheet1!$A$6:$A$14</c:f>
              <c:strCache>
                <c:ptCount val="8"/>
                <c:pt idx="0">
                  <c:v>ACT</c:v>
                </c:pt>
                <c:pt idx="1">
                  <c:v>NSW</c:v>
                </c:pt>
                <c:pt idx="2">
                  <c:v>NT</c:v>
                </c:pt>
                <c:pt idx="3">
                  <c:v>QLD</c:v>
                </c:pt>
                <c:pt idx="4">
                  <c:v>SA</c:v>
                </c:pt>
                <c:pt idx="5">
                  <c:v>TAS</c:v>
                </c:pt>
                <c:pt idx="6">
                  <c:v>VIC</c:v>
                </c:pt>
                <c:pt idx="7">
                  <c:v>WA</c:v>
                </c:pt>
              </c:strCache>
            </c:strRef>
          </c:cat>
          <c:val>
            <c:numRef>
              <c:f>Sheet1!$C$6:$C$14</c:f>
              <c:numCache>
                <c:formatCode>General</c:formatCode>
                <c:ptCount val="8"/>
                <c:pt idx="0">
                  <c:v>5.9357700109013498</c:v>
                </c:pt>
                <c:pt idx="1">
                  <c:v>5.2333436838792702</c:v>
                </c:pt>
                <c:pt idx="2">
                  <c:v>2.7895421844065398</c:v>
                </c:pt>
                <c:pt idx="3">
                  <c:v>4.9754772388717203</c:v>
                </c:pt>
                <c:pt idx="4">
                  <c:v>2.3846114363524902</c:v>
                </c:pt>
                <c:pt idx="5">
                  <c:v>4.2588839029419701</c:v>
                </c:pt>
                <c:pt idx="6">
                  <c:v>2.8420666341057599</c:v>
                </c:pt>
                <c:pt idx="7">
                  <c:v>6.8937823472904398</c:v>
                </c:pt>
              </c:numCache>
            </c:numRef>
          </c:val>
        </c:ser>
        <c:ser>
          <c:idx val="2"/>
          <c:order val="2"/>
          <c:tx>
            <c:strRef>
              <c:f>Sheet1!$D$4:$D$5</c:f>
              <c:strCache>
                <c:ptCount val="1"/>
                <c:pt idx="0">
                  <c:v>2013</c:v>
                </c:pt>
              </c:strCache>
            </c:strRef>
          </c:tx>
          <c:invertIfNegative val="0"/>
          <c:cat>
            <c:strRef>
              <c:f>Sheet1!$A$6:$A$14</c:f>
              <c:strCache>
                <c:ptCount val="8"/>
                <c:pt idx="0">
                  <c:v>ACT</c:v>
                </c:pt>
                <c:pt idx="1">
                  <c:v>NSW</c:v>
                </c:pt>
                <c:pt idx="2">
                  <c:v>NT</c:v>
                </c:pt>
                <c:pt idx="3">
                  <c:v>QLD</c:v>
                </c:pt>
                <c:pt idx="4">
                  <c:v>SA</c:v>
                </c:pt>
                <c:pt idx="5">
                  <c:v>TAS</c:v>
                </c:pt>
                <c:pt idx="6">
                  <c:v>VIC</c:v>
                </c:pt>
                <c:pt idx="7">
                  <c:v>WA</c:v>
                </c:pt>
              </c:strCache>
            </c:strRef>
          </c:cat>
          <c:val>
            <c:numRef>
              <c:f>Sheet1!$D$6:$D$14</c:f>
              <c:numCache>
                <c:formatCode>General</c:formatCode>
                <c:ptCount val="8"/>
                <c:pt idx="0">
                  <c:v>6.1921209784652698</c:v>
                </c:pt>
                <c:pt idx="1">
                  <c:v>5.5424662152632598</c:v>
                </c:pt>
                <c:pt idx="2">
                  <c:v>3.0757686329321601</c:v>
                </c:pt>
                <c:pt idx="3">
                  <c:v>5.4156226515033001</c:v>
                </c:pt>
                <c:pt idx="4">
                  <c:v>2.5327776507364899</c:v>
                </c:pt>
                <c:pt idx="5">
                  <c:v>4.5137400116936304</c:v>
                </c:pt>
                <c:pt idx="6">
                  <c:v>3.0554452679831101</c:v>
                </c:pt>
                <c:pt idx="7">
                  <c:v>7.07580407676517</c:v>
                </c:pt>
              </c:numCache>
            </c:numRef>
          </c:val>
        </c:ser>
        <c:ser>
          <c:idx val="3"/>
          <c:order val="3"/>
          <c:tx>
            <c:strRef>
              <c:f>Sheet1!$E$4:$E$5</c:f>
              <c:strCache>
                <c:ptCount val="1"/>
                <c:pt idx="0">
                  <c:v>2014</c:v>
                </c:pt>
              </c:strCache>
            </c:strRef>
          </c:tx>
          <c:invertIfNegative val="0"/>
          <c:cat>
            <c:strRef>
              <c:f>Sheet1!$A$6:$A$14</c:f>
              <c:strCache>
                <c:ptCount val="8"/>
                <c:pt idx="0">
                  <c:v>ACT</c:v>
                </c:pt>
                <c:pt idx="1">
                  <c:v>NSW</c:v>
                </c:pt>
                <c:pt idx="2">
                  <c:v>NT</c:v>
                </c:pt>
                <c:pt idx="3">
                  <c:v>QLD</c:v>
                </c:pt>
                <c:pt idx="4">
                  <c:v>SA</c:v>
                </c:pt>
                <c:pt idx="5">
                  <c:v>TAS</c:v>
                </c:pt>
                <c:pt idx="6">
                  <c:v>VIC</c:v>
                </c:pt>
                <c:pt idx="7">
                  <c:v>WA</c:v>
                </c:pt>
              </c:strCache>
            </c:strRef>
          </c:cat>
          <c:val>
            <c:numRef>
              <c:f>Sheet1!$E$6:$E$14</c:f>
              <c:numCache>
                <c:formatCode>General</c:formatCode>
                <c:ptCount val="8"/>
                <c:pt idx="0">
                  <c:v>6.4378905480885802</c:v>
                </c:pt>
                <c:pt idx="1">
                  <c:v>5.7321487663982804</c:v>
                </c:pt>
                <c:pt idx="2">
                  <c:v>3.3866630759877401</c:v>
                </c:pt>
                <c:pt idx="3">
                  <c:v>5.7023403333060196</c:v>
                </c:pt>
                <c:pt idx="4">
                  <c:v>2.6066106112899301</c:v>
                </c:pt>
                <c:pt idx="5">
                  <c:v>4.3359843966726404</c:v>
                </c:pt>
                <c:pt idx="6">
                  <c:v>3.2215119417111602</c:v>
                </c:pt>
                <c:pt idx="7">
                  <c:v>6.9958331212265197</c:v>
                </c:pt>
              </c:numCache>
            </c:numRef>
          </c:val>
        </c:ser>
        <c:dLbls>
          <c:showLegendKey val="0"/>
          <c:showVal val="0"/>
          <c:showCatName val="0"/>
          <c:showSerName val="0"/>
          <c:showPercent val="0"/>
          <c:showBubbleSize val="0"/>
        </c:dLbls>
        <c:gapWidth val="150"/>
        <c:axId val="132309760"/>
        <c:axId val="132311680"/>
      </c:barChart>
      <c:catAx>
        <c:axId val="132309760"/>
        <c:scaling>
          <c:orientation val="minMax"/>
        </c:scaling>
        <c:delete val="0"/>
        <c:axPos val="b"/>
        <c:title>
          <c:tx>
            <c:rich>
              <a:bodyPr/>
              <a:lstStyle/>
              <a:p>
                <a:pPr>
                  <a:defRPr/>
                </a:pPr>
                <a:r>
                  <a:rPr lang="en-AU"/>
                  <a:t>State/Territory</a:t>
                </a:r>
              </a:p>
            </c:rich>
          </c:tx>
          <c:overlay val="0"/>
        </c:title>
        <c:majorTickMark val="out"/>
        <c:minorTickMark val="none"/>
        <c:tickLblPos val="nextTo"/>
        <c:crossAx val="132311680"/>
        <c:crosses val="autoZero"/>
        <c:auto val="1"/>
        <c:lblAlgn val="ctr"/>
        <c:lblOffset val="100"/>
        <c:noMultiLvlLbl val="0"/>
      </c:catAx>
      <c:valAx>
        <c:axId val="132311680"/>
        <c:scaling>
          <c:orientation val="minMax"/>
        </c:scaling>
        <c:delete val="0"/>
        <c:axPos val="l"/>
        <c:majorGridlines/>
        <c:title>
          <c:tx>
            <c:rich>
              <a:bodyPr rot="-5400000" vert="horz"/>
              <a:lstStyle/>
              <a:p>
                <a:pPr>
                  <a:defRPr/>
                </a:pPr>
                <a:r>
                  <a:rPr lang="en-AU"/>
                  <a:t>People granted</a:t>
                </a:r>
                <a:r>
                  <a:rPr lang="en-AU" baseline="0"/>
                  <a:t> approval for</a:t>
                </a:r>
                <a:r>
                  <a:rPr lang="en-AU"/>
                  <a:t> ADHD medicine per 1000 population</a:t>
                </a:r>
              </a:p>
            </c:rich>
          </c:tx>
          <c:overlay val="0"/>
        </c:title>
        <c:numFmt formatCode="General" sourceLinked="1"/>
        <c:majorTickMark val="out"/>
        <c:minorTickMark val="none"/>
        <c:tickLblPos val="nextTo"/>
        <c:crossAx val="13230976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[D842 - ADHD patient counts, 2011 to 2014 - figs6to10 - v8 + age_grp and state, fig 10 using scripts.xlsx]by pivot (7)!PivotTable3</c:name>
    <c:fmtId val="-1"/>
  </c:pivotSource>
  <c:chart>
    <c:autoTitleDeleted val="1"/>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
        <c:idx val="24"/>
        <c:marker>
          <c:symbol val="none"/>
        </c:marker>
      </c:pivotFmt>
      <c:pivotFmt>
        <c:idx val="25"/>
        <c:marker>
          <c:symbol val="none"/>
        </c:marker>
      </c:pivotFmt>
      <c:pivotFmt>
        <c:idx val="26"/>
        <c:marker>
          <c:symbol val="none"/>
        </c:marker>
      </c:pivotFmt>
      <c:pivotFmt>
        <c:idx val="27"/>
        <c:marker>
          <c:symbol val="none"/>
        </c:marker>
      </c:pivotFmt>
      <c:pivotFmt>
        <c:idx val="28"/>
        <c:marker>
          <c:symbol val="none"/>
        </c:marker>
      </c:pivotFmt>
      <c:pivotFmt>
        <c:idx val="29"/>
        <c:marker>
          <c:symbol val="none"/>
        </c:marker>
      </c:pivotFmt>
      <c:pivotFmt>
        <c:idx val="30"/>
        <c:marker>
          <c:symbol val="none"/>
        </c:marker>
      </c:pivotFmt>
      <c:pivotFmt>
        <c:idx val="31"/>
        <c:marker>
          <c:symbol val="none"/>
        </c:marker>
      </c:pivotFmt>
      <c:pivotFmt>
        <c:idx val="32"/>
        <c:marker>
          <c:symbol val="none"/>
        </c:marker>
      </c:pivotFmt>
      <c:pivotFmt>
        <c:idx val="33"/>
        <c:marker>
          <c:symbol val="none"/>
        </c:marker>
      </c:pivotFmt>
      <c:pivotFmt>
        <c:idx val="34"/>
        <c:marker>
          <c:symbol val="none"/>
        </c:marker>
      </c:pivotFmt>
      <c:pivotFmt>
        <c:idx val="35"/>
        <c:marker>
          <c:symbol val="none"/>
        </c:marker>
      </c:pivotFmt>
      <c:pivotFmt>
        <c:idx val="36"/>
        <c:marker>
          <c:symbol val="none"/>
        </c:marker>
      </c:pivotFmt>
      <c:pivotFmt>
        <c:idx val="37"/>
        <c:marker>
          <c:symbol val="none"/>
        </c:marker>
      </c:pivotFmt>
      <c:pivotFmt>
        <c:idx val="38"/>
        <c:marker>
          <c:symbol val="none"/>
        </c:marker>
      </c:pivotFmt>
      <c:pivotFmt>
        <c:idx val="39"/>
        <c:marker>
          <c:symbol val="none"/>
        </c:marker>
      </c:pivotFmt>
      <c:pivotFmt>
        <c:idx val="40"/>
        <c:marker>
          <c:symbol val="none"/>
        </c:marker>
      </c:pivotFmt>
      <c:pivotFmt>
        <c:idx val="41"/>
        <c:marker>
          <c:symbol val="none"/>
        </c:marker>
      </c:pivotFmt>
      <c:pivotFmt>
        <c:idx val="42"/>
        <c:marker>
          <c:symbol val="none"/>
        </c:marker>
      </c:pivotFmt>
      <c:pivotFmt>
        <c:idx val="43"/>
        <c:marker>
          <c:symbol val="none"/>
        </c:marker>
      </c:pivotFmt>
      <c:pivotFmt>
        <c:idx val="44"/>
        <c:marker>
          <c:symbol val="none"/>
        </c:marker>
      </c:pivotFmt>
      <c:pivotFmt>
        <c:idx val="45"/>
        <c:marker>
          <c:symbol val="none"/>
        </c:marker>
      </c:pivotFmt>
      <c:pivotFmt>
        <c:idx val="46"/>
        <c:marker>
          <c:symbol val="none"/>
        </c:marker>
      </c:pivotFmt>
      <c:pivotFmt>
        <c:idx val="47"/>
        <c:marker>
          <c:symbol val="none"/>
        </c:marker>
      </c:pivotFmt>
      <c:pivotFmt>
        <c:idx val="48"/>
        <c:marker>
          <c:symbol val="none"/>
        </c:marker>
      </c:pivotFmt>
      <c:pivotFmt>
        <c:idx val="49"/>
        <c:marker>
          <c:symbol val="none"/>
        </c:marker>
      </c:pivotFmt>
      <c:pivotFmt>
        <c:idx val="50"/>
        <c:marker>
          <c:symbol val="none"/>
        </c:marker>
      </c:pivotFmt>
      <c:pivotFmt>
        <c:idx val="51"/>
        <c:marker>
          <c:symbol val="none"/>
        </c:marker>
      </c:pivotFmt>
      <c:pivotFmt>
        <c:idx val="52"/>
        <c:marker>
          <c:symbol val="none"/>
        </c:marker>
      </c:pivotFmt>
      <c:pivotFmt>
        <c:idx val="53"/>
        <c:marker>
          <c:symbol val="none"/>
        </c:marker>
      </c:pivotFmt>
      <c:pivotFmt>
        <c:idx val="54"/>
        <c:marker>
          <c:symbol val="none"/>
        </c:marker>
      </c:pivotFmt>
      <c:pivotFmt>
        <c:idx val="55"/>
        <c:marker>
          <c:symbol val="none"/>
        </c:marker>
      </c:pivotFmt>
      <c:pivotFmt>
        <c:idx val="56"/>
        <c:marker>
          <c:symbol val="none"/>
        </c:marker>
      </c:pivotFmt>
      <c:pivotFmt>
        <c:idx val="57"/>
        <c:marker>
          <c:symbol val="none"/>
        </c:marker>
      </c:pivotFmt>
      <c:pivotFmt>
        <c:idx val="58"/>
        <c:marker>
          <c:symbol val="none"/>
        </c:marker>
      </c:pivotFmt>
      <c:pivotFmt>
        <c:idx val="59"/>
        <c:marker>
          <c:symbol val="none"/>
        </c:marker>
      </c:pivotFmt>
      <c:pivotFmt>
        <c:idx val="60"/>
        <c:marker>
          <c:symbol val="none"/>
        </c:marker>
      </c:pivotFmt>
      <c:pivotFmt>
        <c:idx val="61"/>
        <c:marker>
          <c:symbol val="none"/>
        </c:marker>
      </c:pivotFmt>
      <c:pivotFmt>
        <c:idx val="62"/>
        <c:marker>
          <c:symbol val="none"/>
        </c:marker>
      </c:pivotFmt>
      <c:pivotFmt>
        <c:idx val="63"/>
        <c:marker>
          <c:symbol val="none"/>
        </c:marker>
      </c:pivotFmt>
      <c:pivotFmt>
        <c:idx val="64"/>
        <c:marker>
          <c:symbol val="none"/>
        </c:marker>
      </c:pivotFmt>
      <c:pivotFmt>
        <c:idx val="65"/>
        <c:marker>
          <c:symbol val="none"/>
        </c:marker>
      </c:pivotFmt>
      <c:pivotFmt>
        <c:idx val="66"/>
        <c:marker>
          <c:symbol val="none"/>
        </c:marker>
      </c:pivotFmt>
      <c:pivotFmt>
        <c:idx val="67"/>
        <c:marker>
          <c:symbol val="none"/>
        </c:marker>
      </c:pivotFmt>
      <c:pivotFmt>
        <c:idx val="68"/>
        <c:marker>
          <c:symbol val="none"/>
        </c:marker>
      </c:pivotFmt>
      <c:pivotFmt>
        <c:idx val="69"/>
        <c:marker>
          <c:symbol val="none"/>
        </c:marker>
      </c:pivotFmt>
      <c:pivotFmt>
        <c:idx val="70"/>
        <c:marker>
          <c:symbol val="none"/>
        </c:marker>
      </c:pivotFmt>
      <c:pivotFmt>
        <c:idx val="71"/>
        <c:marker>
          <c:symbol val="none"/>
        </c:marker>
      </c:pivotFmt>
      <c:pivotFmt>
        <c:idx val="72"/>
        <c:marker>
          <c:symbol val="none"/>
        </c:marker>
      </c:pivotFmt>
      <c:pivotFmt>
        <c:idx val="73"/>
        <c:marker>
          <c:symbol val="none"/>
        </c:marker>
      </c:pivotFmt>
      <c:pivotFmt>
        <c:idx val="74"/>
        <c:marker>
          <c:symbol val="none"/>
        </c:marker>
      </c:pivotFmt>
    </c:pivotFmts>
    <c:plotArea>
      <c:layout>
        <c:manualLayout>
          <c:layoutTarget val="inner"/>
          <c:xMode val="edge"/>
          <c:yMode val="edge"/>
          <c:x val="0.13902463580941274"/>
          <c:y val="5.676300210828903E-2"/>
          <c:w val="0.83158234663914321"/>
          <c:h val="0.76675548644883307"/>
        </c:manualLayout>
      </c:layout>
      <c:barChart>
        <c:barDir val="col"/>
        <c:grouping val="clustered"/>
        <c:varyColors val="0"/>
        <c:ser>
          <c:idx val="0"/>
          <c:order val="0"/>
          <c:tx>
            <c:strRef>
              <c:f>'by pivot (7)'!$B$5:$B$6</c:f>
              <c:strCache>
                <c:ptCount val="1"/>
                <c:pt idx="0">
                  <c:v> 0-5 years</c:v>
                </c:pt>
              </c:strCache>
            </c:strRef>
          </c:tx>
          <c:invertIfNegative val="0"/>
          <c:cat>
            <c:strRef>
              <c:f>'by pivot (7)'!$A$7:$A$15</c:f>
              <c:strCache>
                <c:ptCount val="8"/>
                <c:pt idx="0">
                  <c:v>ACT</c:v>
                </c:pt>
                <c:pt idx="1">
                  <c:v>NSW</c:v>
                </c:pt>
                <c:pt idx="2">
                  <c:v>NT</c:v>
                </c:pt>
                <c:pt idx="3">
                  <c:v>QLD</c:v>
                </c:pt>
                <c:pt idx="4">
                  <c:v>SA</c:v>
                </c:pt>
                <c:pt idx="5">
                  <c:v>TAS</c:v>
                </c:pt>
                <c:pt idx="6">
                  <c:v>VIC</c:v>
                </c:pt>
                <c:pt idx="7">
                  <c:v>WA</c:v>
                </c:pt>
              </c:strCache>
            </c:strRef>
          </c:cat>
          <c:val>
            <c:numRef>
              <c:f>'by pivot (7)'!$B$7:$B$15</c:f>
              <c:numCache>
                <c:formatCode>General</c:formatCode>
                <c:ptCount val="8"/>
                <c:pt idx="0">
                  <c:v>1.3490725126475547</c:v>
                </c:pt>
                <c:pt idx="1">
                  <c:v>2.300200958417066</c:v>
                </c:pt>
                <c:pt idx="2">
                  <c:v>1.0526869835254486</c:v>
                </c:pt>
                <c:pt idx="3">
                  <c:v>2.2267786670194236</c:v>
                </c:pt>
                <c:pt idx="4">
                  <c:v>1.3369910768225168</c:v>
                </c:pt>
                <c:pt idx="5">
                  <c:v>2.5292140227309106</c:v>
                </c:pt>
                <c:pt idx="6">
                  <c:v>1.2747057754593754</c:v>
                </c:pt>
                <c:pt idx="7">
                  <c:v>1.2258049452473792</c:v>
                </c:pt>
              </c:numCache>
            </c:numRef>
          </c:val>
        </c:ser>
        <c:ser>
          <c:idx val="1"/>
          <c:order val="1"/>
          <c:tx>
            <c:strRef>
              <c:f>'by pivot (7)'!$C$5:$C$6</c:f>
              <c:strCache>
                <c:ptCount val="1"/>
                <c:pt idx="0">
                  <c:v> 6-12 years</c:v>
                </c:pt>
              </c:strCache>
            </c:strRef>
          </c:tx>
          <c:invertIfNegative val="0"/>
          <c:cat>
            <c:strRef>
              <c:f>'by pivot (7)'!$A$7:$A$15</c:f>
              <c:strCache>
                <c:ptCount val="8"/>
                <c:pt idx="0">
                  <c:v>ACT</c:v>
                </c:pt>
                <c:pt idx="1">
                  <c:v>NSW</c:v>
                </c:pt>
                <c:pt idx="2">
                  <c:v>NT</c:v>
                </c:pt>
                <c:pt idx="3">
                  <c:v>QLD</c:v>
                </c:pt>
                <c:pt idx="4">
                  <c:v>SA</c:v>
                </c:pt>
                <c:pt idx="5">
                  <c:v>TAS</c:v>
                </c:pt>
                <c:pt idx="6">
                  <c:v>VIC</c:v>
                </c:pt>
                <c:pt idx="7">
                  <c:v>WA</c:v>
                </c:pt>
              </c:strCache>
            </c:strRef>
          </c:cat>
          <c:val>
            <c:numRef>
              <c:f>'by pivot (7)'!$C$7:$C$15</c:f>
              <c:numCache>
                <c:formatCode>General</c:formatCode>
                <c:ptCount val="8"/>
                <c:pt idx="0">
                  <c:v>39.256806475349514</c:v>
                </c:pt>
                <c:pt idx="1">
                  <c:v>35.129566798541717</c:v>
                </c:pt>
                <c:pt idx="2">
                  <c:v>19.876072449952332</c:v>
                </c:pt>
                <c:pt idx="3">
                  <c:v>37.58535683138161</c:v>
                </c:pt>
                <c:pt idx="4">
                  <c:v>16.16620319582281</c:v>
                </c:pt>
                <c:pt idx="5">
                  <c:v>30.512773095923691</c:v>
                </c:pt>
                <c:pt idx="6">
                  <c:v>20.085667562927828</c:v>
                </c:pt>
                <c:pt idx="7">
                  <c:v>25.696889022925447</c:v>
                </c:pt>
              </c:numCache>
            </c:numRef>
          </c:val>
        </c:ser>
        <c:ser>
          <c:idx val="2"/>
          <c:order val="2"/>
          <c:tx>
            <c:strRef>
              <c:f>'by pivot (7)'!$D$5:$D$6</c:f>
              <c:strCache>
                <c:ptCount val="1"/>
                <c:pt idx="0">
                  <c:v>13-17 years</c:v>
                </c:pt>
              </c:strCache>
            </c:strRef>
          </c:tx>
          <c:invertIfNegative val="0"/>
          <c:cat>
            <c:strRef>
              <c:f>'by pivot (7)'!$A$7:$A$15</c:f>
              <c:strCache>
                <c:ptCount val="8"/>
                <c:pt idx="0">
                  <c:v>ACT</c:v>
                </c:pt>
                <c:pt idx="1">
                  <c:v>NSW</c:v>
                </c:pt>
                <c:pt idx="2">
                  <c:v>NT</c:v>
                </c:pt>
                <c:pt idx="3">
                  <c:v>QLD</c:v>
                </c:pt>
                <c:pt idx="4">
                  <c:v>SA</c:v>
                </c:pt>
                <c:pt idx="5">
                  <c:v>TAS</c:v>
                </c:pt>
                <c:pt idx="6">
                  <c:v>VIC</c:v>
                </c:pt>
                <c:pt idx="7">
                  <c:v>WA</c:v>
                </c:pt>
              </c:strCache>
            </c:strRef>
          </c:cat>
          <c:val>
            <c:numRef>
              <c:f>'by pivot (7)'!$D$7:$D$15</c:f>
              <c:numCache>
                <c:formatCode>General</c:formatCode>
                <c:ptCount val="8"/>
                <c:pt idx="0">
                  <c:v>28.722123487932119</c:v>
                </c:pt>
                <c:pt idx="1">
                  <c:v>29.112925611294489</c:v>
                </c:pt>
                <c:pt idx="2">
                  <c:v>12.339137017411057</c:v>
                </c:pt>
                <c:pt idx="3">
                  <c:v>24.028233789550061</c:v>
                </c:pt>
                <c:pt idx="4">
                  <c:v>10.173229907561154</c:v>
                </c:pt>
                <c:pt idx="5">
                  <c:v>23.889370360601379</c:v>
                </c:pt>
                <c:pt idx="6">
                  <c:v>15.43481034577038</c:v>
                </c:pt>
                <c:pt idx="7">
                  <c:v>21.649623571037576</c:v>
                </c:pt>
              </c:numCache>
            </c:numRef>
          </c:val>
        </c:ser>
        <c:ser>
          <c:idx val="3"/>
          <c:order val="3"/>
          <c:tx>
            <c:strRef>
              <c:f>'by pivot (7)'!$E$5:$E$6</c:f>
              <c:strCache>
                <c:ptCount val="1"/>
                <c:pt idx="0">
                  <c:v>18+ years</c:v>
                </c:pt>
              </c:strCache>
            </c:strRef>
          </c:tx>
          <c:invertIfNegative val="0"/>
          <c:cat>
            <c:strRef>
              <c:f>'by pivot (7)'!$A$7:$A$15</c:f>
              <c:strCache>
                <c:ptCount val="8"/>
                <c:pt idx="0">
                  <c:v>ACT</c:v>
                </c:pt>
                <c:pt idx="1">
                  <c:v>NSW</c:v>
                </c:pt>
                <c:pt idx="2">
                  <c:v>NT</c:v>
                </c:pt>
                <c:pt idx="3">
                  <c:v>QLD</c:v>
                </c:pt>
                <c:pt idx="4">
                  <c:v>SA</c:v>
                </c:pt>
                <c:pt idx="5">
                  <c:v>TAS</c:v>
                </c:pt>
                <c:pt idx="6">
                  <c:v>VIC</c:v>
                </c:pt>
                <c:pt idx="7">
                  <c:v>WA</c:v>
                </c:pt>
              </c:strCache>
            </c:strRef>
          </c:cat>
          <c:val>
            <c:numRef>
              <c:f>'by pivot (7)'!$E$7:$E$15</c:f>
              <c:numCache>
                <c:formatCode>General</c:formatCode>
                <c:ptCount val="8"/>
                <c:pt idx="0">
                  <c:v>3.06212680329585</c:v>
                </c:pt>
                <c:pt idx="1">
                  <c:v>2.1558238266383394</c:v>
                </c:pt>
                <c:pt idx="2">
                  <c:v>1.2271145721149879</c:v>
                </c:pt>
                <c:pt idx="3">
                  <c:v>1.9368644703824005</c:v>
                </c:pt>
                <c:pt idx="4">
                  <c:v>1.3170386347705234</c:v>
                </c:pt>
                <c:pt idx="5">
                  <c:v>1.2208935269432188</c:v>
                </c:pt>
                <c:pt idx="6">
                  <c:v>1.3569305976402324</c:v>
                </c:pt>
                <c:pt idx="7">
                  <c:v>5.2339904376124418</c:v>
                </c:pt>
              </c:numCache>
            </c:numRef>
          </c:val>
        </c:ser>
        <c:dLbls>
          <c:showLegendKey val="0"/>
          <c:showVal val="0"/>
          <c:showCatName val="0"/>
          <c:showSerName val="0"/>
          <c:showPercent val="0"/>
          <c:showBubbleSize val="0"/>
        </c:dLbls>
        <c:gapWidth val="150"/>
        <c:axId val="137614080"/>
        <c:axId val="137616000"/>
      </c:barChart>
      <c:catAx>
        <c:axId val="137614080"/>
        <c:scaling>
          <c:orientation val="minMax"/>
        </c:scaling>
        <c:delete val="0"/>
        <c:axPos val="b"/>
        <c:title>
          <c:tx>
            <c:rich>
              <a:bodyPr/>
              <a:lstStyle/>
              <a:p>
                <a:pPr>
                  <a:defRPr/>
                </a:pPr>
                <a:r>
                  <a:rPr lang="en-AU"/>
                  <a:t>State/Territory</a:t>
                </a:r>
              </a:p>
            </c:rich>
          </c:tx>
          <c:overlay val="0"/>
        </c:title>
        <c:majorTickMark val="none"/>
        <c:minorTickMark val="none"/>
        <c:tickLblPos val="nextTo"/>
        <c:crossAx val="137616000"/>
        <c:crosses val="autoZero"/>
        <c:auto val="1"/>
        <c:lblAlgn val="ctr"/>
        <c:lblOffset val="100"/>
        <c:noMultiLvlLbl val="0"/>
      </c:catAx>
      <c:valAx>
        <c:axId val="137616000"/>
        <c:scaling>
          <c:orientation val="minMax"/>
        </c:scaling>
        <c:delete val="0"/>
        <c:axPos val="l"/>
        <c:majorGridlines/>
        <c:title>
          <c:tx>
            <c:rich>
              <a:bodyPr rot="-5400000" vert="horz"/>
              <a:lstStyle/>
              <a:p>
                <a:pPr>
                  <a:defRPr/>
                </a:pPr>
                <a:r>
                  <a:rPr lang="en-AU"/>
                  <a:t>People supplied ADHD medicine per 1000 population (age standardised)</a:t>
                </a:r>
              </a:p>
            </c:rich>
          </c:tx>
          <c:overlay val="0"/>
        </c:title>
        <c:numFmt formatCode="General" sourceLinked="0"/>
        <c:majorTickMark val="none"/>
        <c:minorTickMark val="none"/>
        <c:tickLblPos val="nextTo"/>
        <c:crossAx val="137614080"/>
        <c:crosses val="autoZero"/>
        <c:crossBetween val="between"/>
      </c:valAx>
    </c:plotArea>
    <c:legend>
      <c:legendPos val="r"/>
      <c:layout>
        <c:manualLayout>
          <c:xMode val="edge"/>
          <c:yMode val="edge"/>
          <c:x val="0.11789695577497646"/>
          <c:y val="0.94014521673871521"/>
          <c:w val="0.7942946939758585"/>
          <c:h val="5.5444112676521655E-2"/>
        </c:manualLayout>
      </c:layout>
      <c:overlay val="0"/>
    </c:legend>
    <c:plotVisOnly val="1"/>
    <c:dispBlanksAs val="gap"/>
    <c:showDLblsOverMax val="0"/>
  </c:chart>
  <c:spPr>
    <a:ln w="9525">
      <a:solidFill>
        <a:schemeClr val="tx1"/>
      </a:solidFill>
    </a:ln>
  </c:sp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8F461C5A514E87B7176B1B8ED53F02"/>
        <w:category>
          <w:name w:val="General"/>
          <w:gallery w:val="placeholder"/>
        </w:category>
        <w:types>
          <w:type w:val="bbPlcHdr"/>
        </w:types>
        <w:behaviors>
          <w:behavior w:val="content"/>
        </w:behaviors>
        <w:guid w:val="{E1F1FF0A-8501-4BFF-8E28-970165964D70}"/>
      </w:docPartPr>
      <w:docPartBody>
        <w:p w14:paraId="3A72B8B2" w14:textId="676BB4FC" w:rsidR="003C2E4A" w:rsidRDefault="005F0EB2">
          <w:r w:rsidRPr="002332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80000063"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B2"/>
    <w:rsid w:val="000B2D17"/>
    <w:rsid w:val="001649DB"/>
    <w:rsid w:val="003C2E4A"/>
    <w:rsid w:val="005F0EB2"/>
    <w:rsid w:val="00B02EB5"/>
    <w:rsid w:val="00D35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EB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0E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337F0-6EF4-4220-A2EE-D44B1036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11512</Words>
  <Characters>65620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ADHD: utilisation analysis</vt:lpstr>
    </vt:vector>
  </TitlesOfParts>
  <Company>Medicines Australia</Company>
  <LinksUpToDate>false</LinksUpToDate>
  <CharactersWithSpaces>76979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ADHD: utilisation analysis</dc:title>
  <dc:creator>andykesh</dc:creator>
  <cp:lastModifiedBy>Mariana Crank</cp:lastModifiedBy>
  <cp:revision>27</cp:revision>
  <cp:lastPrinted>2015-05-14T01:22:00Z</cp:lastPrinted>
  <dcterms:created xsi:type="dcterms:W3CDTF">2015-07-30T22:59:00Z</dcterms:created>
  <dcterms:modified xsi:type="dcterms:W3CDTF">2015-10-21T22:30:00Z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DOCTYPE">
    <vt:lpwstr/>
  </property>
  <property fmtid="{D5CDD505-2E9C-101B-9397-08002B2CF9AE}" pid="3" name="DraftType">
    <vt:lpwstr/>
  </property>
  <property fmtid="{D5CDD505-2E9C-101B-9397-08002B2CF9AE}" pid="4" name="WPLUSServerName">
    <vt:lpwstr/>
  </property>
  <property fmtid="{D5CDD505-2E9C-101B-9397-08002B2CF9AE}" pid="5" name="WPLUSDataBaseName">
    <vt:lpwstr/>
  </property>
  <property fmtid="{D5CDD505-2E9C-101B-9397-08002B2CF9AE}" pid="6" name="WPLUSDocumentUNID">
    <vt:lpwstr/>
  </property>
  <property fmtid="{D5CDD505-2E9C-101B-9397-08002B2CF9AE}" pid="7" name="NeverSavedToNT">
    <vt:lpwstr/>
  </property>
</Properties>
</file>