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Faura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color w:val="99999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999999"/>
          <w:sz w:val="24"/>
          <w:szCs w:val="24"/>
          <w:rtl w:val="0"/>
        </w:rPr>
        <w:t xml:space="preserve">Pre-Seed Equity Raise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COMPANY OVERVIEW</w:t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MARKET OVERVIEW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THESIS: WHAT DO THEY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IF THIS FAILS,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QUESTIONS FOR THE FOUNDERS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INVESTMENT DECISION</w:t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  <w:b w:val="1"/>
          <w:color w:val="4a86e8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ADDITIONAL THOUGHTS AND AREAS OF DILIGENCE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Work Sans" w:cs="Work Sans" w:eastAsia="Work Sans" w:hAnsi="Work Sans"/>
          <w:b w:val="1"/>
          <w:color w:val="4a86e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431" w:footer="4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erif Pro"/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tbl>
    <w:tblPr>
      <w:tblStyle w:val="Table3"/>
      <w:tblW w:w="9480.0" w:type="dxa"/>
      <w:jc w:val="left"/>
      <w:tblInd w:w="-4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265"/>
      <w:gridCol w:w="4215"/>
      <w:tblGridChange w:id="0">
        <w:tblGrid>
          <w:gridCol w:w="5265"/>
          <w:gridCol w:w="421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right"/>
            <w:rPr>
              <w:rFonts w:ascii="Nunito" w:cs="Nunito" w:eastAsia="Nunito" w:hAnsi="Nunito"/>
            </w:rPr>
          </w:pPr>
          <w:r w:rsidDel="00000000" w:rsidR="00000000" w:rsidRPr="00000000">
            <w:rPr>
              <w:rFonts w:ascii="Nunito" w:cs="Nunito" w:eastAsia="Nunito" w:hAnsi="Nunito"/>
              <w:rtl w:val="0"/>
            </w:rPr>
            <w:t xml:space="preserve">    </w:t>
          </w:r>
          <w:r w:rsidDel="00000000" w:rsidR="00000000" w:rsidRPr="00000000">
            <w:rPr>
              <w:rFonts w:ascii="Nunito" w:cs="Nunito" w:eastAsia="Nunito" w:hAnsi="Nunito"/>
              <w:color w:val="999999"/>
              <w:rtl w:val="0"/>
            </w:rPr>
            <w:t xml:space="preserve">Confidential &amp; Proprietary</w:t>
          </w:r>
          <w:r w:rsidDel="00000000" w:rsidR="00000000" w:rsidRPr="00000000">
            <w:rPr>
              <w:rFonts w:ascii="Nunito" w:cs="Nunito" w:eastAsia="Nunito" w:hAnsi="Nunito"/>
              <w:rtl w:val="0"/>
            </w:rPr>
            <w:t xml:space="preserve">   </w:t>
          </w:r>
          <w:r w:rsidDel="00000000" w:rsidR="00000000" w:rsidRPr="00000000">
            <w:rPr>
              <w:rFonts w:ascii="Nunito" w:cs="Nunito" w:eastAsia="Nunito" w:hAnsi="Nunito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tbl>
    <w:tblPr>
      <w:tblStyle w:val="Table4"/>
      <w:tblW w:w="9480.0" w:type="dxa"/>
      <w:jc w:val="left"/>
      <w:tblInd w:w="-4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265"/>
      <w:gridCol w:w="4215"/>
      <w:tblGridChange w:id="0">
        <w:tblGrid>
          <w:gridCol w:w="5265"/>
          <w:gridCol w:w="421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F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jc w:val="right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Fonts w:ascii="Work Sans" w:cs="Work Sans" w:eastAsia="Work Sans" w:hAnsi="Work Sans"/>
              <w:rtl w:val="0"/>
            </w:rPr>
            <w:t xml:space="preserve">    </w:t>
          </w:r>
          <w:r w:rsidDel="00000000" w:rsidR="00000000" w:rsidRPr="00000000">
            <w:rPr>
              <w:rFonts w:ascii="Work Sans" w:cs="Work Sans" w:eastAsia="Work Sans" w:hAnsi="Work Sans"/>
              <w:color w:val="999999"/>
              <w:rtl w:val="0"/>
            </w:rPr>
            <w:t xml:space="preserve">Confidential &amp; Proprietary</w:t>
          </w:r>
          <w:r w:rsidDel="00000000" w:rsidR="00000000" w:rsidRPr="00000000">
            <w:rPr>
              <w:rFonts w:ascii="Work Sans" w:cs="Work Sans" w:eastAsia="Work Sans" w:hAnsi="Work Sans"/>
              <w:rtl w:val="0"/>
            </w:rPr>
            <w:t xml:space="preserve">   </w:t>
          </w:r>
          <w:r w:rsidDel="00000000" w:rsidR="00000000" w:rsidRPr="00000000">
            <w:rPr>
              <w:rFonts w:ascii="Work Sans" w:cs="Work Sans" w:eastAsia="Work Sans" w:hAnsi="Work Sans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spacing w:line="240" w:lineRule="auto"/>
      <w:rPr/>
    </w:pPr>
    <w:r w:rsidDel="00000000" w:rsidR="00000000" w:rsidRPr="00000000">
      <w:rPr>
        <w:rFonts w:ascii="Nunito" w:cs="Nunito" w:eastAsia="Nunito" w:hAnsi="Nunito"/>
        <w:b w:val="1"/>
        <w:sz w:val="20"/>
        <w:szCs w:val="20"/>
        <w:u w:val="single"/>
      </w:rPr>
      <w:drawing>
        <wp:inline distB="114300" distT="114300" distL="114300" distR="114300">
          <wp:extent cx="2548370" cy="385763"/>
          <wp:effectExtent b="0" l="0" r="0" t="0"/>
          <wp:docPr descr="Building viral marketplaces and raising funds with the Dorm Room ..." id="8" name="image2.png"/>
          <a:graphic>
            <a:graphicData uri="http://schemas.openxmlformats.org/drawingml/2006/picture">
              <pic:pic>
                <pic:nvPicPr>
                  <pic:cNvPr descr="Building viral marketplaces and raising funds with the Dorm Room ..." id="0" name="image2.png"/>
                  <pic:cNvPicPr preferRelativeResize="0"/>
                </pic:nvPicPr>
                <pic:blipFill>
                  <a:blip r:embed="rId1"/>
                  <a:srcRect b="31213" l="14903" r="15224" t="30635"/>
                  <a:stretch>
                    <a:fillRect/>
                  </a:stretch>
                </pic:blipFill>
                <pic:spPr>
                  <a:xfrm>
                    <a:off x="0" y="0"/>
                    <a:ext cx="2548370" cy="3857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1"/>
      <w:tblW w:w="9367.0" w:type="dxa"/>
      <w:jc w:val="left"/>
      <w:tblInd w:w="-22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50"/>
      <w:gridCol w:w="4717"/>
      <w:tblGridChange w:id="0">
        <w:tblGrid>
          <w:gridCol w:w="4650"/>
          <w:gridCol w:w="4717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ind w:left="-45" w:firstLine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ind w:left="-45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ind w:left="-45" w:firstLine="0"/>
      <w:rPr/>
    </w:pPr>
    <w:r w:rsidDel="00000000" w:rsidR="00000000" w:rsidRPr="00000000">
      <w:rPr>
        <w:rtl w:val="0"/>
      </w:rPr>
    </w:r>
  </w:p>
  <w:tbl>
    <w:tblPr>
      <w:tblStyle w:val="Table2"/>
      <w:tblW w:w="9375.0" w:type="dxa"/>
      <w:jc w:val="left"/>
      <w:tblInd w:w="-22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35"/>
      <w:gridCol w:w="5130"/>
      <w:gridCol w:w="3510"/>
      <w:tblGridChange w:id="0">
        <w:tblGrid>
          <w:gridCol w:w="735"/>
          <w:gridCol w:w="5130"/>
          <w:gridCol w:w="351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3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-45" w:firstLine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4">
          <w:pPr>
            <w:rPr>
              <w:rFonts w:ascii="Source Serif Pro" w:cs="Source Serif Pro" w:eastAsia="Source Serif Pro" w:hAnsi="Source Serif Pro"/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5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-45" w:firstLine="0"/>
            <w:jc w:val="right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1857375" cy="266700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ind w:left="-45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6CJjBGLDursWRtwriF3TrY41Vg==">CgMxLjA4AHIhMVFvTlJZdjhLbWlUSWJkMFBOa25aaG52X1Z4SFZIajNV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2024-05-04T20:19:00Z</dcterms:created>
</cp:coreProperties>
</file>