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8C" w:rsidRDefault="003559F6" w:rsidP="003559F6">
      <w:pPr>
        <w:pStyle w:val="Titre"/>
      </w:pPr>
      <w:r>
        <w:t>Analyse de génétique quantitative</w:t>
      </w:r>
    </w:p>
    <w:p w:rsidR="003559F6" w:rsidRDefault="003559F6" w:rsidP="00821E3E">
      <w:pPr>
        <w:pStyle w:val="Paragraphedeliste"/>
        <w:numPr>
          <w:ilvl w:val="0"/>
          <w:numId w:val="2"/>
        </w:numPr>
      </w:pPr>
      <w:r>
        <w:t xml:space="preserve">Quels sont les traits sous-jacents qui influencent l’allofécondation résiduelle chez </w:t>
      </w:r>
      <w:proofErr w:type="spellStart"/>
      <w:r>
        <w:t>Medicago</w:t>
      </w:r>
      <w:proofErr w:type="spellEnd"/>
      <w:r>
        <w:t xml:space="preserve"> </w:t>
      </w:r>
      <w:proofErr w:type="spellStart"/>
      <w:r>
        <w:t>truncatula</w:t>
      </w:r>
      <w:proofErr w:type="spellEnd"/>
      <w:r>
        <w:t> ?</w:t>
      </w:r>
    </w:p>
    <w:p w:rsidR="003559F6" w:rsidRDefault="003559F6" w:rsidP="003559F6">
      <w:pPr>
        <w:pStyle w:val="Paragraphedeliste"/>
        <w:numPr>
          <w:ilvl w:val="0"/>
          <w:numId w:val="1"/>
        </w:numPr>
      </w:pPr>
      <w:r>
        <w:t>Date de floraison de la plante mère</w:t>
      </w:r>
    </w:p>
    <w:p w:rsidR="00C51F96" w:rsidRDefault="00C51F96" w:rsidP="003559F6">
      <w:pPr>
        <w:pStyle w:val="Paragraphedeliste"/>
        <w:numPr>
          <w:ilvl w:val="0"/>
          <w:numId w:val="1"/>
        </w:numPr>
      </w:pPr>
      <w:r>
        <w:t>Date de floraison de la plante père</w:t>
      </w:r>
    </w:p>
    <w:p w:rsidR="003559F6" w:rsidRDefault="003559F6" w:rsidP="003559F6">
      <w:pPr>
        <w:pStyle w:val="Paragraphedeliste"/>
        <w:numPr>
          <w:ilvl w:val="0"/>
          <w:numId w:val="1"/>
        </w:numPr>
      </w:pPr>
      <w:r>
        <w:t>C</w:t>
      </w:r>
      <w:r w:rsidR="00C51F96">
        <w:t xml:space="preserve">onditions environnementales : </w:t>
      </w:r>
      <w:r>
        <w:t xml:space="preserve">zone, </w:t>
      </w:r>
      <w:proofErr w:type="spellStart"/>
      <w:r>
        <w:t>quadrat</w:t>
      </w:r>
      <w:proofErr w:type="spellEnd"/>
      <w:r w:rsidR="00C51F96">
        <w:t xml:space="preserve">, (densité de plantes par carré = </w:t>
      </w:r>
      <w:proofErr w:type="spellStart"/>
      <w:r w:rsidR="00C51F96">
        <w:t>covariable</w:t>
      </w:r>
      <w:proofErr w:type="spellEnd"/>
      <w:r w:rsidR="00C51F96">
        <w:t> ?)</w:t>
      </w:r>
    </w:p>
    <w:p w:rsidR="00821E3E" w:rsidRDefault="00821E3E" w:rsidP="003559F6">
      <w:pPr>
        <w:pStyle w:val="Paragraphedeliste"/>
        <w:numPr>
          <w:ilvl w:val="0"/>
          <w:numId w:val="1"/>
        </w:numPr>
      </w:pPr>
      <w:r>
        <w:t>Nombre de gousses, nombre de graines, nombre de graines viables</w:t>
      </w:r>
    </w:p>
    <w:p w:rsidR="00C51F96" w:rsidRDefault="00821E3E" w:rsidP="00C51F96">
      <w:r>
        <w:t>Plus questions annexes : la probabilité d’être père est-elle affectée par la date de floraison ?</w:t>
      </w:r>
    </w:p>
    <w:p w:rsidR="00C51F96" w:rsidRDefault="00C51F96" w:rsidP="00821E3E">
      <w:pPr>
        <w:pStyle w:val="Paragraphedeliste"/>
        <w:numPr>
          <w:ilvl w:val="0"/>
          <w:numId w:val="2"/>
        </w:numPr>
      </w:pPr>
      <w:r>
        <w:t xml:space="preserve">Analyse de traits d’histoire de vie de la germination : y </w:t>
      </w:r>
      <w:proofErr w:type="spellStart"/>
      <w:r>
        <w:t>a-t’il</w:t>
      </w:r>
      <w:proofErr w:type="spellEnd"/>
      <w:r>
        <w:t xml:space="preserve"> des effets génétiques, un effet de la date de floraison de la plante mère ?</w:t>
      </w:r>
      <w:r w:rsidR="00821E3E">
        <w:t xml:space="preserve"> Y </w:t>
      </w:r>
      <w:proofErr w:type="spellStart"/>
      <w:r w:rsidR="00821E3E">
        <w:t>a-t’il</w:t>
      </w:r>
      <w:proofErr w:type="spellEnd"/>
      <w:r w:rsidR="00821E3E">
        <w:t xml:space="preserve"> un effet de l’allofécondation sur les traits de germination ?</w:t>
      </w:r>
    </w:p>
    <w:p w:rsidR="00C51F96" w:rsidRDefault="00C51F96" w:rsidP="00C51F96">
      <w:r>
        <w:t>Les traits analysés sont : le gonflement de la graine avant scarification (dormance de la graine), la vitesse de sortie de radicule, la vitesse de sortie de cotylédon (cotylédon déployé), la viabilité de la graine</w:t>
      </w:r>
      <w:r w:rsidR="00AD6CE6">
        <w:t>, le fait d’avoir développé une radicule, d’avoir développé</w:t>
      </w:r>
      <w:r w:rsidR="00821E3E">
        <w:t xml:space="preserve"> des cotylédons</w:t>
      </w:r>
      <w:r>
        <w:t>.</w:t>
      </w:r>
      <w:r w:rsidR="003E3726">
        <w:t xml:space="preserve"> La vitesse de gonflement de la graine n’est pas analysée car elle dépend trop de la scarification.</w:t>
      </w:r>
    </w:p>
    <w:p w:rsidR="0048620A" w:rsidRPr="003E7130" w:rsidRDefault="0048620A" w:rsidP="0048620A">
      <w:pPr>
        <w:rPr>
          <w:b/>
        </w:rPr>
      </w:pPr>
      <w:r w:rsidRPr="003E7130">
        <w:rPr>
          <w:b/>
        </w:rPr>
        <w:t>Vitesse d’émergence de la radicule :</w:t>
      </w:r>
    </w:p>
    <w:p w:rsidR="003C0996" w:rsidRDefault="003C0996" w:rsidP="00C718DA">
      <w:pPr>
        <w:spacing w:after="60"/>
      </w:pPr>
      <w:r>
        <w:t>La vitesse d’émergence de la radicule est calculée en faisant la différence entre le premier jour où la radicule est observée et le jour où le gonflement de la graine a été observé.</w:t>
      </w:r>
    </w:p>
    <w:p w:rsidR="00C718DA" w:rsidRPr="003C0996" w:rsidRDefault="00C718DA" w:rsidP="003C0996">
      <w:pPr>
        <w:spacing w:after="0"/>
        <w:rPr>
          <w:u w:val="single"/>
        </w:rPr>
      </w:pPr>
      <w:r w:rsidRPr="003C0996">
        <w:rPr>
          <w:u w:val="single"/>
        </w:rPr>
        <w:t>Effets testés :</w:t>
      </w:r>
    </w:p>
    <w:p w:rsidR="00C718DA" w:rsidRDefault="00C718DA" w:rsidP="00C718DA">
      <w:pPr>
        <w:pStyle w:val="Paragraphedeliste"/>
        <w:numPr>
          <w:ilvl w:val="0"/>
          <w:numId w:val="1"/>
        </w:numPr>
      </w:pPr>
      <w:r>
        <w:t xml:space="preserve">Génétiques : génotype de la plante mère (au sein de chaque dispositif, </w:t>
      </w:r>
      <w:proofErr w:type="spellStart"/>
      <w:r>
        <w:t>intrapop</w:t>
      </w:r>
      <w:proofErr w:type="spellEnd"/>
      <w:r>
        <w:t xml:space="preserve"> et </w:t>
      </w:r>
      <w:proofErr w:type="spellStart"/>
      <w:r>
        <w:t>interpop</w:t>
      </w:r>
      <w:proofErr w:type="spellEnd"/>
      <w:r>
        <w:t>)</w:t>
      </w:r>
    </w:p>
    <w:p w:rsidR="00C718DA" w:rsidRDefault="00C718DA" w:rsidP="00C718DA">
      <w:pPr>
        <w:pStyle w:val="Paragraphedeliste"/>
        <w:numPr>
          <w:ilvl w:val="0"/>
          <w:numId w:val="1"/>
        </w:numPr>
      </w:pPr>
      <w:r>
        <w:t>Environnementaux : Dispositif (Plan),</w:t>
      </w:r>
      <w:r w:rsidR="00B902D5">
        <w:t xml:space="preserve"> Zone,</w:t>
      </w:r>
      <w:bookmarkStart w:id="0" w:name="_GoBack"/>
      <w:bookmarkEnd w:id="0"/>
      <w:r>
        <w:t xml:space="preserve"> </w:t>
      </w:r>
      <w:proofErr w:type="spellStart"/>
      <w:r>
        <w:t>Quadrat</w:t>
      </w:r>
      <w:proofErr w:type="spellEnd"/>
      <w:r>
        <w:t>, gousse (</w:t>
      </w:r>
      <w:proofErr w:type="spellStart"/>
      <w:r>
        <w:t>IDPod</w:t>
      </w:r>
      <w:proofErr w:type="spellEnd"/>
      <w:r>
        <w:t>), plante mère = environnement maternel (Plant)</w:t>
      </w:r>
    </w:p>
    <w:p w:rsidR="00C718DA" w:rsidRDefault="00C718DA" w:rsidP="00C718DA">
      <w:pPr>
        <w:pStyle w:val="Paragraphedeliste"/>
        <w:numPr>
          <w:ilvl w:val="0"/>
          <w:numId w:val="1"/>
        </w:numPr>
      </w:pPr>
      <w:r>
        <w:t>Expérimentaux :</w:t>
      </w:r>
      <w:r w:rsidR="006F6A26">
        <w:t xml:space="preserve"> bloc</w:t>
      </w:r>
      <w:r>
        <w:t>, plateau, boîte (</w:t>
      </w:r>
      <w:proofErr w:type="spellStart"/>
      <w:r>
        <w:t>IDBox</w:t>
      </w:r>
      <w:proofErr w:type="spellEnd"/>
      <w:r>
        <w:t>)</w:t>
      </w:r>
    </w:p>
    <w:p w:rsidR="00CE1323" w:rsidRDefault="00C718DA" w:rsidP="00CE1323">
      <w:pPr>
        <w:spacing w:after="0"/>
      </w:pPr>
      <w:r>
        <w:t xml:space="preserve">Modèle complet : </w:t>
      </w:r>
    </w:p>
    <w:p w:rsidR="00C718DA" w:rsidRPr="00CE1323" w:rsidRDefault="00C718DA" w:rsidP="00C718DA">
      <w:pPr>
        <w:rPr>
          <w:sz w:val="20"/>
        </w:rPr>
      </w:pPr>
      <w:proofErr w:type="spellStart"/>
      <w:r w:rsidRPr="00CE1323">
        <w:rPr>
          <w:i/>
          <w:sz w:val="20"/>
        </w:rPr>
        <w:t>Vrad</w:t>
      </w:r>
      <w:proofErr w:type="spellEnd"/>
      <w:r w:rsidRPr="00CE1323">
        <w:rPr>
          <w:i/>
          <w:sz w:val="20"/>
        </w:rPr>
        <w:t xml:space="preserve"> ~ Block + Plan + (0 + Plan | </w:t>
      </w:r>
      <w:proofErr w:type="spellStart"/>
      <w:r w:rsidRPr="00CE1323">
        <w:rPr>
          <w:i/>
          <w:sz w:val="20"/>
        </w:rPr>
        <w:t>Geno</w:t>
      </w:r>
      <w:proofErr w:type="spellEnd"/>
      <w:r w:rsidRPr="00CE1323">
        <w:rPr>
          <w:i/>
          <w:sz w:val="20"/>
        </w:rPr>
        <w:t xml:space="preserve">) + (1 | Plate) + (1 | </w:t>
      </w:r>
      <w:proofErr w:type="spellStart"/>
      <w:r w:rsidRPr="00CE1323">
        <w:rPr>
          <w:i/>
          <w:sz w:val="20"/>
        </w:rPr>
        <w:t>Quadrat</w:t>
      </w:r>
      <w:proofErr w:type="spellEnd"/>
      <w:r w:rsidRPr="00CE1323">
        <w:rPr>
          <w:i/>
          <w:sz w:val="20"/>
        </w:rPr>
        <w:t xml:space="preserve">) + (1 | Plant) + (1 | </w:t>
      </w:r>
      <w:proofErr w:type="spellStart"/>
      <w:r w:rsidRPr="00CE1323">
        <w:rPr>
          <w:i/>
          <w:sz w:val="20"/>
        </w:rPr>
        <w:t>Pod</w:t>
      </w:r>
      <w:proofErr w:type="spellEnd"/>
      <w:r w:rsidRPr="00CE1323">
        <w:rPr>
          <w:i/>
          <w:sz w:val="20"/>
        </w:rPr>
        <w:t>) + (1 | Box)</w:t>
      </w:r>
    </w:p>
    <w:p w:rsidR="005E2866" w:rsidRDefault="002B3C49" w:rsidP="0048620A">
      <w:r>
        <w:t>Il n’y a p</w:t>
      </w:r>
      <w:r w:rsidR="0048620A">
        <w:t>as d’effet Zone au sein de l’</w:t>
      </w:r>
      <w:proofErr w:type="spellStart"/>
      <w:r w:rsidR="0048620A">
        <w:t>Intrapop</w:t>
      </w:r>
      <w:proofErr w:type="spellEnd"/>
      <w:r w:rsidR="0048620A">
        <w:t xml:space="preserve">. </w:t>
      </w:r>
      <w:r w:rsidR="003E7130">
        <w:t xml:space="preserve">Le modèle conservé est le suivant : </w:t>
      </w:r>
    </w:p>
    <w:p w:rsidR="0048620A" w:rsidRDefault="003E7130" w:rsidP="005E2866">
      <w:pPr>
        <w:jc w:val="center"/>
      </w:pPr>
      <w:proofErr w:type="spellStart"/>
      <w:r w:rsidRPr="003E7130">
        <w:rPr>
          <w:i/>
        </w:rPr>
        <w:t>Vradicule</w:t>
      </w:r>
      <w:proofErr w:type="spellEnd"/>
      <w:r w:rsidRPr="003E7130">
        <w:rPr>
          <w:i/>
        </w:rPr>
        <w:t xml:space="preserve"> ~ Block + </w:t>
      </w:r>
      <w:r w:rsidR="002B3C49">
        <w:rPr>
          <w:i/>
        </w:rPr>
        <w:t>(1|Plate) + (1|Quadrat) + (1|Plant) + (1|IDPod)</w:t>
      </w:r>
    </w:p>
    <w:tbl>
      <w:tblPr>
        <w:tblStyle w:val="Grilledutableau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993"/>
        <w:gridCol w:w="992"/>
        <w:gridCol w:w="992"/>
        <w:gridCol w:w="1161"/>
      </w:tblGrid>
      <w:tr w:rsidR="005E2866" w:rsidTr="003C0996">
        <w:trPr>
          <w:jc w:val="center"/>
        </w:trPr>
        <w:tc>
          <w:tcPr>
            <w:tcW w:w="124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3C0996">
              <w:rPr>
                <w:rFonts w:ascii="Arial" w:hAnsi="Arial" w:cs="Arial"/>
                <w:b/>
                <w:sz w:val="20"/>
              </w:rPr>
              <w:t>Effet</w:t>
            </w:r>
          </w:p>
        </w:tc>
        <w:tc>
          <w:tcPr>
            <w:tcW w:w="1134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3C0996">
              <w:rPr>
                <w:rFonts w:ascii="Arial" w:hAnsi="Arial" w:cs="Arial"/>
                <w:b/>
                <w:sz w:val="20"/>
              </w:rPr>
              <w:t>Block</w:t>
            </w:r>
          </w:p>
        </w:tc>
        <w:tc>
          <w:tcPr>
            <w:tcW w:w="1134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3C0996">
              <w:rPr>
                <w:rFonts w:ascii="Arial" w:hAnsi="Arial" w:cs="Arial"/>
                <w:b/>
                <w:sz w:val="20"/>
              </w:rPr>
              <w:t>Plate</w:t>
            </w:r>
          </w:p>
        </w:tc>
        <w:tc>
          <w:tcPr>
            <w:tcW w:w="993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3C0996">
              <w:rPr>
                <w:rFonts w:ascii="Arial" w:hAnsi="Arial" w:cs="Arial"/>
                <w:b/>
                <w:sz w:val="20"/>
              </w:rPr>
              <w:t>Quadrat</w:t>
            </w:r>
            <w:proofErr w:type="spellEnd"/>
          </w:p>
        </w:tc>
        <w:tc>
          <w:tcPr>
            <w:tcW w:w="99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3C0996">
              <w:rPr>
                <w:rFonts w:ascii="Arial" w:hAnsi="Arial" w:cs="Arial"/>
                <w:b/>
                <w:sz w:val="20"/>
              </w:rPr>
              <w:t>Plant</w:t>
            </w:r>
          </w:p>
        </w:tc>
        <w:tc>
          <w:tcPr>
            <w:tcW w:w="99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3C0996">
              <w:rPr>
                <w:rFonts w:ascii="Arial" w:hAnsi="Arial" w:cs="Arial"/>
                <w:b/>
                <w:sz w:val="20"/>
              </w:rPr>
              <w:t>Pod</w:t>
            </w:r>
            <w:proofErr w:type="spellEnd"/>
          </w:p>
        </w:tc>
        <w:tc>
          <w:tcPr>
            <w:tcW w:w="1161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3C0996">
              <w:rPr>
                <w:rFonts w:ascii="Arial" w:hAnsi="Arial" w:cs="Arial"/>
                <w:b/>
                <w:sz w:val="20"/>
              </w:rPr>
              <w:t>Residuals</w:t>
            </w:r>
            <w:proofErr w:type="spellEnd"/>
          </w:p>
        </w:tc>
      </w:tr>
      <w:tr w:rsidR="005E2866" w:rsidTr="003C0996">
        <w:trPr>
          <w:jc w:val="center"/>
        </w:trPr>
        <w:tc>
          <w:tcPr>
            <w:tcW w:w="124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3C0996">
              <w:rPr>
                <w:rFonts w:ascii="Arial" w:hAnsi="Arial" w:cs="Arial"/>
                <w:sz w:val="20"/>
              </w:rPr>
              <w:t>p-valeur</w:t>
            </w:r>
          </w:p>
        </w:tc>
        <w:tc>
          <w:tcPr>
            <w:tcW w:w="1134" w:type="dxa"/>
          </w:tcPr>
          <w:p w:rsidR="005E2866" w:rsidRPr="003C0996" w:rsidRDefault="003C099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2.2x10</w:t>
            </w:r>
            <w:r w:rsidRPr="003C0996">
              <w:rPr>
                <w:rFonts w:ascii="Arial" w:hAnsi="Arial" w:cs="Arial"/>
                <w:sz w:val="18"/>
                <w:vertAlign w:val="superscript"/>
              </w:rPr>
              <w:t>-16</w:t>
            </w:r>
          </w:p>
        </w:tc>
        <w:tc>
          <w:tcPr>
            <w:tcW w:w="1134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1.89x10</w:t>
            </w:r>
            <w:r w:rsidRPr="003C0996">
              <w:rPr>
                <w:rFonts w:ascii="Arial" w:hAnsi="Arial" w:cs="Arial"/>
                <w:sz w:val="18"/>
                <w:vertAlign w:val="superscript"/>
              </w:rPr>
              <w:t>-2</w:t>
            </w:r>
          </w:p>
        </w:tc>
        <w:tc>
          <w:tcPr>
            <w:tcW w:w="993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0.007073</w:t>
            </w:r>
          </w:p>
        </w:tc>
        <w:tc>
          <w:tcPr>
            <w:tcW w:w="99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1.65x10</w:t>
            </w:r>
            <w:r w:rsidRPr="003C0996">
              <w:rPr>
                <w:rFonts w:ascii="Arial" w:hAnsi="Arial" w:cs="Arial"/>
                <w:sz w:val="18"/>
                <w:vertAlign w:val="superscript"/>
              </w:rPr>
              <w:t>-8</w:t>
            </w:r>
          </w:p>
        </w:tc>
        <w:tc>
          <w:tcPr>
            <w:tcW w:w="99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2.2x10</w:t>
            </w:r>
            <w:r w:rsidRPr="003C0996">
              <w:rPr>
                <w:rFonts w:ascii="Arial" w:hAnsi="Arial" w:cs="Arial"/>
                <w:sz w:val="18"/>
                <w:vertAlign w:val="superscript"/>
              </w:rPr>
              <w:t>-16</w:t>
            </w:r>
          </w:p>
        </w:tc>
        <w:tc>
          <w:tcPr>
            <w:tcW w:w="1161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E2866" w:rsidTr="003C0996">
        <w:trPr>
          <w:jc w:val="center"/>
        </w:trPr>
        <w:tc>
          <w:tcPr>
            <w:tcW w:w="124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3C0996">
              <w:rPr>
                <w:rFonts w:ascii="Arial" w:hAnsi="Arial" w:cs="Arial"/>
                <w:sz w:val="20"/>
              </w:rPr>
              <w:t>Variance</w:t>
            </w:r>
          </w:p>
        </w:tc>
        <w:tc>
          <w:tcPr>
            <w:tcW w:w="1134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0.02196</w:t>
            </w:r>
          </w:p>
        </w:tc>
        <w:tc>
          <w:tcPr>
            <w:tcW w:w="993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0.02127</w:t>
            </w:r>
          </w:p>
        </w:tc>
        <w:tc>
          <w:tcPr>
            <w:tcW w:w="99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0.04223</w:t>
            </w:r>
          </w:p>
        </w:tc>
        <w:tc>
          <w:tcPr>
            <w:tcW w:w="99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0.17761</w:t>
            </w:r>
          </w:p>
        </w:tc>
        <w:tc>
          <w:tcPr>
            <w:tcW w:w="1161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0.67</w:t>
            </w:r>
          </w:p>
        </w:tc>
      </w:tr>
      <w:tr w:rsidR="005E2866" w:rsidTr="003C0996">
        <w:trPr>
          <w:jc w:val="center"/>
        </w:trPr>
        <w:tc>
          <w:tcPr>
            <w:tcW w:w="1242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3C0996">
              <w:rPr>
                <w:rFonts w:ascii="Arial" w:hAnsi="Arial" w:cs="Arial"/>
                <w:sz w:val="20"/>
              </w:rPr>
              <w:t>% variance</w:t>
            </w:r>
          </w:p>
        </w:tc>
        <w:tc>
          <w:tcPr>
            <w:tcW w:w="1134" w:type="dxa"/>
          </w:tcPr>
          <w:p w:rsidR="005E2866" w:rsidRPr="003C0996" w:rsidRDefault="005E2866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5E2866" w:rsidRPr="003C0996" w:rsidRDefault="006E799B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2.35</w:t>
            </w:r>
          </w:p>
        </w:tc>
        <w:tc>
          <w:tcPr>
            <w:tcW w:w="993" w:type="dxa"/>
          </w:tcPr>
          <w:p w:rsidR="005E2866" w:rsidRPr="003C0996" w:rsidRDefault="006E799B" w:rsidP="003C0996">
            <w:pPr>
              <w:tabs>
                <w:tab w:val="left" w:pos="420"/>
              </w:tabs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2.28</w:t>
            </w:r>
          </w:p>
        </w:tc>
        <w:tc>
          <w:tcPr>
            <w:tcW w:w="992" w:type="dxa"/>
          </w:tcPr>
          <w:p w:rsidR="005E2866" w:rsidRPr="003C0996" w:rsidRDefault="006E799B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4.53</w:t>
            </w:r>
          </w:p>
        </w:tc>
        <w:tc>
          <w:tcPr>
            <w:tcW w:w="992" w:type="dxa"/>
          </w:tcPr>
          <w:p w:rsidR="005E2866" w:rsidRPr="003C0996" w:rsidRDefault="006E799B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19.03</w:t>
            </w:r>
          </w:p>
        </w:tc>
        <w:tc>
          <w:tcPr>
            <w:tcW w:w="1161" w:type="dxa"/>
          </w:tcPr>
          <w:p w:rsidR="005E2866" w:rsidRPr="003C0996" w:rsidRDefault="006E799B" w:rsidP="003C0996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3C0996">
              <w:rPr>
                <w:rFonts w:ascii="Arial" w:hAnsi="Arial" w:cs="Arial"/>
                <w:sz w:val="18"/>
              </w:rPr>
              <w:t>71.81</w:t>
            </w:r>
          </w:p>
        </w:tc>
      </w:tr>
    </w:tbl>
    <w:p w:rsidR="005E2866" w:rsidRDefault="003C0996" w:rsidP="003C0996">
      <w:pPr>
        <w:spacing w:before="120"/>
      </w:pPr>
      <w:r>
        <w:t xml:space="preserve">En moyenne, les graines du block 1 ont une vitesse d’émergence de la radicule de 2.62 jours ; cette vitesse diminue de 1.07 jour dans le </w:t>
      </w:r>
      <w:proofErr w:type="spellStart"/>
      <w:r>
        <w:t>block</w:t>
      </w:r>
      <w:proofErr w:type="spellEnd"/>
      <w:r>
        <w:t xml:space="preserve"> 2 et de 1.18 jour dans le </w:t>
      </w:r>
      <w:proofErr w:type="spellStart"/>
      <w:r>
        <w:t>block</w:t>
      </w:r>
      <w:proofErr w:type="spellEnd"/>
      <w:r>
        <w:t xml:space="preserve"> 3.</w:t>
      </w:r>
    </w:p>
    <w:p w:rsidR="00436E3D" w:rsidRPr="003E7130" w:rsidRDefault="00436E3D" w:rsidP="00436E3D">
      <w:pPr>
        <w:rPr>
          <w:b/>
        </w:rPr>
      </w:pPr>
      <w:r w:rsidRPr="003E7130">
        <w:rPr>
          <w:b/>
        </w:rPr>
        <w:t>Vitesse d’émergence des cotylédons :</w:t>
      </w:r>
    </w:p>
    <w:p w:rsidR="00AC349D" w:rsidRDefault="00AC349D" w:rsidP="00436E3D">
      <w:r>
        <w:t>La vitesse d’émergence des cotylédons est calculée en faisant la différence entre le premier jour où des cotylédons déployés ont été observés et le jour où le gonflement de la graine a été observé.</w:t>
      </w:r>
    </w:p>
    <w:p w:rsidR="00AC349D" w:rsidRPr="003C0996" w:rsidRDefault="00AC349D" w:rsidP="00AC349D">
      <w:pPr>
        <w:spacing w:after="0"/>
        <w:rPr>
          <w:u w:val="single"/>
        </w:rPr>
      </w:pPr>
      <w:r w:rsidRPr="003C0996">
        <w:rPr>
          <w:u w:val="single"/>
        </w:rPr>
        <w:t>Effets testés :</w:t>
      </w:r>
    </w:p>
    <w:p w:rsidR="00AC349D" w:rsidRDefault="00AC349D" w:rsidP="00AC349D">
      <w:pPr>
        <w:pStyle w:val="Paragraphedeliste"/>
        <w:numPr>
          <w:ilvl w:val="0"/>
          <w:numId w:val="1"/>
        </w:numPr>
      </w:pPr>
      <w:r>
        <w:t xml:space="preserve">Génétiques : génotype de la plante mère (au sein de chaque dispositif, </w:t>
      </w:r>
      <w:proofErr w:type="spellStart"/>
      <w:r>
        <w:t>intrapop</w:t>
      </w:r>
      <w:proofErr w:type="spellEnd"/>
      <w:r>
        <w:t xml:space="preserve"> et </w:t>
      </w:r>
      <w:proofErr w:type="spellStart"/>
      <w:r>
        <w:t>interpop</w:t>
      </w:r>
      <w:proofErr w:type="spellEnd"/>
      <w:r>
        <w:t>)</w:t>
      </w:r>
    </w:p>
    <w:p w:rsidR="00AC349D" w:rsidRDefault="00AC349D" w:rsidP="00AC349D">
      <w:pPr>
        <w:pStyle w:val="Paragraphedeliste"/>
        <w:numPr>
          <w:ilvl w:val="0"/>
          <w:numId w:val="1"/>
        </w:numPr>
      </w:pPr>
      <w:r>
        <w:t xml:space="preserve">Environnementaux : Dispositif (Plan), </w:t>
      </w:r>
      <w:proofErr w:type="spellStart"/>
      <w:r>
        <w:t>Quadrat</w:t>
      </w:r>
      <w:proofErr w:type="spellEnd"/>
      <w:r>
        <w:t>, gousse (</w:t>
      </w:r>
      <w:proofErr w:type="spellStart"/>
      <w:r>
        <w:t>IDPod</w:t>
      </w:r>
      <w:proofErr w:type="spellEnd"/>
      <w:r>
        <w:t>), plante mère = environnement maternel (Plant)</w:t>
      </w:r>
    </w:p>
    <w:p w:rsidR="00AC349D" w:rsidRDefault="00AC349D" w:rsidP="00AC349D">
      <w:pPr>
        <w:pStyle w:val="Paragraphedeliste"/>
        <w:numPr>
          <w:ilvl w:val="0"/>
          <w:numId w:val="1"/>
        </w:numPr>
      </w:pPr>
      <w:r>
        <w:t>Expérimentaux : bloc, plateau, boîte (</w:t>
      </w:r>
      <w:proofErr w:type="spellStart"/>
      <w:r>
        <w:t>IDBox</w:t>
      </w:r>
      <w:proofErr w:type="spellEnd"/>
      <w:r>
        <w:t>)</w:t>
      </w:r>
    </w:p>
    <w:p w:rsidR="00AC349D" w:rsidRDefault="00AC349D" w:rsidP="00AC349D">
      <w:pPr>
        <w:spacing w:after="0"/>
      </w:pPr>
      <w:r>
        <w:lastRenderedPageBreak/>
        <w:t xml:space="preserve">Modèle complet : </w:t>
      </w:r>
    </w:p>
    <w:p w:rsidR="00AC349D" w:rsidRPr="00CE1323" w:rsidRDefault="00AC349D" w:rsidP="00AC349D">
      <w:pPr>
        <w:rPr>
          <w:sz w:val="20"/>
        </w:rPr>
      </w:pPr>
      <w:proofErr w:type="spellStart"/>
      <w:r>
        <w:rPr>
          <w:i/>
          <w:sz w:val="20"/>
        </w:rPr>
        <w:t>Vcot</w:t>
      </w:r>
      <w:proofErr w:type="spellEnd"/>
      <w:r w:rsidR="00E61A8A">
        <w:rPr>
          <w:i/>
          <w:sz w:val="20"/>
        </w:rPr>
        <w:t xml:space="preserve"> ~ Block + Zone0 + (0 + Zone0</w:t>
      </w:r>
      <w:r w:rsidRPr="00CE1323">
        <w:rPr>
          <w:i/>
          <w:sz w:val="20"/>
        </w:rPr>
        <w:t xml:space="preserve"> | </w:t>
      </w:r>
      <w:proofErr w:type="spellStart"/>
      <w:r w:rsidRPr="00CE1323">
        <w:rPr>
          <w:i/>
          <w:sz w:val="20"/>
        </w:rPr>
        <w:t>Geno</w:t>
      </w:r>
      <w:proofErr w:type="spellEnd"/>
      <w:r w:rsidRPr="00CE1323">
        <w:rPr>
          <w:i/>
          <w:sz w:val="20"/>
        </w:rPr>
        <w:t xml:space="preserve">) + (1 | Plate) + (1 | </w:t>
      </w:r>
      <w:proofErr w:type="spellStart"/>
      <w:r w:rsidRPr="00CE1323">
        <w:rPr>
          <w:i/>
          <w:sz w:val="20"/>
        </w:rPr>
        <w:t>Quadrat</w:t>
      </w:r>
      <w:proofErr w:type="spellEnd"/>
      <w:r w:rsidRPr="00CE1323">
        <w:rPr>
          <w:i/>
          <w:sz w:val="20"/>
        </w:rPr>
        <w:t xml:space="preserve">) + (1 | Plant) + (1 | </w:t>
      </w:r>
      <w:proofErr w:type="spellStart"/>
      <w:r w:rsidRPr="00CE1323">
        <w:rPr>
          <w:i/>
          <w:sz w:val="20"/>
        </w:rPr>
        <w:t>Pod</w:t>
      </w:r>
      <w:proofErr w:type="spellEnd"/>
      <w:r w:rsidRPr="00CE1323">
        <w:rPr>
          <w:i/>
          <w:sz w:val="20"/>
        </w:rPr>
        <w:t>) + (1 | Box)</w:t>
      </w:r>
    </w:p>
    <w:p w:rsidR="00436E3D" w:rsidRDefault="00436E3D" w:rsidP="00436E3D">
      <w:r>
        <w:t xml:space="preserve">Il y a un effet zone au sein des graines issues du dispositif </w:t>
      </w:r>
      <w:proofErr w:type="spellStart"/>
      <w:r>
        <w:t>Intrapop</w:t>
      </w:r>
      <w:proofErr w:type="spellEnd"/>
      <w:r>
        <w:t xml:space="preserve"> (p-val = 0.0</w:t>
      </w:r>
      <w:r w:rsidR="003C2A7B">
        <w:t>1208</w:t>
      </w:r>
      <w:r>
        <w:t>). La moyenne de la vitesse de sortie des cotyléd</w:t>
      </w:r>
      <w:r w:rsidR="003C2A7B">
        <w:t>ons dans la zone 3 est de 6.0824</w:t>
      </w:r>
      <w:r w:rsidR="00E61A8A">
        <w:t xml:space="preserve"> jours, elle diminue de 0.8623</w:t>
      </w:r>
      <w:r>
        <w:t xml:space="preserve"> dans la zone 8 et de 0.</w:t>
      </w:r>
      <w:r w:rsidR="00E61A8A">
        <w:t>1906</w:t>
      </w:r>
      <w:r>
        <w:t xml:space="preserve"> dans la zone 12.</w:t>
      </w:r>
      <w:r w:rsidR="00BB630A">
        <w:t xml:space="preserve"> La simplification du modèle est donc réalisée en testant l’effet Zone0, qui regroupe les effets Zone et Dispositif.</w:t>
      </w:r>
    </w:p>
    <w:p w:rsidR="00B57966" w:rsidRDefault="00B57966" w:rsidP="00436E3D">
      <w:r>
        <w:t xml:space="preserve">Après simplification par LRT (et vérifications par </w:t>
      </w:r>
      <w:proofErr w:type="spellStart"/>
      <w:r>
        <w:t>AICc</w:t>
      </w:r>
      <w:proofErr w:type="spellEnd"/>
      <w:r>
        <w:t>), le modèle sélectionné est le suivant :</w:t>
      </w:r>
    </w:p>
    <w:p w:rsidR="00B57966" w:rsidRPr="00B57966" w:rsidRDefault="00B57966" w:rsidP="0012024F">
      <w:pPr>
        <w:jc w:val="center"/>
        <w:rPr>
          <w:i/>
        </w:rPr>
      </w:pPr>
      <w:proofErr w:type="spellStart"/>
      <w:r w:rsidRPr="00B57966">
        <w:rPr>
          <w:i/>
        </w:rPr>
        <w:t>Vcot</w:t>
      </w:r>
      <w:proofErr w:type="spellEnd"/>
      <w:r w:rsidRPr="00B57966">
        <w:rPr>
          <w:i/>
        </w:rPr>
        <w:t xml:space="preserve">  ~ Block + Zone0 + (1|Genotype) + (1|Plant) + (1|IDBox) + (1|IDPod)</w:t>
      </w:r>
    </w:p>
    <w:tbl>
      <w:tblPr>
        <w:tblStyle w:val="Grilledutableau"/>
        <w:tblW w:w="9296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985"/>
        <w:gridCol w:w="1135"/>
        <w:gridCol w:w="1439"/>
        <w:gridCol w:w="1130"/>
        <w:gridCol w:w="1173"/>
        <w:gridCol w:w="1166"/>
        <w:gridCol w:w="1161"/>
      </w:tblGrid>
      <w:tr w:rsidR="0012024F" w:rsidTr="0012024F">
        <w:trPr>
          <w:jc w:val="center"/>
        </w:trPr>
        <w:tc>
          <w:tcPr>
            <w:tcW w:w="1107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BB630A">
              <w:rPr>
                <w:rFonts w:ascii="Arial" w:hAnsi="Arial" w:cs="Arial"/>
                <w:b/>
                <w:sz w:val="20"/>
              </w:rPr>
              <w:t>Effet</w:t>
            </w:r>
          </w:p>
        </w:tc>
        <w:tc>
          <w:tcPr>
            <w:tcW w:w="985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BB630A">
              <w:rPr>
                <w:rFonts w:ascii="Arial" w:hAnsi="Arial" w:cs="Arial"/>
                <w:b/>
                <w:sz w:val="20"/>
              </w:rPr>
              <w:t>Block</w:t>
            </w:r>
          </w:p>
        </w:tc>
        <w:tc>
          <w:tcPr>
            <w:tcW w:w="1135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BB630A">
              <w:rPr>
                <w:rFonts w:ascii="Arial" w:hAnsi="Arial" w:cs="Arial"/>
                <w:b/>
                <w:sz w:val="20"/>
              </w:rPr>
              <w:t>Zone0</w:t>
            </w:r>
          </w:p>
        </w:tc>
        <w:tc>
          <w:tcPr>
            <w:tcW w:w="1439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BB630A">
              <w:rPr>
                <w:rFonts w:ascii="Arial" w:hAnsi="Arial" w:cs="Arial"/>
                <w:b/>
                <w:sz w:val="20"/>
              </w:rPr>
              <w:t>(1|Genotype)</w:t>
            </w:r>
          </w:p>
        </w:tc>
        <w:tc>
          <w:tcPr>
            <w:tcW w:w="1130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BB630A">
              <w:rPr>
                <w:rFonts w:ascii="Arial" w:hAnsi="Arial" w:cs="Arial"/>
                <w:b/>
                <w:sz w:val="20"/>
              </w:rPr>
              <w:t>(1|Plant)</w:t>
            </w:r>
          </w:p>
        </w:tc>
        <w:tc>
          <w:tcPr>
            <w:tcW w:w="1173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BB630A">
              <w:rPr>
                <w:rFonts w:ascii="Arial" w:hAnsi="Arial" w:cs="Arial"/>
                <w:b/>
                <w:sz w:val="20"/>
              </w:rPr>
              <w:t>(1|IDBox)</w:t>
            </w:r>
          </w:p>
        </w:tc>
        <w:tc>
          <w:tcPr>
            <w:tcW w:w="1166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BB630A">
              <w:rPr>
                <w:rFonts w:ascii="Arial" w:hAnsi="Arial" w:cs="Arial"/>
                <w:b/>
                <w:sz w:val="20"/>
              </w:rPr>
              <w:t>(1|IDPod)</w:t>
            </w:r>
          </w:p>
        </w:tc>
        <w:tc>
          <w:tcPr>
            <w:tcW w:w="1161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BB630A">
              <w:rPr>
                <w:rFonts w:ascii="Arial" w:hAnsi="Arial" w:cs="Arial"/>
                <w:b/>
                <w:sz w:val="20"/>
              </w:rPr>
              <w:t>Residuals</w:t>
            </w:r>
            <w:proofErr w:type="spellEnd"/>
          </w:p>
        </w:tc>
      </w:tr>
      <w:tr w:rsidR="0012024F" w:rsidTr="0012024F">
        <w:trPr>
          <w:jc w:val="center"/>
        </w:trPr>
        <w:tc>
          <w:tcPr>
            <w:tcW w:w="1107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B630A">
              <w:rPr>
                <w:rFonts w:ascii="Arial" w:hAnsi="Arial" w:cs="Arial"/>
                <w:sz w:val="20"/>
              </w:rPr>
              <w:t>p-valeur</w:t>
            </w:r>
          </w:p>
        </w:tc>
        <w:tc>
          <w:tcPr>
            <w:tcW w:w="985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BB630A">
              <w:rPr>
                <w:rFonts w:ascii="Arial" w:hAnsi="Arial" w:cs="Arial"/>
                <w:sz w:val="18"/>
              </w:rPr>
              <w:t>2.2x10</w:t>
            </w:r>
            <w:r w:rsidRPr="00BB630A">
              <w:rPr>
                <w:rFonts w:ascii="Arial" w:hAnsi="Arial" w:cs="Arial"/>
                <w:sz w:val="18"/>
                <w:vertAlign w:val="superscript"/>
              </w:rPr>
              <w:t>-16</w:t>
            </w:r>
          </w:p>
        </w:tc>
        <w:tc>
          <w:tcPr>
            <w:tcW w:w="1135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BB630A">
              <w:rPr>
                <w:rFonts w:ascii="Arial" w:hAnsi="Arial" w:cs="Arial"/>
                <w:sz w:val="18"/>
              </w:rPr>
              <w:t>5.162x10</w:t>
            </w:r>
            <w:r w:rsidRPr="00BB630A">
              <w:rPr>
                <w:rFonts w:ascii="Arial" w:hAnsi="Arial" w:cs="Arial"/>
                <w:sz w:val="18"/>
                <w:vertAlign w:val="superscript"/>
              </w:rPr>
              <w:t>-10</w:t>
            </w:r>
          </w:p>
        </w:tc>
        <w:tc>
          <w:tcPr>
            <w:tcW w:w="1439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BB630A">
              <w:rPr>
                <w:rFonts w:ascii="Arial" w:hAnsi="Arial" w:cs="Arial"/>
                <w:sz w:val="18"/>
              </w:rPr>
              <w:t>5.399x10</w:t>
            </w:r>
            <w:r w:rsidRPr="00BB630A">
              <w:rPr>
                <w:rFonts w:ascii="Arial" w:hAnsi="Arial" w:cs="Arial"/>
                <w:sz w:val="18"/>
                <w:vertAlign w:val="superscript"/>
              </w:rPr>
              <w:t>-5</w:t>
            </w:r>
          </w:p>
        </w:tc>
        <w:tc>
          <w:tcPr>
            <w:tcW w:w="1130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BB630A">
              <w:rPr>
                <w:rFonts w:ascii="Arial" w:hAnsi="Arial" w:cs="Arial"/>
                <w:sz w:val="18"/>
              </w:rPr>
              <w:t>8.047x10</w:t>
            </w:r>
            <w:r w:rsidRPr="00BB630A">
              <w:rPr>
                <w:rFonts w:ascii="Arial" w:hAnsi="Arial" w:cs="Arial"/>
                <w:sz w:val="18"/>
                <w:vertAlign w:val="superscript"/>
              </w:rPr>
              <w:t>-8</w:t>
            </w:r>
          </w:p>
        </w:tc>
        <w:tc>
          <w:tcPr>
            <w:tcW w:w="1173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BB630A">
              <w:rPr>
                <w:rFonts w:ascii="Arial" w:hAnsi="Arial" w:cs="Arial"/>
                <w:sz w:val="18"/>
              </w:rPr>
              <w:t>3.462x10</w:t>
            </w:r>
            <w:r w:rsidRPr="00BB630A">
              <w:rPr>
                <w:rFonts w:ascii="Arial" w:hAnsi="Arial" w:cs="Arial"/>
                <w:sz w:val="18"/>
                <w:vertAlign w:val="superscript"/>
              </w:rPr>
              <w:t>-9</w:t>
            </w:r>
          </w:p>
        </w:tc>
        <w:tc>
          <w:tcPr>
            <w:tcW w:w="1166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BB630A">
              <w:rPr>
                <w:rFonts w:ascii="Arial" w:hAnsi="Arial" w:cs="Arial"/>
                <w:sz w:val="18"/>
              </w:rPr>
              <w:t>9.989x10</w:t>
            </w:r>
            <w:r w:rsidRPr="00BB630A">
              <w:rPr>
                <w:rFonts w:ascii="Arial" w:hAnsi="Arial" w:cs="Arial"/>
                <w:sz w:val="18"/>
                <w:vertAlign w:val="superscript"/>
              </w:rPr>
              <w:t>-8</w:t>
            </w:r>
          </w:p>
        </w:tc>
        <w:tc>
          <w:tcPr>
            <w:tcW w:w="1161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2024F" w:rsidTr="0012024F">
        <w:trPr>
          <w:jc w:val="center"/>
        </w:trPr>
        <w:tc>
          <w:tcPr>
            <w:tcW w:w="1107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B630A">
              <w:rPr>
                <w:rFonts w:ascii="Arial" w:hAnsi="Arial" w:cs="Arial"/>
                <w:sz w:val="20"/>
              </w:rPr>
              <w:t>Variance</w:t>
            </w:r>
          </w:p>
        </w:tc>
        <w:tc>
          <w:tcPr>
            <w:tcW w:w="985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35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39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0.08976</w:t>
            </w:r>
          </w:p>
        </w:tc>
        <w:tc>
          <w:tcPr>
            <w:tcW w:w="1130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0.07594</w:t>
            </w:r>
          </w:p>
        </w:tc>
        <w:tc>
          <w:tcPr>
            <w:tcW w:w="1173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0.16397</w:t>
            </w:r>
          </w:p>
        </w:tc>
        <w:tc>
          <w:tcPr>
            <w:tcW w:w="1166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0.19537</w:t>
            </w:r>
          </w:p>
        </w:tc>
        <w:tc>
          <w:tcPr>
            <w:tcW w:w="1161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1.23342</w:t>
            </w:r>
          </w:p>
        </w:tc>
      </w:tr>
      <w:tr w:rsidR="0012024F" w:rsidTr="0012024F">
        <w:trPr>
          <w:jc w:val="center"/>
        </w:trPr>
        <w:tc>
          <w:tcPr>
            <w:tcW w:w="1107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B630A">
              <w:rPr>
                <w:rFonts w:ascii="Arial" w:hAnsi="Arial" w:cs="Arial"/>
                <w:sz w:val="20"/>
              </w:rPr>
              <w:t>% variance</w:t>
            </w:r>
          </w:p>
        </w:tc>
        <w:tc>
          <w:tcPr>
            <w:tcW w:w="985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35" w:type="dxa"/>
            <w:vAlign w:val="center"/>
          </w:tcPr>
          <w:p w:rsidR="00BB630A" w:rsidRPr="00BB630A" w:rsidRDefault="00BB630A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39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5.10</w:t>
            </w:r>
          </w:p>
        </w:tc>
        <w:tc>
          <w:tcPr>
            <w:tcW w:w="1130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4.32</w:t>
            </w:r>
          </w:p>
        </w:tc>
        <w:tc>
          <w:tcPr>
            <w:tcW w:w="1173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9.32</w:t>
            </w:r>
          </w:p>
        </w:tc>
        <w:tc>
          <w:tcPr>
            <w:tcW w:w="1166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11.11</w:t>
            </w:r>
          </w:p>
        </w:tc>
        <w:tc>
          <w:tcPr>
            <w:tcW w:w="1161" w:type="dxa"/>
            <w:vAlign w:val="center"/>
          </w:tcPr>
          <w:p w:rsidR="00BB630A" w:rsidRPr="00BB630A" w:rsidRDefault="00F16F41" w:rsidP="0012024F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70.14</w:t>
            </w:r>
          </w:p>
        </w:tc>
      </w:tr>
    </w:tbl>
    <w:p w:rsidR="00B57966" w:rsidRDefault="00C061B6" w:rsidP="00C061B6">
      <w:pPr>
        <w:spacing w:before="120"/>
      </w:pPr>
      <w:r>
        <w:t>La moyenne de vitesse d’émergence des cotylédons pour les graines du Block 1 et de l’</w:t>
      </w:r>
      <w:proofErr w:type="spellStart"/>
      <w:r w:rsidR="00F16F41">
        <w:t>interpop</w:t>
      </w:r>
      <w:proofErr w:type="spellEnd"/>
      <w:r w:rsidR="00F16F41">
        <w:t xml:space="preserve"> (zone 0) est de 4.81</w:t>
      </w:r>
      <w:r>
        <w:t xml:space="preserve"> jours. Pour la même zone mais dans le </w:t>
      </w:r>
      <w:proofErr w:type="spellStart"/>
      <w:r>
        <w:t>block</w:t>
      </w:r>
      <w:proofErr w:type="spellEnd"/>
      <w:r>
        <w:t xml:space="preserve"> 2,</w:t>
      </w:r>
      <w:r w:rsidR="00F16F41">
        <w:t xml:space="preserve"> cette vitesse augmente de 0.867 et de 0.224</w:t>
      </w:r>
      <w:r>
        <w:t xml:space="preserve"> jour</w:t>
      </w:r>
      <w:r w:rsidR="00F16F41">
        <w:t>s</w:t>
      </w:r>
      <w:r>
        <w:t xml:space="preserve"> dans le </w:t>
      </w:r>
      <w:proofErr w:type="spellStart"/>
      <w:r>
        <w:t>block</w:t>
      </w:r>
      <w:proofErr w:type="spellEnd"/>
      <w:r>
        <w:t xml:space="preserve"> 3. Pour le même block mais dans la zone 3, la durée moyenne avant l’émergence des cotylédons déployés augmente de 1.22</w:t>
      </w:r>
      <w:r w:rsidR="00F16F41">
        <w:t>3</w:t>
      </w:r>
      <w:r>
        <w:t xml:space="preserve"> jours, de 0.33</w:t>
      </w:r>
      <w:r w:rsidR="00F16F41">
        <w:t>7</w:t>
      </w:r>
      <w:r>
        <w:t xml:space="preserve"> dans la zone 8 et de 0.96</w:t>
      </w:r>
      <w:r w:rsidR="00F16F41">
        <w:t>6</w:t>
      </w:r>
      <w:r>
        <w:t xml:space="preserve"> dans la zone 12.</w:t>
      </w:r>
    </w:p>
    <w:p w:rsidR="005E63A9" w:rsidRPr="005E63A9" w:rsidRDefault="005E63A9" w:rsidP="00436E3D">
      <w:pPr>
        <w:rPr>
          <w:b/>
        </w:rPr>
      </w:pPr>
      <w:r>
        <w:rPr>
          <w:b/>
        </w:rPr>
        <w:t>Nombre de graines par gousse</w:t>
      </w:r>
      <w:r w:rsidRPr="005E63A9">
        <w:rPr>
          <w:b/>
        </w:rPr>
        <w:t> :</w:t>
      </w:r>
    </w:p>
    <w:p w:rsidR="005E63A9" w:rsidRDefault="00EE6124" w:rsidP="00436E3D">
      <w:r>
        <w:t xml:space="preserve">Il y a un effet Zone marginalement significatif au sein des graines issues du dispositif </w:t>
      </w:r>
      <w:proofErr w:type="spellStart"/>
      <w:r>
        <w:t>Intrapop</w:t>
      </w:r>
      <w:proofErr w:type="spellEnd"/>
      <w:r>
        <w:t xml:space="preserve"> (p-val = 0.0677)</w:t>
      </w:r>
    </w:p>
    <w:p w:rsidR="00C170F8" w:rsidRDefault="00C170F8" w:rsidP="00436E3D">
      <w:r>
        <w:t xml:space="preserve">On teste les effets Zone0, interaction Zone0 – </w:t>
      </w:r>
      <w:proofErr w:type="spellStart"/>
      <w:r>
        <w:t>Genotype</w:t>
      </w:r>
      <w:proofErr w:type="spellEnd"/>
      <w:r>
        <w:t xml:space="preserve">, </w:t>
      </w:r>
      <w:proofErr w:type="spellStart"/>
      <w:r>
        <w:t>Quadrat</w:t>
      </w:r>
      <w:proofErr w:type="spellEnd"/>
      <w:r>
        <w:t xml:space="preserve">. Le modèle conservé est le suivant : </w:t>
      </w:r>
      <w:proofErr w:type="spellStart"/>
      <w:r w:rsidRPr="00C170F8">
        <w:rPr>
          <w:i/>
        </w:rPr>
        <w:t>Nbseed</w:t>
      </w:r>
      <w:proofErr w:type="spellEnd"/>
      <w:r w:rsidRPr="00C170F8">
        <w:rPr>
          <w:i/>
        </w:rPr>
        <w:t xml:space="preserve"> ~ Zone0 + (1|Genotype) + (1|Quadrat)</w:t>
      </w:r>
    </w:p>
    <w:p w:rsidR="00C170F8" w:rsidRPr="00E73319" w:rsidRDefault="00E73319" w:rsidP="00E73319">
      <w:pPr>
        <w:keepNext/>
        <w:keepLines/>
        <w:rPr>
          <w:b/>
        </w:rPr>
      </w:pPr>
      <w:r w:rsidRPr="00E73319">
        <w:rPr>
          <w:b/>
        </w:rPr>
        <w:t>Viabilité des graines :</w:t>
      </w:r>
    </w:p>
    <w:p w:rsidR="00442BBC" w:rsidRDefault="00442BBC" w:rsidP="00E73319">
      <w:pPr>
        <w:keepNext/>
        <w:keepLines/>
      </w:pPr>
      <w:r>
        <w:t xml:space="preserve">Simplification d’un modèle général où l’on regarde l’effet des différents paramètres sur la variance de la viabilité, puis on ajoute des </w:t>
      </w:r>
      <w:proofErr w:type="spellStart"/>
      <w:r>
        <w:t>covariables</w:t>
      </w:r>
      <w:proofErr w:type="spellEnd"/>
      <w:r>
        <w:t xml:space="preserve"> à ce modèle simplifié :</w:t>
      </w:r>
    </w:p>
    <w:p w:rsidR="00442BBC" w:rsidRDefault="00442BBC" w:rsidP="00442BBC">
      <w:pPr>
        <w:pStyle w:val="Paragraphedeliste"/>
        <w:keepNext/>
        <w:keepLines/>
        <w:numPr>
          <w:ilvl w:val="0"/>
          <w:numId w:val="1"/>
        </w:numPr>
      </w:pPr>
      <w:proofErr w:type="spellStart"/>
      <w:r>
        <w:t>NbTotalPods</w:t>
      </w:r>
      <w:proofErr w:type="spellEnd"/>
      <w:r>
        <w:t> : est-ce qu’il y a un compromis entre le nombre de gousses portées par la plante mère et la viabilité des graines qu’elle produit ?</w:t>
      </w:r>
    </w:p>
    <w:p w:rsidR="00442BBC" w:rsidRDefault="00442BBC" w:rsidP="00442BBC">
      <w:pPr>
        <w:pStyle w:val="Paragraphedeliste"/>
        <w:keepNext/>
        <w:keepLines/>
        <w:numPr>
          <w:ilvl w:val="0"/>
          <w:numId w:val="1"/>
        </w:numPr>
      </w:pPr>
      <w:proofErr w:type="spellStart"/>
      <w:r>
        <w:t>DateFlo</w:t>
      </w:r>
      <w:proofErr w:type="spellEnd"/>
      <w:r>
        <w:t> : est-ce qu’il y a une relation linéaire entre la viabilité des graines et la date de floraison de la plante mère ?</w:t>
      </w:r>
    </w:p>
    <w:p w:rsidR="00FE1B17" w:rsidRDefault="00FE1B17" w:rsidP="00E73319">
      <w:pPr>
        <w:keepNext/>
        <w:keepLines/>
      </w:pPr>
      <w:r>
        <w:t>Test des fonctions de lien </w:t>
      </w:r>
      <w:r w:rsidR="0041547C">
        <w:t xml:space="preserve">par AIC : </w:t>
      </w:r>
      <w:proofErr w:type="spellStart"/>
      <w:r w:rsidR="0041547C">
        <w:t>cauchit</w:t>
      </w:r>
      <w:proofErr w:type="spellEnd"/>
      <w:r w:rsidR="0041547C">
        <w:t xml:space="preserve"> est mieux adaptée que </w:t>
      </w:r>
      <w:proofErr w:type="spellStart"/>
      <w:r w:rsidR="0041547C">
        <w:t>logit</w:t>
      </w:r>
      <w:proofErr w:type="spellEnd"/>
      <w:r w:rsidR="0041547C">
        <w:t xml:space="preserve">, donc simplification du modèle avec </w:t>
      </w:r>
      <w:proofErr w:type="spellStart"/>
      <w:r w:rsidR="0041547C">
        <w:t>cauchit</w:t>
      </w:r>
      <w:proofErr w:type="spellEnd"/>
      <w:r w:rsidR="0041547C">
        <w:t>.</w:t>
      </w:r>
    </w:p>
    <w:p w:rsidR="00E73319" w:rsidRDefault="00E73319" w:rsidP="00E73319">
      <w:pPr>
        <w:keepNext/>
        <w:keepLines/>
      </w:pPr>
      <w:r>
        <w:t xml:space="preserve">On n’observe pas d’effet Zone au sein du dispositif </w:t>
      </w:r>
      <w:proofErr w:type="spellStart"/>
      <w:r>
        <w:t>Intrapop</w:t>
      </w:r>
      <w:proofErr w:type="spellEnd"/>
      <w:r>
        <w:t xml:space="preserve">. Effets testés : Block, </w:t>
      </w:r>
      <w:proofErr w:type="spellStart"/>
      <w:r>
        <w:t>Dipositif</w:t>
      </w:r>
      <w:proofErr w:type="spellEnd"/>
      <w:r>
        <w:t xml:space="preserve">, Zone0, </w:t>
      </w:r>
      <w:proofErr w:type="spellStart"/>
      <w:r>
        <w:t>IDBox</w:t>
      </w:r>
      <w:proofErr w:type="spellEnd"/>
      <w:r>
        <w:t xml:space="preserve">, </w:t>
      </w:r>
      <w:proofErr w:type="spellStart"/>
      <w:r>
        <w:t>IDPod</w:t>
      </w:r>
      <w:proofErr w:type="spellEnd"/>
      <w:r>
        <w:t xml:space="preserve">, Plant, </w:t>
      </w:r>
      <w:proofErr w:type="spellStart"/>
      <w:r>
        <w:t>Quadrat</w:t>
      </w:r>
      <w:proofErr w:type="spellEnd"/>
      <w:r>
        <w:t>, Génotype (et interaction Dispositif – Génotype), Plateau, Block : Plateau.</w:t>
      </w:r>
    </w:p>
    <w:p w:rsidR="00E73319" w:rsidRDefault="00E73319" w:rsidP="00E73319">
      <w:pPr>
        <w:keepNext/>
        <w:keepLines/>
      </w:pPr>
      <w:r>
        <w:t xml:space="preserve">Le modèle conservé est le suivant : </w:t>
      </w:r>
      <w:r w:rsidRPr="00E73319">
        <w:rPr>
          <w:i/>
        </w:rPr>
        <w:t>Viabilité ~ (1|IDBox) + (1|IDPod) + (1|Plant) + (1|Block:Plate)</w:t>
      </w:r>
    </w:p>
    <w:tbl>
      <w:tblPr>
        <w:tblStyle w:val="Grilledutableau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275"/>
        <w:gridCol w:w="1843"/>
      </w:tblGrid>
      <w:tr w:rsidR="00F75B7C" w:rsidTr="006F6A26">
        <w:trPr>
          <w:jc w:val="center"/>
        </w:trPr>
        <w:tc>
          <w:tcPr>
            <w:tcW w:w="1384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1B17">
              <w:rPr>
                <w:rFonts w:ascii="Arial" w:hAnsi="Arial" w:cs="Arial"/>
                <w:b/>
                <w:sz w:val="20"/>
                <w:szCs w:val="20"/>
              </w:rPr>
              <w:t>Effet</w:t>
            </w:r>
          </w:p>
        </w:tc>
        <w:tc>
          <w:tcPr>
            <w:tcW w:w="1276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1B17">
              <w:rPr>
                <w:rFonts w:ascii="Arial" w:hAnsi="Arial" w:cs="Arial"/>
                <w:b/>
                <w:sz w:val="20"/>
                <w:szCs w:val="20"/>
              </w:rPr>
              <w:t>Boîte</w:t>
            </w:r>
          </w:p>
        </w:tc>
        <w:tc>
          <w:tcPr>
            <w:tcW w:w="1276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1B17">
              <w:rPr>
                <w:rFonts w:ascii="Arial" w:hAnsi="Arial" w:cs="Arial"/>
                <w:b/>
                <w:sz w:val="20"/>
                <w:szCs w:val="20"/>
              </w:rPr>
              <w:t>Gousse</w:t>
            </w:r>
          </w:p>
        </w:tc>
        <w:tc>
          <w:tcPr>
            <w:tcW w:w="1275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1B17">
              <w:rPr>
                <w:rFonts w:ascii="Arial" w:hAnsi="Arial" w:cs="Arial"/>
                <w:b/>
                <w:sz w:val="20"/>
                <w:szCs w:val="20"/>
              </w:rPr>
              <w:t>Plante</w:t>
            </w:r>
          </w:p>
        </w:tc>
        <w:tc>
          <w:tcPr>
            <w:tcW w:w="1843" w:type="dxa"/>
            <w:vAlign w:val="center"/>
          </w:tcPr>
          <w:p w:rsidR="00F75B7C" w:rsidRPr="00FE1B17" w:rsidRDefault="00FF2D6C" w:rsidP="00FF2D6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E1B17">
              <w:rPr>
                <w:rFonts w:ascii="Arial" w:hAnsi="Arial" w:cs="Arial"/>
                <w:b/>
                <w:sz w:val="20"/>
                <w:szCs w:val="20"/>
              </w:rPr>
              <w:t>Block:Plateau</w:t>
            </w:r>
            <w:proofErr w:type="spellEnd"/>
          </w:p>
        </w:tc>
      </w:tr>
      <w:tr w:rsidR="00F75B7C" w:rsidTr="006F6A26">
        <w:trPr>
          <w:jc w:val="center"/>
        </w:trPr>
        <w:tc>
          <w:tcPr>
            <w:tcW w:w="1384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1B17">
              <w:rPr>
                <w:rFonts w:ascii="Arial" w:hAnsi="Arial" w:cs="Arial"/>
                <w:sz w:val="20"/>
                <w:szCs w:val="20"/>
              </w:rPr>
              <w:t>p-valeur</w:t>
            </w:r>
          </w:p>
        </w:tc>
        <w:tc>
          <w:tcPr>
            <w:tcW w:w="1276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1B17">
              <w:rPr>
                <w:rFonts w:ascii="Arial" w:hAnsi="Arial" w:cs="Arial"/>
                <w:sz w:val="18"/>
                <w:szCs w:val="20"/>
              </w:rPr>
              <w:t>0.01423</w:t>
            </w:r>
          </w:p>
        </w:tc>
        <w:tc>
          <w:tcPr>
            <w:tcW w:w="1276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1B17">
              <w:rPr>
                <w:rFonts w:ascii="Arial" w:hAnsi="Arial" w:cs="Arial"/>
                <w:sz w:val="18"/>
                <w:szCs w:val="20"/>
              </w:rPr>
              <w:t>6.37x10</w:t>
            </w:r>
            <w:r w:rsidRPr="00FE1B17">
              <w:rPr>
                <w:rFonts w:ascii="Arial" w:hAnsi="Arial" w:cs="Arial"/>
                <w:sz w:val="18"/>
                <w:szCs w:val="20"/>
                <w:vertAlign w:val="superscript"/>
              </w:rPr>
              <w:t>-11</w:t>
            </w:r>
          </w:p>
        </w:tc>
        <w:tc>
          <w:tcPr>
            <w:tcW w:w="1275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1B17">
              <w:rPr>
                <w:rFonts w:ascii="Arial" w:hAnsi="Arial" w:cs="Arial"/>
                <w:sz w:val="18"/>
                <w:szCs w:val="20"/>
              </w:rPr>
              <w:t>2.2x10</w:t>
            </w:r>
            <w:r w:rsidRPr="00FE1B17">
              <w:rPr>
                <w:rFonts w:ascii="Arial" w:hAnsi="Arial" w:cs="Arial"/>
                <w:sz w:val="18"/>
                <w:szCs w:val="20"/>
                <w:vertAlign w:val="superscript"/>
              </w:rPr>
              <w:t>-16</w:t>
            </w:r>
          </w:p>
        </w:tc>
        <w:tc>
          <w:tcPr>
            <w:tcW w:w="1843" w:type="dxa"/>
            <w:vAlign w:val="center"/>
          </w:tcPr>
          <w:p w:rsidR="00F75B7C" w:rsidRPr="00FE1B17" w:rsidRDefault="00FF2D6C" w:rsidP="00FF2D6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1B17">
              <w:rPr>
                <w:rFonts w:ascii="Arial" w:hAnsi="Arial" w:cs="Arial"/>
                <w:sz w:val="18"/>
                <w:szCs w:val="20"/>
              </w:rPr>
              <w:t>6.58x10</w:t>
            </w:r>
            <w:r w:rsidRPr="00FE1B17">
              <w:rPr>
                <w:rFonts w:ascii="Arial" w:hAnsi="Arial" w:cs="Arial"/>
                <w:sz w:val="18"/>
                <w:szCs w:val="20"/>
                <w:vertAlign w:val="superscript"/>
              </w:rPr>
              <w:t>-11</w:t>
            </w:r>
          </w:p>
        </w:tc>
      </w:tr>
      <w:tr w:rsidR="00F75B7C" w:rsidTr="006F6A26">
        <w:trPr>
          <w:jc w:val="center"/>
        </w:trPr>
        <w:tc>
          <w:tcPr>
            <w:tcW w:w="1384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1B17">
              <w:rPr>
                <w:rFonts w:ascii="Arial" w:hAnsi="Arial" w:cs="Arial"/>
                <w:sz w:val="20"/>
                <w:szCs w:val="20"/>
              </w:rPr>
              <w:t>Variance</w:t>
            </w:r>
          </w:p>
        </w:tc>
        <w:tc>
          <w:tcPr>
            <w:tcW w:w="1276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1B17">
              <w:rPr>
                <w:rFonts w:ascii="Arial" w:hAnsi="Arial" w:cs="Arial"/>
                <w:sz w:val="18"/>
                <w:szCs w:val="20"/>
              </w:rPr>
              <w:t>0.2912</w:t>
            </w:r>
          </w:p>
        </w:tc>
        <w:tc>
          <w:tcPr>
            <w:tcW w:w="1276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1B17">
              <w:rPr>
                <w:rFonts w:ascii="Arial" w:hAnsi="Arial" w:cs="Arial"/>
                <w:sz w:val="18"/>
                <w:szCs w:val="20"/>
              </w:rPr>
              <w:t>0.9749</w:t>
            </w:r>
          </w:p>
        </w:tc>
        <w:tc>
          <w:tcPr>
            <w:tcW w:w="1275" w:type="dxa"/>
            <w:vAlign w:val="center"/>
          </w:tcPr>
          <w:p w:rsidR="00F75B7C" w:rsidRPr="00FE1B17" w:rsidRDefault="00F75B7C" w:rsidP="00FF2D6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1B17">
              <w:rPr>
                <w:rFonts w:ascii="Arial" w:hAnsi="Arial" w:cs="Arial"/>
                <w:sz w:val="18"/>
                <w:szCs w:val="20"/>
              </w:rPr>
              <w:t>0.7432</w:t>
            </w:r>
          </w:p>
        </w:tc>
        <w:tc>
          <w:tcPr>
            <w:tcW w:w="1843" w:type="dxa"/>
            <w:vAlign w:val="center"/>
          </w:tcPr>
          <w:p w:rsidR="00F75B7C" w:rsidRPr="00FE1B17" w:rsidRDefault="00FF2D6C" w:rsidP="00FF2D6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1B17">
              <w:rPr>
                <w:rFonts w:ascii="Arial" w:hAnsi="Arial" w:cs="Arial"/>
                <w:sz w:val="18"/>
                <w:szCs w:val="20"/>
              </w:rPr>
              <w:t>0.2962</w:t>
            </w:r>
          </w:p>
        </w:tc>
      </w:tr>
    </w:tbl>
    <w:p w:rsidR="00E73319" w:rsidRPr="003559F6" w:rsidRDefault="00E73319" w:rsidP="00436E3D"/>
    <w:sectPr w:rsidR="00E73319" w:rsidRPr="00355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E5FB9"/>
    <w:multiLevelType w:val="hybridMultilevel"/>
    <w:tmpl w:val="E1724E8E"/>
    <w:lvl w:ilvl="0" w:tplc="41ACB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9578A"/>
    <w:multiLevelType w:val="hybridMultilevel"/>
    <w:tmpl w:val="B46644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F6"/>
    <w:rsid w:val="000F18F0"/>
    <w:rsid w:val="0012024F"/>
    <w:rsid w:val="002B3C49"/>
    <w:rsid w:val="003559F6"/>
    <w:rsid w:val="003C0996"/>
    <w:rsid w:val="003C2A7B"/>
    <w:rsid w:val="003E3726"/>
    <w:rsid w:val="003E7130"/>
    <w:rsid w:val="003F2740"/>
    <w:rsid w:val="0041547C"/>
    <w:rsid w:val="0042510A"/>
    <w:rsid w:val="00436E3D"/>
    <w:rsid w:val="00442BBC"/>
    <w:rsid w:val="0048620A"/>
    <w:rsid w:val="005E2866"/>
    <w:rsid w:val="005E63A9"/>
    <w:rsid w:val="006E799B"/>
    <w:rsid w:val="006F6A26"/>
    <w:rsid w:val="007E728C"/>
    <w:rsid w:val="00821E3E"/>
    <w:rsid w:val="00AC349D"/>
    <w:rsid w:val="00AC4599"/>
    <w:rsid w:val="00AD6CE6"/>
    <w:rsid w:val="00B02B96"/>
    <w:rsid w:val="00B57966"/>
    <w:rsid w:val="00B902D5"/>
    <w:rsid w:val="00BB630A"/>
    <w:rsid w:val="00C061B6"/>
    <w:rsid w:val="00C170F8"/>
    <w:rsid w:val="00C51F96"/>
    <w:rsid w:val="00C718DA"/>
    <w:rsid w:val="00CE1323"/>
    <w:rsid w:val="00D27FEB"/>
    <w:rsid w:val="00E61A8A"/>
    <w:rsid w:val="00E73319"/>
    <w:rsid w:val="00EE6124"/>
    <w:rsid w:val="00F16F41"/>
    <w:rsid w:val="00F75B7C"/>
    <w:rsid w:val="00FE1B17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96"/>
    <w:pPr>
      <w:spacing w:after="120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02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2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59F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59F6"/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02B96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02B9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559F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96"/>
    <w:pPr>
      <w:spacing w:after="120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02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2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59F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59F6"/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02B96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02B9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559F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Margaux JULLIEN</dc:creator>
  <cp:lastModifiedBy>Margaux JULLIEN</cp:lastModifiedBy>
  <cp:revision>10</cp:revision>
  <dcterms:created xsi:type="dcterms:W3CDTF">2016-08-05T07:49:00Z</dcterms:created>
  <dcterms:modified xsi:type="dcterms:W3CDTF">2016-09-01T13:44:00Z</dcterms:modified>
</cp:coreProperties>
</file>