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-4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and Finalize the 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12th September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10:00 A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e090z9piguv3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Review the diagrams in terms of rules and regulations.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Match all the diagrams with the requirements and scenarios.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Modification and updates schedule.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Review the final diagrams in terms of the ideation decided by the team when one by one each member presented their diagrams.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Along with this, we checked the list of project requirements and functionalities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Incorporated or noted down the changes wherever required.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Also, we discussed the dataflow diagram from level 0, level 1, and level 2 to get clarity.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then started with listing down entities and their relationship as a base for ER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298g5xh0ss9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iflczc7ku9vk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were a few changes required in the diagrams thus we decided to rework the same for 1-2 days and complete the diagrams with the given suggestions and clarifications in this meeting.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/>
      </w:pPr>
      <w:bookmarkStart w:colFirst="0" w:colLast="0" w:name="_s7ty1zsmg82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>
          <w:rFonts w:ascii="Calibri" w:cs="Calibri" w:eastAsia="Calibri" w:hAnsi="Calibri"/>
          <w:b w:val="1"/>
        </w:rPr>
      </w:pPr>
      <w:bookmarkStart w:colFirst="0" w:colLast="0" w:name="_y50iee19aszm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 WEEK’S AGENDA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Screen Design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Data Flow Diagram review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