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-9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Development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17th October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10:00 A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vubrkex3v9i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assigned website pages.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Check whether they meet all the defined requirements or not.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Review in terms of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Started with the demonstration of the Login page, then the dashboard view, then the managing project part, and also the design - CSS part was inculcated in the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Everyone noted suggestions, and reviews while demonstrating and we discussed the same thereafter.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team collectively decided to start developing the admin pages and divided the same.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Features for next meeting.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User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task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t5ooxopb2wzy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iflczc7ku9vk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Developed basic pages like login, dashboard, profile, and project view.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Divided development work for the admin side of the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s7ty1zsmg820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Review the website pages.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Check whether they meet all the defined requirements or not.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Review in terms of user experience.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