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Segoe UI" w:hAnsi="Segoe UI"/>
          <w:b/>
          <w:color w:val="0F172A"/>
          <w:sz w:val="44"/>
        </w:rPr>
        <w:t>DOMAIN-AGNOSTIC AIOPS PLATFORM</w:t>
      </w:r>
    </w:p>
    <w:p>
      <w:pPr>
        <w:spacing w:after="280"/>
      </w:pPr>
      <w:r>
        <w:rPr>
          <w:rFonts w:ascii="Segoe UI" w:hAnsi="Segoe UI"/>
          <w:color w:val="64748B"/>
          <w:sz w:val="24"/>
        </w:rPr>
        <w:t>SaaS vs. PaaS Architectural Classification &amp; Pre-Live Production Documentation Master Guide</w:t>
      </w:r>
    </w:p>
    <w:tbl>
      <w:tblPr>
        <w:tblW w:type="auto" w:w="0"/>
        <w:tblLook w:firstColumn="1" w:firstRow="1" w:lastColumn="0" w:lastRow="0" w:noHBand="0" w:noVBand="1" w:val="04A0"/>
      </w:tblPr>
      <w:tblGrid>
        <w:gridCol w:w="10080"/>
      </w:tblGrid>
      <w:tr>
        <w:tc>
          <w:tcPr>
            <w:tcW w:type="dxa" w:w="10080"/>
            <w:tcW w:type="dxa" w:w="9360"/>
            <w:shd w:fill="F0FDFA"/>
            <w:tcMar>
              <w:top w:w="160" w:type="dxa"/>
              <w:bottom w:w="160" w:type="dxa"/>
              <w:left w:w="200" w:type="dxa"/>
              <w:right w:w="200" w:type="dxa"/>
            </w:tcMar>
            <w:tcBorders>
              <w:top w:val="none"/>
              <w:left w:val="single" w:sz="36" w:space="0" w:color="0D9488"/>
              <w:bottom w:val="none"/>
              <w:right w:val="none"/>
            </w:tcBorders>
          </w:tcPr>
          <w:p>
            <w:r/>
          </w:p>
          <w:p>
            <w:pPr>
              <w:spacing w:before="60" w:after="60" w:line="276" w:lineRule="auto"/>
            </w:pPr>
            <w:r>
              <w:rPr>
                <w:rFonts w:ascii="Segoe UI" w:hAnsi="Segoe UI"/>
                <w:b/>
                <w:color w:val="0F766E"/>
                <w:sz w:val="23"/>
              </w:rPr>
              <w:t xml:space="preserve">📌 </w:t>
            </w:r>
            <w:r>
              <w:rPr>
                <w:rFonts w:ascii="Segoe UI" w:hAnsi="Segoe UI"/>
                <w:color w:val="1E293B"/>
                <w:sz w:val="19"/>
              </w:rPr>
              <w:t>DOCUMENT METADATA &amp; REPOSITORY TAXONOMY</w:t>
            </w:r>
          </w:p>
          <w:p>
            <w:pPr>
              <w:spacing w:before="60" w:after="60" w:line="276" w:lineRule="auto"/>
            </w:pPr>
            <w:r>
              <w:rPr>
                <w:rFonts w:ascii="Segoe UI" w:hAnsi="Segoe UI"/>
                <w:b/>
                <w:color w:val="1E3A8A"/>
                <w:sz w:val="20"/>
              </w:rPr>
              <w:t>Project Name:</w:t>
            </w:r>
            <w:r>
              <w:rPr>
                <w:rFonts w:ascii="Segoe UI" w:hAnsi="Segoe UI"/>
                <w:color w:val="1E293B"/>
                <w:sz w:val="19"/>
              </w:rPr>
              <w:t xml:space="preserve"> Domain-Agnostic Autonomous SRE &amp; AIOps Platform</w:t>
            </w:r>
          </w:p>
          <w:p>
            <w:pPr>
              <w:spacing w:before="60" w:after="60" w:line="276" w:lineRule="auto"/>
            </w:pPr>
            <w:r>
              <w:rPr>
                <w:rFonts w:ascii="Segoe UI" w:hAnsi="Segoe UI"/>
                <w:b/>
                <w:color w:val="1E3A8A"/>
                <w:sz w:val="20"/>
              </w:rPr>
              <w:t>Delivery Classification:</w:t>
            </w:r>
            <w:r>
              <w:rPr>
                <w:rFonts w:ascii="Segoe UI" w:hAnsi="Segoe UI"/>
                <w:color w:val="1E293B"/>
                <w:sz w:val="19"/>
              </w:rPr>
              <w:t xml:space="preserve"> SaaS (Software-as-a-Service) — AIOps Observability &amp; Automated Remediation</w:t>
            </w:r>
          </w:p>
          <w:p>
            <w:pPr>
              <w:spacing w:before="60" w:after="60" w:line="276" w:lineRule="auto"/>
            </w:pPr>
            <w:r>
              <w:rPr>
                <w:rFonts w:ascii="Segoe UI" w:hAnsi="Segoe UI"/>
                <w:b/>
                <w:color w:val="1E3A8A"/>
                <w:sz w:val="20"/>
              </w:rPr>
              <w:t>Industry Analogues:</w:t>
            </w:r>
            <w:r>
              <w:rPr>
                <w:rFonts w:ascii="Segoe UI" w:hAnsi="Segoe UI"/>
                <w:color w:val="1E293B"/>
                <w:sz w:val="19"/>
              </w:rPr>
              <w:t xml:space="preserve"> Datadog, Dynatrace, New Relic, PagerDuty, Splunk On-Call</w:t>
            </w:r>
          </w:p>
          <w:p>
            <w:pPr>
              <w:spacing w:before="60" w:after="60" w:line="276" w:lineRule="auto"/>
            </w:pPr>
            <w:r>
              <w:rPr>
                <w:rFonts w:ascii="Segoe UI" w:hAnsi="Segoe UI"/>
                <w:b/>
                <w:color w:val="1E3A8A"/>
                <w:sz w:val="20"/>
              </w:rPr>
              <w:t>Engineering Team:</w:t>
            </w:r>
            <w:r>
              <w:rPr>
                <w:rFonts w:ascii="Segoe UI" w:hAnsi="Segoe UI"/>
                <w:color w:val="1E293B"/>
                <w:sz w:val="19"/>
              </w:rPr>
              <w:t xml:space="preserve"> Taranay (Backend), Rudra (AI/RAG), Vivek (Frontend), Saurav (DevOps)</w:t>
            </w:r>
          </w:p>
          <w:p>
            <w:pPr>
              <w:spacing w:before="60" w:after="60" w:line="276" w:lineRule="auto"/>
            </w:pPr>
            <w:r>
              <w:rPr>
                <w:rFonts w:ascii="Segoe UI" w:hAnsi="Segoe UI"/>
                <w:b/>
                <w:color w:val="1E3A8A"/>
                <w:sz w:val="20"/>
              </w:rPr>
              <w:t>Repository Scope:</w:t>
            </w:r>
            <w:r>
              <w:rPr>
                <w:rFonts w:ascii="Segoe UI" w:hAnsi="Segoe UI"/>
                <w:color w:val="1E293B"/>
                <w:sz w:val="19"/>
              </w:rPr>
              <w:t xml:space="preserve"> packages/contracts, apps/api, apps/worker, apps/ai-worker, apps/web, infrastructure/</w:t>
            </w:r>
          </w:p>
        </w:tc>
      </w:tr>
    </w:tbl>
    <w:p>
      <w:pPr>
        <w:spacing w:before="240" w:after="120"/>
      </w:pPr>
      <w:r>
        <w:rPr>
          <w:rFonts w:ascii="Segoe UI" w:hAnsi="Segoe UI"/>
          <w:b/>
          <w:color w:val="0F172A"/>
          <w:sz w:val="32"/>
        </w:rPr>
        <w:t>1. Definitive Architectural Classification: Why Our Project Is SaaS</w:t>
      </w:r>
    </w:p>
    <w:p>
      <w:pPr>
        <w:spacing w:before="60" w:after="80" w:line="276" w:lineRule="auto"/>
      </w:pPr>
      <w:r>
        <w:rPr>
          <w:rFonts w:ascii="Segoe UI" w:hAnsi="Segoe UI"/>
          <w:color w:val="334155"/>
          <w:sz w:val="20"/>
        </w:rPr>
        <w:t>Under the National Institute of Standards and Technology (NIST SP 800-145) cloud computing reference model, our project is formally and unambiguously classified as Software-as-a-Service (SaaS). It provides a finished, turnkey web application for automated incident detection, RAG-grounded root-cause diagnosis, and human-governed remediation workflows.</w:t>
      </w:r>
    </w:p>
    <w:tbl>
      <w:tblPr>
        <w:tblW w:type="auto" w:w="0"/>
        <w:tblLook w:firstColumn="1" w:firstRow="1" w:lastColumn="0" w:lastRow="0" w:noHBand="0" w:noVBand="1" w:val="04A0"/>
      </w:tblPr>
      <w:tblGrid>
        <w:gridCol w:w="3360"/>
        <w:gridCol w:w="3360"/>
        <w:gridCol w:w="3360"/>
      </w:tblGrid>
      <w:tr>
        <w:tc>
          <w:tcPr>
            <w:tcW w:type="dxa" w:w="3360"/>
            <w:shd w:fill="1E3A8A"/>
          </w:tcPr>
          <w:p>
            <w:r>
              <w:rPr>
                <w:rFonts w:ascii="Segoe UI" w:hAnsi="Segoe UI"/>
                <w:b/>
                <w:color w:val="FFFFFF"/>
                <w:sz w:val="19"/>
              </w:rPr>
              <w:t>Evaluation Criteria</w:t>
            </w:r>
          </w:p>
        </w:tc>
        <w:tc>
          <w:tcPr>
            <w:tcW w:type="dxa" w:w="3360"/>
            <w:shd w:fill="1E3A8A"/>
          </w:tcPr>
          <w:p>
            <w:r>
              <w:rPr>
                <w:rFonts w:ascii="Segoe UI" w:hAnsi="Segoe UI"/>
                <w:b/>
                <w:color w:val="FFFFFF"/>
                <w:sz w:val="19"/>
              </w:rPr>
              <w:t>PaaS (Platform-as-a-Service)</w:t>
            </w:r>
          </w:p>
        </w:tc>
        <w:tc>
          <w:tcPr>
            <w:tcW w:type="dxa" w:w="3360"/>
            <w:shd w:fill="1E3A8A"/>
          </w:tcPr>
          <w:p>
            <w:r>
              <w:rPr>
                <w:rFonts w:ascii="Segoe UI" w:hAnsi="Segoe UI"/>
                <w:b/>
                <w:color w:val="FFFFFF"/>
                <w:sz w:val="19"/>
              </w:rPr>
              <w:t>Our Platform (SaaS)</w:t>
            </w:r>
          </w:p>
        </w:tc>
      </w:tr>
      <w:tr>
        <w:tc>
          <w:tcPr>
            <w:tcW w:type="dxa" w:w="3360"/>
            <w:shd w:fill="F8FAFC"/>
          </w:tcPr>
          <w:p>
            <w:pPr>
              <w:spacing w:before="40" w:after="40" w:line="264" w:lineRule="auto"/>
            </w:pPr>
            <w:r>
              <w:rPr>
                <w:rFonts w:ascii="Segoe UI" w:hAnsi="Segoe UI"/>
                <w:b/>
                <w:sz w:val="17"/>
              </w:rPr>
              <w:t>Core Value Proposition</w:t>
            </w:r>
          </w:p>
        </w:tc>
        <w:tc>
          <w:tcPr>
            <w:tcW w:type="dxa" w:w="3360"/>
            <w:shd w:fill="F8FAFC"/>
          </w:tcPr>
          <w:p>
            <w:pPr>
              <w:spacing w:before="40" w:after="40" w:line="264" w:lineRule="auto"/>
            </w:pPr>
            <w:r>
              <w:rPr>
                <w:rFonts w:ascii="Segoe UI" w:hAnsi="Segoe UI"/>
                <w:sz w:val="17"/>
              </w:rPr>
              <w:t>Application development, hosting, and runtime execution environment.</w:t>
            </w:r>
          </w:p>
        </w:tc>
        <w:tc>
          <w:tcPr>
            <w:tcW w:type="dxa" w:w="3360"/>
            <w:shd w:fill="F8FAFC"/>
          </w:tcPr>
          <w:p>
            <w:pPr>
              <w:spacing w:before="40" w:after="40" w:line="264" w:lineRule="auto"/>
            </w:pPr>
            <w:r>
              <w:rPr>
                <w:rFonts w:ascii="Segoe UI" w:hAnsi="Segoe UI"/>
                <w:sz w:val="17"/>
              </w:rPr>
              <w:t>Turnkey incident observability, automated RAG diagnosis, and one-click remediation.</w:t>
            </w:r>
          </w:p>
        </w:tc>
      </w:tr>
      <w:tr>
        <w:tc>
          <w:tcPr>
            <w:tcW w:type="dxa" w:w="3360"/>
            <w:shd w:fill="FFFFFF"/>
          </w:tcPr>
          <w:p>
            <w:pPr>
              <w:spacing w:before="40" w:after="40" w:line="264" w:lineRule="auto"/>
            </w:pPr>
            <w:r>
              <w:rPr>
                <w:rFonts w:ascii="Segoe UI" w:hAnsi="Segoe UI"/>
                <w:b/>
                <w:sz w:val="17"/>
              </w:rPr>
              <w:t>User Activity</w:t>
            </w:r>
          </w:p>
        </w:tc>
        <w:tc>
          <w:tcPr>
            <w:tcW w:type="dxa" w:w="3360"/>
            <w:shd w:fill="FFFFFF"/>
          </w:tcPr>
          <w:p>
            <w:pPr>
              <w:spacing w:before="40" w:after="40" w:line="264" w:lineRule="auto"/>
            </w:pPr>
            <w:r>
              <w:rPr>
                <w:rFonts w:ascii="Segoe UI" w:hAnsi="Segoe UI"/>
                <w:sz w:val="17"/>
              </w:rPr>
              <w:t>Developers upload code/repos, compile binaries, and configure buildpacks.</w:t>
            </w:r>
          </w:p>
        </w:tc>
        <w:tc>
          <w:tcPr>
            <w:tcW w:type="dxa" w:w="3360"/>
            <w:shd w:fill="FFFFFF"/>
          </w:tcPr>
          <w:p>
            <w:pPr>
              <w:spacing w:before="40" w:after="40" w:line="264" w:lineRule="auto"/>
            </w:pPr>
            <w:r>
              <w:rPr>
                <w:rFonts w:ascii="Segoe UI" w:hAnsi="Segoe UI"/>
                <w:sz w:val="17"/>
              </w:rPr>
              <w:t>SREs log in to triage live alerts, inspect evidence, and authorize healing commands.</w:t>
            </w:r>
          </w:p>
        </w:tc>
      </w:tr>
      <w:tr>
        <w:tc>
          <w:tcPr>
            <w:tcW w:type="dxa" w:w="3360"/>
            <w:shd w:fill="F8FAFC"/>
          </w:tcPr>
          <w:p>
            <w:pPr>
              <w:spacing w:before="40" w:after="40" w:line="264" w:lineRule="auto"/>
            </w:pPr>
            <w:r>
              <w:rPr>
                <w:rFonts w:ascii="Segoe UI" w:hAnsi="Segoe UI"/>
                <w:b/>
                <w:sz w:val="17"/>
              </w:rPr>
              <w:t>Customer Code Execution</w:t>
            </w:r>
          </w:p>
        </w:tc>
        <w:tc>
          <w:tcPr>
            <w:tcW w:type="dxa" w:w="3360"/>
            <w:shd w:fill="F8FAFC"/>
          </w:tcPr>
          <w:p>
            <w:pPr>
              <w:spacing w:before="40" w:after="40" w:line="264" w:lineRule="auto"/>
            </w:pPr>
            <w:r>
              <w:rPr>
                <w:rFonts w:ascii="Segoe UI" w:hAnsi="Segoe UI"/>
                <w:sz w:val="17"/>
              </w:rPr>
              <w:t>PaaS executes the customer's arbitrary source code (Django, Node.js).</w:t>
            </w:r>
          </w:p>
        </w:tc>
        <w:tc>
          <w:tcPr>
            <w:tcW w:type="dxa" w:w="3360"/>
            <w:shd w:fill="F8FAFC"/>
          </w:tcPr>
          <w:p>
            <w:pPr>
              <w:spacing w:before="40" w:after="40" w:line="264" w:lineRule="auto"/>
            </w:pPr>
            <w:r>
              <w:rPr>
                <w:rFonts w:ascii="Segoe UI" w:hAnsi="Segoe UI"/>
                <w:sz w:val="17"/>
              </w:rPr>
              <w:t>We NEVER execute or host customer application code; external apps run on their own cloud.</w:t>
            </w:r>
          </w:p>
        </w:tc>
      </w:tr>
      <w:tr>
        <w:tc>
          <w:tcPr>
            <w:tcW w:type="dxa" w:w="3360"/>
            <w:shd w:fill="FFFFFF"/>
          </w:tcPr>
          <w:p>
            <w:pPr>
              <w:spacing w:before="40" w:after="40" w:line="264" w:lineRule="auto"/>
            </w:pPr>
            <w:r>
              <w:rPr>
                <w:rFonts w:ascii="Segoe UI" w:hAnsi="Segoe UI"/>
                <w:b/>
                <w:sz w:val="17"/>
              </w:rPr>
              <w:t>Customer Responsibility</w:t>
            </w:r>
          </w:p>
        </w:tc>
        <w:tc>
          <w:tcPr>
            <w:tcW w:type="dxa" w:w="3360"/>
            <w:shd w:fill="FFFFFF"/>
          </w:tcPr>
          <w:p>
            <w:pPr>
              <w:spacing w:before="40" w:after="40" w:line="264" w:lineRule="auto"/>
            </w:pPr>
            <w:r>
              <w:rPr>
                <w:rFonts w:ascii="Segoe UI" w:hAnsi="Segoe UI"/>
                <w:sz w:val="17"/>
              </w:rPr>
              <w:t>Application design, database schemas, code vulnerabilities, and runtime.</w:t>
            </w:r>
          </w:p>
        </w:tc>
        <w:tc>
          <w:tcPr>
            <w:tcW w:type="dxa" w:w="3360"/>
            <w:shd w:fill="FFFFFF"/>
          </w:tcPr>
          <w:p>
            <w:pPr>
              <w:spacing w:before="40" w:after="40" w:line="264" w:lineRule="auto"/>
            </w:pPr>
            <w:r>
              <w:rPr>
                <w:rFonts w:ascii="Segoe UI" w:hAnsi="Segoe UI"/>
                <w:sz w:val="17"/>
              </w:rPr>
              <w:t>Webhook configuration, alert threshold tuning, and remediation approval sign-off.</w:t>
            </w:r>
          </w:p>
        </w:tc>
      </w:tr>
      <w:tr>
        <w:tc>
          <w:tcPr>
            <w:tcW w:type="dxa" w:w="3360"/>
            <w:shd w:fill="F8FAFC"/>
          </w:tcPr>
          <w:p>
            <w:pPr>
              <w:spacing w:before="40" w:after="40" w:line="264" w:lineRule="auto"/>
            </w:pPr>
            <w:r>
              <w:rPr>
                <w:rFonts w:ascii="Segoe UI" w:hAnsi="Segoe UI"/>
                <w:b/>
                <w:sz w:val="17"/>
              </w:rPr>
              <w:t>Commercial Equivalents</w:t>
            </w:r>
          </w:p>
        </w:tc>
        <w:tc>
          <w:tcPr>
            <w:tcW w:type="dxa" w:w="3360"/>
            <w:shd w:fill="F8FAFC"/>
          </w:tcPr>
          <w:p>
            <w:pPr>
              <w:spacing w:before="40" w:after="40" w:line="264" w:lineRule="auto"/>
            </w:pPr>
            <w:r>
              <w:rPr>
                <w:rFonts w:ascii="Segoe UI" w:hAnsi="Segoe UI"/>
                <w:sz w:val="17"/>
              </w:rPr>
              <w:t>AWS Elastic Beanstalk, Heroku, Google App Engine, Vercel, Render.</w:t>
            </w:r>
          </w:p>
        </w:tc>
        <w:tc>
          <w:tcPr>
            <w:tcW w:type="dxa" w:w="3360"/>
            <w:shd w:fill="F8FAFC"/>
          </w:tcPr>
          <w:p>
            <w:pPr>
              <w:spacing w:before="40" w:after="40" w:line="264" w:lineRule="auto"/>
            </w:pPr>
            <w:r>
              <w:rPr>
                <w:rFonts w:ascii="Segoe UI" w:hAnsi="Segoe UI"/>
                <w:sz w:val="17"/>
              </w:rPr>
              <w:t>Datadog, Dynatrace, New Relic, PagerDuty, ServiceNow, Jira Service Management.</w:t>
            </w:r>
          </w:p>
        </w:tc>
      </w:tr>
    </w:tbl>
    <w:p>
      <w:pPr>
        <w:spacing w:before="240" w:after="120"/>
      </w:pPr>
      <w:r>
        <w:rPr>
          <w:rFonts w:ascii="Segoe UI" w:hAnsi="Segoe UI"/>
          <w:b/>
          <w:color w:val="1E3A8A"/>
          <w:sz w:val="26"/>
        </w:rPr>
        <w:t>Technical Proofs Grounded in Our Codebase</w:t>
      </w:r>
    </w:p>
    <w:p>
      <w:pPr>
        <w:spacing w:before="60" w:after="80" w:line="276" w:lineRule="auto"/>
      </w:pPr>
      <w:r>
        <w:rPr>
          <w:rFonts w:ascii="Segoe UI" w:hAnsi="Segoe UI"/>
          <w:b/>
          <w:color w:val="0F172A"/>
          <w:sz w:val="20"/>
        </w:rPr>
        <w:t xml:space="preserve">Proof 1: </w:t>
      </w:r>
      <w:r>
        <w:rPr>
          <w:rFonts w:ascii="Segoe UI" w:hAnsi="Segoe UI"/>
          <w:color w:val="334155"/>
          <w:sz w:val="20"/>
        </w:rPr>
        <w:t>1. We Do Not Host or Execute Client Source Code: In a PaaS (e.g., Heroku), the customer's primary deliverable is their application code. In our platform, the customer's application runs on their own independent cloud (AWS, Azure, bare-metal). Our system exclusively ingests HTTP POST telemetry signals (metrics, logs, traces) sent to apps/api/src/routers/events.py.</w:t>
      </w:r>
    </w:p>
    <w:p>
      <w:pPr>
        <w:spacing w:before="60" w:after="80" w:line="276" w:lineRule="auto"/>
      </w:pPr>
      <w:r>
        <w:rPr>
          <w:rFonts w:ascii="Segoe UI" w:hAnsi="Segoe UI"/>
          <w:b/>
          <w:color w:val="0F172A"/>
          <w:sz w:val="20"/>
        </w:rPr>
        <w:t xml:space="preserve">Proof 2: </w:t>
      </w:r>
      <w:r>
        <w:rPr>
          <w:rFonts w:ascii="Segoe UI" w:hAnsi="Segoe UI"/>
          <w:color w:val="334155"/>
          <w:sz w:val="20"/>
        </w:rPr>
        <w:t>2. We Deliver Ready-Made Operational Software Workflows: SREs log into our Next.js Developer Cockpit (apps/web) to consume pre-built diagnostic capabilities: real-time incident triage, vector runbook retrieval (apps/ai-worker/src/runbook_store.py), LangChain root-cause diagnosis, and human governance gates. They do not write code inside our platform.</w:t>
      </w:r>
    </w:p>
    <w:p>
      <w:pPr>
        <w:spacing w:before="60" w:after="80" w:line="276" w:lineRule="auto"/>
      </w:pPr>
      <w:r>
        <w:rPr>
          <w:rFonts w:ascii="Segoe UI" w:hAnsi="Segoe UI"/>
          <w:b/>
          <w:color w:val="0F172A"/>
          <w:sz w:val="20"/>
        </w:rPr>
        <w:t xml:space="preserve">Proof 3: </w:t>
      </w:r>
      <w:r>
        <w:rPr>
          <w:rFonts w:ascii="Segoe UI" w:hAnsi="Segoe UI"/>
          <w:color w:val="334155"/>
          <w:sz w:val="20"/>
        </w:rPr>
        <w:t>3. Multi-Tenant Decoupling &amp; Role Separation: Our architecture provides two strictly isolated portals: (A) Client SRE Cockpit for external engineers to manage their own clusters, and (B) Platform Owner Admin Console for Saurav and the core team to monitor overall tenant usage and API keys without seeing client private code.</w:t>
      </w:r>
    </w:p>
    <w:p>
      <w:pPr>
        <w:spacing w:before="240" w:after="120"/>
      </w:pPr>
      <w:r>
        <w:rPr>
          <w:rFonts w:ascii="Segoe UI" w:hAnsi="Segoe UI"/>
          <w:b/>
          <w:color w:val="0F172A"/>
          <w:sz w:val="32"/>
        </w:rPr>
        <w:t>2. Pre-Live SaaS Documentation Suite (What Documents Are Required?)</w:t>
      </w:r>
    </w:p>
    <w:p>
      <w:pPr>
        <w:spacing w:before="60" w:after="80" w:line="276" w:lineRule="auto"/>
      </w:pPr>
      <w:r>
        <w:rPr>
          <w:rFonts w:ascii="Segoe UI" w:hAnsi="Segoe UI"/>
          <w:color w:val="334155"/>
          <w:sz w:val="20"/>
        </w:rPr>
        <w:t>Before taking an Enterprise B2B SaaS platform live into production, industry standards (SOC 2, ISO 27001, ITIL, SLA compliance) mandate a comprehensive suite of documentation across three distinct categories: Technical/Engineering, Security/Compliance, and Legal/Commercial.</w:t>
      </w:r>
    </w:p>
    <w:tbl>
      <w:tblPr>
        <w:tblW w:type="auto" w:w="0"/>
        <w:tblLook w:firstColumn="1" w:firstRow="1" w:lastColumn="0" w:lastRow="0" w:noHBand="0" w:noVBand="1" w:val="04A0"/>
      </w:tblPr>
      <w:tblGrid>
        <w:gridCol w:w="10080"/>
      </w:tblGrid>
      <w:tr>
        <w:tc>
          <w:tcPr>
            <w:tcW w:type="dxa" w:w="10080"/>
            <w:tcW w:type="dxa" w:w="9360"/>
            <w:shd w:fill="EEF2FF"/>
            <w:tcMar>
              <w:top w:w="160" w:type="dxa"/>
              <w:bottom w:w="160" w:type="dxa"/>
              <w:left w:w="200" w:type="dxa"/>
              <w:right w:w="200" w:type="dxa"/>
            </w:tcMar>
            <w:tcBorders>
              <w:top w:val="none"/>
              <w:left w:val="single" w:sz="36" w:space="0" w:color="4F46E5"/>
              <w:bottom w:val="none"/>
              <w:right w:val="none"/>
            </w:tcBorders>
          </w:tcPr>
          <w:p>
            <w:r/>
          </w:p>
          <w:p>
            <w:pPr>
              <w:spacing w:before="60" w:after="60" w:line="276" w:lineRule="auto"/>
            </w:pPr>
            <w:r>
              <w:rPr>
                <w:rFonts w:ascii="Segoe UI" w:hAnsi="Segoe UI"/>
                <w:b/>
                <w:color w:val="4F46E5"/>
                <w:sz w:val="23"/>
              </w:rPr>
              <w:t xml:space="preserve">📋 MASTER CHECKLIST: </w:t>
            </w:r>
            <w:r>
              <w:rPr>
                <w:rFonts w:ascii="Segoe UI" w:hAnsi="Segoe UI"/>
                <w:color w:val="1E293B"/>
                <w:sz w:val="19"/>
              </w:rPr>
              <w:t>THE 10 ESSENTIAL PRE-LIVE SAAS DOCUMENTS</w:t>
            </w:r>
          </w:p>
          <w:p>
            <w:pPr>
              <w:spacing w:before="60" w:after="60" w:line="276" w:lineRule="auto"/>
            </w:pPr>
            <w:r>
              <w:rPr>
                <w:rFonts w:ascii="Segoe UI" w:hAnsi="Segoe UI"/>
                <w:b/>
                <w:color w:val="1E3A8A"/>
                <w:sz w:val="20"/>
              </w:rPr>
              <w:t>CATEGORY A: TECHNICAL &amp; DEVELOPER DOCUMENTATION</w:t>
            </w:r>
            <w:r>
              <w:rPr>
                <w:rFonts w:ascii="Segoe UI" w:hAnsi="Segoe UI"/>
                <w:color w:val="1E293B"/>
                <w:sz w:val="19"/>
              </w:rPr>
              <w:br/>
              <w:t>1. API Reference &amp; Ingestion Specification (OpenAPI / Swagger):</w:t>
              <w:br/>
              <w:t xml:space="preserve">   • Purpose: Defines all HTTP endpoints (POST /api/v1/events, GET /api/v1/incidents), required headers (Authorization: Bearer &lt;API_KEY&gt;), Pydantic payload schemas, and response status codes (200, 422, 500).</w:t>
              <w:br/>
              <w:t xml:space="preserve">   • Why it's required: External developers need exact contract schemas to stream their logs and alerts into our platform.</w:t>
              <w:br/>
              <w:br/>
              <w:t>2. Quickstart &amp; Client Integration SDK Guide:</w:t>
              <w:br/>
              <w:t xml:space="preserve">   • Purpose: A 5-minute integration guide showing how any external app (Django, Express, Go, Flask) can connect to our AIOps platform in literally 3 lines of code using webhooks.</w:t>
              <w:br/>
              <w:t xml:space="preserve">   • Why it's required: Slashes onboarding friction for new client companies.</w:t>
              <w:br/>
              <w:br/>
              <w:t>3. Architecture Design Document (ADD) &amp; System Topology Guide:</w:t>
              <w:br/>
              <w:t xml:space="preserve">   • Purpose: Formal architectural blueprint showing microservice interaction (API, Redis, Celery Worker, AI-Worker, Web, PostgreSQL), C4 container diagrams, and zero-cost hosting topology.</w:t>
              <w:br/>
              <w:t xml:space="preserve">   • Why it's required: Evaluators, enterprise auditors, and new team members need to understand the platform's internal plumbing.</w:t>
              <w:br/>
              <w:br/>
              <w:t>4. Operational Runbooks &amp; Disaster Recovery (DR) Playbook:</w:t>
              <w:br/>
              <w:t xml:space="preserve">   • Purpose: Step-by-step procedures for managing the AIOps platform itself: database backup/restore, connection pool tuning, vector cache flushing, and container recovery.</w:t>
              <w:br/>
              <w:t xml:space="preserve">   • Why it's required: Ensures zero downtime for our own SaaS infrastructure if PostgreSQL or Redis crashes.</w:t>
            </w:r>
          </w:p>
          <w:p>
            <w:pPr>
              <w:spacing w:before="60" w:after="60" w:line="276" w:lineRule="auto"/>
            </w:pPr>
            <w:r>
              <w:rPr>
                <w:rFonts w:ascii="Segoe UI" w:hAnsi="Segoe UI"/>
                <w:b/>
                <w:color w:val="1E3A8A"/>
                <w:sz w:val="20"/>
              </w:rPr>
              <w:t>CATEGORY B: SECURITY, PRIVACY &amp; COMPLIANCE DOCUMENTATION</w:t>
            </w:r>
            <w:r>
              <w:rPr>
                <w:rFonts w:ascii="Segoe UI" w:hAnsi="Segoe UI"/>
                <w:color w:val="1E293B"/>
                <w:sz w:val="19"/>
              </w:rPr>
              <w:br/>
              <w:t>5. Data Privacy Policy &amp; Telemetry Scrubbing Standard:</w:t>
              <w:br/>
              <w:t xml:space="preserve">   • Purpose: Formally declares what data our platform ingests (operational health metrics: CPU, memory, connection pools) and what is strictly prohibited (PII, passwords, credit card numbers, order_id).</w:t>
              <w:br/>
              <w:t xml:space="preserve">   • Why it's required: Critical for B2B enterprise clients; without this, banks and healthcare companies will refuse to stream their logs due to compliance fears.</w:t>
              <w:br/>
              <w:br/>
              <w:t>6. Information Security Policy &amp; Data Governance Specification:</w:t>
              <w:br/>
              <w:t xml:space="preserve">   • Purpose: Documents encryption standards (TLS 1.3 in transit, AES-256 at rest), Role-Based Access Control (RBAC) rules, tenant data isolation, and API key hashing.</w:t>
              <w:br/>
              <w:t xml:space="preserve">   • Why it's required: Demonstrates compliance with SOC 2 Type II, ISO/IEC 27001, and GDPR Article 28 data processor obligations.</w:t>
              <w:br/>
              <w:br/>
              <w:t>7. Responsible AI &amp; Diagnostic Explainability Charter:</w:t>
              <w:br/>
              <w:t xml:space="preserve">   • Purpose: Discloses our AI safety architecture: bounding diagnostic confidence between 0.0 and 1.0, citing supporting evidence IDs, grounding inference in versioned runbooks to eliminate hallucinations, and enforcing human-in-the-loop governance for all remediation.</w:t>
              <w:br/>
              <w:t xml:space="preserve">   • Why it's required: Protects against AI liability and satisfies upcoming EU AI Act transparency requirements for autonomous software.</w:t>
            </w:r>
          </w:p>
          <w:p>
            <w:pPr>
              <w:spacing w:before="60" w:after="60" w:line="276" w:lineRule="auto"/>
            </w:pPr>
            <w:r>
              <w:rPr>
                <w:rFonts w:ascii="Segoe UI" w:hAnsi="Segoe UI"/>
                <w:b/>
                <w:color w:val="1E3A8A"/>
                <w:sz w:val="20"/>
              </w:rPr>
              <w:t>CATEGORY C: LEGAL, CUSTOMER &amp; COMMERCIAL DOCUMENTATION</w:t>
            </w:r>
            <w:r>
              <w:rPr>
                <w:rFonts w:ascii="Segoe UI" w:hAnsi="Segoe UI"/>
                <w:color w:val="1E293B"/>
                <w:sz w:val="19"/>
              </w:rPr>
              <w:br/>
              <w:t>8. Terms of Service (ToS) &amp; Master Services Agreement (MSA):</w:t>
              <w:br/>
              <w:t xml:space="preserve">   • Purpose: Legal agreement between the AIOps platform provider (Saurav/Core Team) and the client organization governing acceptable use, service limitations, liability caps, and intellectual property.</w:t>
              <w:br/>
              <w:t xml:space="preserve">   • Why it's required: Protects the platform vendor from liability if a client approves a remediation action that impacts their own services.</w:t>
              <w:br/>
              <w:br/>
              <w:t>9. Service Level Agreement (SLA) &amp; Uptime Commitment:</w:t>
              <w:br/>
              <w:t xml:space="preserve">   • Purpose: Defines guaranteed performance targets: 99.9% platform availability, sub-50ms ingestion latency, sub-2s AI diagnostic response time, and Mean Time to Resolution (MTTR) targets.</w:t>
              <w:br/>
              <w:t xml:space="preserve">   • Why it's required: Standard benchmark for enterprise B2B sales; defines support response tiers.</w:t>
              <w:br/>
              <w:br/>
              <w:t>10. End-User Product Guide &amp; SRE Incident Management Playbook:</w:t>
              <w:br/>
              <w:t xml:space="preserve">   • Purpose: Comprehensive operational manual teaching client DevOps engineers how to use the Developer Cockpit: interpreting 3D skeuomorphic telemetry cards, navigating topology grids, and authorizing remediation.</w:t>
              <w:br/>
              <w:t xml:space="preserve">   • Why it's required: Empowers SREs to resolve incidents under 90 seconds without specialized training.</w:t>
            </w:r>
          </w:p>
        </w:tc>
      </w:tr>
    </w:tbl>
    <w:p>
      <w:pPr>
        <w:spacing w:before="240" w:after="120"/>
      </w:pPr>
      <w:r>
        <w:rPr>
          <w:rFonts w:ascii="Segoe UI" w:hAnsi="Segoe UI"/>
          <w:b/>
          <w:color w:val="0F172A"/>
          <w:sz w:val="32"/>
        </w:rPr>
        <w:t>3. Evaluator Viva Defense Script (High-Scoring Q&amp;A)</w:t>
      </w:r>
    </w:p>
    <w:p>
      <w:pPr>
        <w:spacing w:before="60" w:after="80" w:line="276" w:lineRule="auto"/>
      </w:pPr>
      <w:r>
        <w:rPr>
          <w:rFonts w:ascii="Segoe UI" w:hAnsi="Segoe UI"/>
          <w:color w:val="334155"/>
          <w:sz w:val="20"/>
        </w:rPr>
        <w:t>Use these structured responses during your college project presentation or viva examination:</w:t>
      </w:r>
    </w:p>
    <w:p>
      <w:pPr>
        <w:spacing w:before="120" w:after="40"/>
      </w:pPr>
      <w:r>
        <w:rPr>
          <w:rFonts w:ascii="Segoe UI" w:hAnsi="Segoe UI"/>
          <w:b/>
          <w:color w:val="0F172A"/>
          <w:sz w:val="19"/>
        </w:rPr>
        <w:t>Q1: Is your project SaaS or PaaS? How do you justify that classification?</w:t>
        <w:br/>
      </w:r>
      <w:r>
        <w:rPr>
          <w:rFonts w:ascii="Segoe UI" w:hAnsi="Segoe UI"/>
          <w:color w:val="334155"/>
          <w:sz w:val="19"/>
        </w:rPr>
        <w:t>A: Our project is an Enterprise AIOps Observability SaaS (Software-as-a-Service) platform, directly comparable to commercial tools like Datadog and PagerDuty. It is classified as SaaS because we do not host or execute the customer's application code (which would be PaaS). Instead, client applications run on their own decoupled infrastructure and stream operational health telemetry to our ingestion gateway. SREs log into our web cockpit to consume pre-built diagnostic intelligence and authorize remediation workflows without managing servers or AI runtimes.</w:t>
      </w:r>
    </w:p>
    <w:p>
      <w:pPr>
        <w:spacing w:before="120" w:after="40"/>
      </w:pPr>
      <w:r>
        <w:rPr>
          <w:rFonts w:ascii="Segoe UI" w:hAnsi="Segoe UI"/>
          <w:b/>
          <w:color w:val="0F172A"/>
          <w:sz w:val="19"/>
        </w:rPr>
        <w:t>Q2: What documentation does a real B2B SaaS platform require before launching publicly?</w:t>
        <w:br/>
      </w:r>
      <w:r>
        <w:rPr>
          <w:rFonts w:ascii="Segoe UI" w:hAnsi="Segoe UI"/>
          <w:color w:val="334155"/>
          <w:sz w:val="19"/>
        </w:rPr>
        <w:t>A: A production-ready SaaS platform requires ten foundational documents categorized into three pillars: 1. Technical Documentation (API Reference, 3-line Quickstart Guide, Architecture Design Document, Operational Runbooks); 2. Security &amp; Compliance Documentation (Data Privacy &amp; Telemetry Scrubbing Policy, InfoSec Standards for encryption and RBAC, Responsible AI Charter for explainable inference); and 3. Commercial &amp; Legal Documentation (Terms of Service, Service Level Agreement for 99.9% uptime, and the SRE End-User Product Guide).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