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6928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Business Requirements</w:t>
      </w:r>
    </w:p>
    <w:p w14:paraId="48A2E4B8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BR-01 — Centralized Analytics</w:t>
      </w:r>
    </w:p>
    <w:p w14:paraId="2C2D41BC" w14:textId="5F6E83AB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 xml:space="preserve">The solution </w:t>
      </w:r>
      <w:r w:rsidRPr="00020095">
        <w:rPr>
          <w:rFonts w:ascii="Times New Roman" w:hAnsi="Times New Roman" w:cs="Times New Roman"/>
        </w:rPr>
        <w:t>should</w:t>
      </w:r>
      <w:r w:rsidRPr="00020095">
        <w:rPr>
          <w:rFonts w:ascii="Times New Roman" w:hAnsi="Times New Roman" w:cs="Times New Roman"/>
        </w:rPr>
        <w:t xml:space="preserve"> provide a centralized analytical environment for Medicaid-related provider, utilization, and financial data.</w:t>
      </w:r>
    </w:p>
    <w:p w14:paraId="5F3F896F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BR-02 — Provider Analysis</w:t>
      </w:r>
    </w:p>
    <w:p w14:paraId="238853BF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allow analysts to evaluate provider activity, utilization patterns, payment activity, and historical trends.</w:t>
      </w:r>
    </w:p>
    <w:p w14:paraId="400199DB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BR-03 — Financial Risk Monitoring</w:t>
      </w:r>
    </w:p>
    <w:p w14:paraId="18784DBD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provide visibility into expenditure, payment, and potential financial-risk patterns.</w:t>
      </w:r>
    </w:p>
    <w:p w14:paraId="5A4B03B5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BR-04 — Unusual Pattern Identification</w:t>
      </w:r>
    </w:p>
    <w:p w14:paraId="0ADA0B80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identify unusual utilization, payment, service-frequency, and financial patterns that may warrant additional human review.</w:t>
      </w:r>
    </w:p>
    <w:p w14:paraId="69F7F1AF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BR-05 — Risk Prioritization</w:t>
      </w:r>
    </w:p>
    <w:p w14:paraId="67FFABA6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provide analytical risk indicators that help analysts prioritize records for additional review.</w:t>
      </w:r>
    </w:p>
    <w:p w14:paraId="566900C8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BR-06 — Explainable Analytics</w:t>
      </w:r>
    </w:p>
    <w:p w14:paraId="154FCDB4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provide supporting indicators explaining why a provider or analytical record received an elevated risk indicator.</w:t>
      </w:r>
    </w:p>
    <w:p w14:paraId="31932C16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BR-07 — Management Reporting</w:t>
      </w:r>
    </w:p>
    <w:p w14:paraId="760F1C95" w14:textId="2B999F02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 xml:space="preserve">The solution </w:t>
      </w:r>
      <w:r w:rsidRPr="00020095">
        <w:rPr>
          <w:rFonts w:ascii="Times New Roman" w:hAnsi="Times New Roman" w:cs="Times New Roman"/>
        </w:rPr>
        <w:t>should</w:t>
      </w:r>
      <w:r w:rsidRPr="00020095">
        <w:rPr>
          <w:rFonts w:ascii="Times New Roman" w:hAnsi="Times New Roman" w:cs="Times New Roman"/>
        </w:rPr>
        <w:t xml:space="preserve"> provide an interactive reporting solution that enables stakeholders to monitor key utilization, financial, and risk indicators.</w:t>
      </w:r>
    </w:p>
    <w:p w14:paraId="3CC8831B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BR-08 — Data Quality</w:t>
      </w:r>
    </w:p>
    <w:p w14:paraId="735A69C3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include data-quality checks to identify missing, duplicate, inconsistent, or invalid data.</w:t>
      </w:r>
    </w:p>
    <w:p w14:paraId="6E985E90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BR-09 — Historical Analysis</w:t>
      </w:r>
    </w:p>
    <w:p w14:paraId="6670BCE9" w14:textId="5313FF10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 xml:space="preserve">The </w:t>
      </w:r>
      <w:r w:rsidRPr="00020095">
        <w:rPr>
          <w:rFonts w:ascii="Times New Roman" w:hAnsi="Times New Roman" w:cs="Times New Roman"/>
        </w:rPr>
        <w:t>solution</w:t>
      </w:r>
      <w:r w:rsidRPr="00020095">
        <w:rPr>
          <w:rFonts w:ascii="Times New Roman" w:hAnsi="Times New Roman" w:cs="Times New Roman"/>
        </w:rPr>
        <w:t xml:space="preserve"> </w:t>
      </w:r>
      <w:r w:rsidRPr="00020095">
        <w:rPr>
          <w:rFonts w:ascii="Times New Roman" w:hAnsi="Times New Roman" w:cs="Times New Roman"/>
        </w:rPr>
        <w:t>allows</w:t>
      </w:r>
      <w:r w:rsidRPr="00020095">
        <w:rPr>
          <w:rFonts w:ascii="Times New Roman" w:hAnsi="Times New Roman" w:cs="Times New Roman"/>
        </w:rPr>
        <w:t xml:space="preserve"> users to analyze historical patterns and changes over time.</w:t>
      </w:r>
    </w:p>
    <w:p w14:paraId="0E0C2791" w14:textId="77777777" w:rsidR="00020095" w:rsidRPr="00020095" w:rsidRDefault="00020095" w:rsidP="00020095">
      <w:pPr>
        <w:rPr>
          <w:rFonts w:ascii="Times New Roman" w:hAnsi="Times New Roman" w:cs="Times New Roman"/>
          <w:b/>
          <w:bCs/>
        </w:rPr>
      </w:pPr>
      <w:r w:rsidRPr="00020095">
        <w:rPr>
          <w:rFonts w:ascii="Times New Roman" w:hAnsi="Times New Roman" w:cs="Times New Roman"/>
          <w:b/>
          <w:bCs/>
        </w:rPr>
        <w:t>BR-10 — Human Oversight</w:t>
      </w:r>
    </w:p>
    <w:p w14:paraId="03568EE4" w14:textId="77777777" w:rsidR="00020095" w:rsidRPr="00020095" w:rsidRDefault="00020095" w:rsidP="00020095">
      <w:pPr>
        <w:rPr>
          <w:rFonts w:ascii="Times New Roman" w:hAnsi="Times New Roman" w:cs="Times New Roman"/>
        </w:rPr>
      </w:pPr>
      <w:r w:rsidRPr="00020095">
        <w:rPr>
          <w:rFonts w:ascii="Times New Roman" w:hAnsi="Times New Roman" w:cs="Times New Roman"/>
        </w:rPr>
        <w:t>The solution shall ensure that analytical risk indicators support human review and shall not automatically determine fraud, misconduct, or enforcement action.</w:t>
      </w:r>
    </w:p>
    <w:p w14:paraId="754DE921" w14:textId="77777777" w:rsidR="0074619B" w:rsidRPr="00020095" w:rsidRDefault="0074619B">
      <w:pPr>
        <w:rPr>
          <w:rFonts w:ascii="Times New Roman" w:hAnsi="Times New Roman" w:cs="Times New Roman"/>
        </w:rPr>
      </w:pPr>
    </w:p>
    <w:sectPr w:rsidR="0074619B" w:rsidRPr="0002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0AD"/>
    <w:rsid w:val="00020095"/>
    <w:rsid w:val="000523AB"/>
    <w:rsid w:val="00121388"/>
    <w:rsid w:val="00422570"/>
    <w:rsid w:val="0074619B"/>
    <w:rsid w:val="00943ABA"/>
    <w:rsid w:val="00C728EA"/>
    <w:rsid w:val="00F510AD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3BBCE-335F-48F8-AAFA-C0562359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2026-09-28T03:52:00Z</dcterms:created>
  <dcterms:modified xsi:type="dcterms:W3CDTF">2026-09-28T03:53:00Z</dcterms:modified>
</cp:coreProperties>
</file>