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B3F6" w14:textId="77777777" w:rsidR="00BB5D5C" w:rsidRPr="00BB5D5C" w:rsidRDefault="00BB5D5C" w:rsidP="00BB5D5C">
      <w:pPr>
        <w:rPr>
          <w:rFonts w:ascii="Times New Roman" w:hAnsi="Times New Roman" w:cs="Times New Roman"/>
          <w:b/>
          <w:bCs/>
        </w:rPr>
      </w:pPr>
      <w:r w:rsidRPr="00BB5D5C">
        <w:rPr>
          <w:rFonts w:ascii="Times New Roman" w:hAnsi="Times New Roman" w:cs="Times New Roman"/>
          <w:b/>
          <w:bCs/>
        </w:rPr>
        <w:t>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667"/>
        <w:gridCol w:w="2545"/>
        <w:gridCol w:w="2552"/>
      </w:tblGrid>
      <w:tr w:rsidR="00BB5D5C" w:rsidRPr="00BB5D5C" w14:paraId="2548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CEB0" w14:textId="77777777" w:rsidR="00BB5D5C" w:rsidRPr="00BB5D5C" w:rsidRDefault="00BB5D5C" w:rsidP="00BB5D5C">
            <w:pPr>
              <w:rPr>
                <w:rFonts w:ascii="Times New Roman" w:hAnsi="Times New Roman" w:cs="Times New Roman"/>
                <w:b/>
                <w:bCs/>
              </w:rPr>
            </w:pPr>
            <w:r w:rsidRPr="00BB5D5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022C79" w14:textId="77777777" w:rsidR="00BB5D5C" w:rsidRPr="00BB5D5C" w:rsidRDefault="00BB5D5C" w:rsidP="00BB5D5C">
            <w:pPr>
              <w:rPr>
                <w:rFonts w:ascii="Times New Roman" w:hAnsi="Times New Roman" w:cs="Times New Roman"/>
                <w:b/>
                <w:bCs/>
              </w:rPr>
            </w:pPr>
            <w:r w:rsidRPr="00BB5D5C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0710595" w14:textId="77777777" w:rsidR="00BB5D5C" w:rsidRPr="00BB5D5C" w:rsidRDefault="00BB5D5C" w:rsidP="00BB5D5C">
            <w:pPr>
              <w:rPr>
                <w:rFonts w:ascii="Times New Roman" w:hAnsi="Times New Roman" w:cs="Times New Roman"/>
                <w:b/>
                <w:bCs/>
              </w:rPr>
            </w:pPr>
            <w:r w:rsidRPr="00BB5D5C">
              <w:rPr>
                <w:rFonts w:ascii="Times New Roman" w:hAnsi="Times New Roman" w:cs="Times New Roman"/>
                <w:b/>
                <w:bCs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3AF006FC" w14:textId="77777777" w:rsidR="00BB5D5C" w:rsidRPr="00BB5D5C" w:rsidRDefault="00BB5D5C" w:rsidP="00BB5D5C">
            <w:pPr>
              <w:rPr>
                <w:rFonts w:ascii="Times New Roman" w:hAnsi="Times New Roman" w:cs="Times New Roman"/>
                <w:b/>
                <w:bCs/>
              </w:rPr>
            </w:pPr>
            <w:r w:rsidRPr="00BB5D5C">
              <w:rPr>
                <w:rFonts w:ascii="Times New Roman" w:hAnsi="Times New Roman" w:cs="Times New Roman"/>
                <w:b/>
                <w:bCs/>
              </w:rPr>
              <w:t>Gap / Improvement</w:t>
            </w:r>
          </w:p>
        </w:tc>
      </w:tr>
      <w:tr w:rsidR="00BB5D5C" w:rsidRPr="00BB5D5C" w14:paraId="74068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D7A2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E94FEB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Data may exist across multiple sources</w:t>
            </w:r>
          </w:p>
        </w:tc>
        <w:tc>
          <w:tcPr>
            <w:tcW w:w="0" w:type="auto"/>
            <w:vAlign w:val="center"/>
            <w:hideMark/>
          </w:tcPr>
          <w:p w14:paraId="34ABE421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Centralized analytical data in Snowflake</w:t>
            </w:r>
          </w:p>
        </w:tc>
        <w:tc>
          <w:tcPr>
            <w:tcW w:w="0" w:type="auto"/>
            <w:vAlign w:val="center"/>
            <w:hideMark/>
          </w:tcPr>
          <w:p w14:paraId="415BA645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Centralized data environment needed</w:t>
            </w:r>
          </w:p>
        </w:tc>
      </w:tr>
      <w:tr w:rsidR="00BB5D5C" w:rsidRPr="00BB5D5C" w14:paraId="5510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20ED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933EC40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Manual and spreadsheet-based analysis</w:t>
            </w:r>
          </w:p>
        </w:tc>
        <w:tc>
          <w:tcPr>
            <w:tcW w:w="0" w:type="auto"/>
            <w:vAlign w:val="center"/>
            <w:hideMark/>
          </w:tcPr>
          <w:p w14:paraId="57FB5061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SQL-based standardized analysis</w:t>
            </w:r>
          </w:p>
        </w:tc>
        <w:tc>
          <w:tcPr>
            <w:tcW w:w="0" w:type="auto"/>
            <w:vAlign w:val="center"/>
            <w:hideMark/>
          </w:tcPr>
          <w:p w14:paraId="5F478043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Reduce manual analytical effort</w:t>
            </w:r>
          </w:p>
        </w:tc>
      </w:tr>
      <w:tr w:rsidR="00BB5D5C" w:rsidRPr="00BB5D5C" w14:paraId="5EF5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7855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Provider Comparison</w:t>
            </w:r>
          </w:p>
        </w:tc>
        <w:tc>
          <w:tcPr>
            <w:tcW w:w="0" w:type="auto"/>
            <w:vAlign w:val="center"/>
            <w:hideMark/>
          </w:tcPr>
          <w:p w14:paraId="126D3EA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Limited or inconsistent peer comparison</w:t>
            </w:r>
          </w:p>
        </w:tc>
        <w:tc>
          <w:tcPr>
            <w:tcW w:w="0" w:type="auto"/>
            <w:vAlign w:val="center"/>
            <w:hideMark/>
          </w:tcPr>
          <w:p w14:paraId="040A5EF9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Standardized provider peer analysis</w:t>
            </w:r>
          </w:p>
        </w:tc>
        <w:tc>
          <w:tcPr>
            <w:tcW w:w="0" w:type="auto"/>
            <w:vAlign w:val="center"/>
            <w:hideMark/>
          </w:tcPr>
          <w:p w14:paraId="1CEA2E0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Establish consistent comparison methodology</w:t>
            </w:r>
          </w:p>
        </w:tc>
      </w:tr>
      <w:tr w:rsidR="00BB5D5C" w:rsidRPr="00BB5D5C" w14:paraId="6F63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AC84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Risk Identification</w:t>
            </w:r>
          </w:p>
        </w:tc>
        <w:tc>
          <w:tcPr>
            <w:tcW w:w="0" w:type="auto"/>
            <w:vAlign w:val="center"/>
            <w:hideMark/>
          </w:tcPr>
          <w:p w14:paraId="50E5006B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Analysts manually identify unusual patterns</w:t>
            </w:r>
          </w:p>
        </w:tc>
        <w:tc>
          <w:tcPr>
            <w:tcW w:w="0" w:type="auto"/>
            <w:vAlign w:val="center"/>
            <w:hideMark/>
          </w:tcPr>
          <w:p w14:paraId="7C4DF91C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AI-assisted anomaly detection</w:t>
            </w:r>
          </w:p>
        </w:tc>
        <w:tc>
          <w:tcPr>
            <w:tcW w:w="0" w:type="auto"/>
            <w:vAlign w:val="center"/>
            <w:hideMark/>
          </w:tcPr>
          <w:p w14:paraId="565AAB1F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Provide analytical indicators for prioritization</w:t>
            </w:r>
          </w:p>
        </w:tc>
      </w:tr>
      <w:tr w:rsidR="00BB5D5C" w:rsidRPr="00BB5D5C" w14:paraId="09FF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65A7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0039481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Limited visibility into why patterns appear unusual</w:t>
            </w:r>
          </w:p>
        </w:tc>
        <w:tc>
          <w:tcPr>
            <w:tcW w:w="0" w:type="auto"/>
            <w:vAlign w:val="center"/>
            <w:hideMark/>
          </w:tcPr>
          <w:p w14:paraId="0464F4BB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Explainable risk indicators</w:t>
            </w:r>
          </w:p>
        </w:tc>
        <w:tc>
          <w:tcPr>
            <w:tcW w:w="0" w:type="auto"/>
            <w:vAlign w:val="center"/>
            <w:hideMark/>
          </w:tcPr>
          <w:p w14:paraId="300D5192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Show supporting factors</w:t>
            </w:r>
          </w:p>
        </w:tc>
      </w:tr>
      <w:tr w:rsidR="00BB5D5C" w:rsidRPr="00BB5D5C" w14:paraId="75C4D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0E98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  <w:vAlign w:val="center"/>
            <w:hideMark/>
          </w:tcPr>
          <w:p w14:paraId="17DB969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Financial and utilization analysis may be separated</w:t>
            </w:r>
          </w:p>
        </w:tc>
        <w:tc>
          <w:tcPr>
            <w:tcW w:w="0" w:type="auto"/>
            <w:vAlign w:val="center"/>
            <w:hideMark/>
          </w:tcPr>
          <w:p w14:paraId="5E2DE41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Integrated financial-risk analysis</w:t>
            </w:r>
          </w:p>
        </w:tc>
        <w:tc>
          <w:tcPr>
            <w:tcW w:w="0" w:type="auto"/>
            <w:vAlign w:val="center"/>
            <w:hideMark/>
          </w:tcPr>
          <w:p w14:paraId="21953FFF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Connect utilization with financial patterns</w:t>
            </w:r>
          </w:p>
        </w:tc>
      </w:tr>
      <w:tr w:rsidR="00BB5D5C" w:rsidRPr="00BB5D5C" w14:paraId="185C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842C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46E478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Multiple reports or manual reporting</w:t>
            </w:r>
          </w:p>
        </w:tc>
        <w:tc>
          <w:tcPr>
            <w:tcW w:w="0" w:type="auto"/>
            <w:vAlign w:val="center"/>
            <w:hideMark/>
          </w:tcPr>
          <w:p w14:paraId="65BBD592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Interactive Power BI dashboard</w:t>
            </w:r>
          </w:p>
        </w:tc>
        <w:tc>
          <w:tcPr>
            <w:tcW w:w="0" w:type="auto"/>
            <w:vAlign w:val="center"/>
            <w:hideMark/>
          </w:tcPr>
          <w:p w14:paraId="71FD2AB6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Centralize management reporting</w:t>
            </w:r>
          </w:p>
        </w:tc>
      </w:tr>
      <w:tr w:rsidR="00BB5D5C" w:rsidRPr="00BB5D5C" w14:paraId="6E23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73E3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615F9724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Primarily analyst-driven</w:t>
            </w:r>
          </w:p>
        </w:tc>
        <w:tc>
          <w:tcPr>
            <w:tcW w:w="0" w:type="auto"/>
            <w:vAlign w:val="center"/>
            <w:hideMark/>
          </w:tcPr>
          <w:p w14:paraId="2B362B74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Analytical risk indicators support prioritization</w:t>
            </w:r>
          </w:p>
        </w:tc>
        <w:tc>
          <w:tcPr>
            <w:tcW w:w="0" w:type="auto"/>
            <w:vAlign w:val="center"/>
            <w:hideMark/>
          </w:tcPr>
          <w:p w14:paraId="582DBFC8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Improve consistency of review</w:t>
            </w:r>
          </w:p>
        </w:tc>
      </w:tr>
      <w:tr w:rsidR="00BB5D5C" w:rsidRPr="00BB5D5C" w14:paraId="52D2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A4A3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5D1E10C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Manual reconciliation</w:t>
            </w:r>
          </w:p>
        </w:tc>
        <w:tc>
          <w:tcPr>
            <w:tcW w:w="0" w:type="auto"/>
            <w:vAlign w:val="center"/>
            <w:hideMark/>
          </w:tcPr>
          <w:p w14:paraId="0FB36F6A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Structured data and analytical validation</w:t>
            </w:r>
          </w:p>
        </w:tc>
        <w:tc>
          <w:tcPr>
            <w:tcW w:w="0" w:type="auto"/>
            <w:vAlign w:val="center"/>
            <w:hideMark/>
          </w:tcPr>
          <w:p w14:paraId="71C5F844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Establish traceability across the solution</w:t>
            </w:r>
          </w:p>
        </w:tc>
      </w:tr>
      <w:tr w:rsidR="00BB5D5C" w:rsidRPr="00BB5D5C" w14:paraId="122A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E894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59951A1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Business judgment required throughout process</w:t>
            </w:r>
          </w:p>
        </w:tc>
        <w:tc>
          <w:tcPr>
            <w:tcW w:w="0" w:type="auto"/>
            <w:vAlign w:val="center"/>
            <w:hideMark/>
          </w:tcPr>
          <w:p w14:paraId="05DD5B7E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Human oversight and documented AI limitations</w:t>
            </w:r>
          </w:p>
        </w:tc>
        <w:tc>
          <w:tcPr>
            <w:tcW w:w="0" w:type="auto"/>
            <w:vAlign w:val="center"/>
            <w:hideMark/>
          </w:tcPr>
          <w:p w14:paraId="180BA7A0" w14:textId="77777777" w:rsidR="00BB5D5C" w:rsidRPr="00BB5D5C" w:rsidRDefault="00BB5D5C" w:rsidP="00BB5D5C">
            <w:pPr>
              <w:rPr>
                <w:rFonts w:ascii="Times New Roman" w:hAnsi="Times New Roman" w:cs="Times New Roman"/>
              </w:rPr>
            </w:pPr>
            <w:r w:rsidRPr="00BB5D5C">
              <w:rPr>
                <w:rFonts w:ascii="Times New Roman" w:hAnsi="Times New Roman" w:cs="Times New Roman"/>
              </w:rPr>
              <w:t>Maintain accountable human review</w:t>
            </w:r>
          </w:p>
        </w:tc>
      </w:tr>
    </w:tbl>
    <w:p w14:paraId="04AC703C" w14:textId="5158AA69" w:rsidR="0074619B" w:rsidRPr="00BB5D5C" w:rsidRDefault="0074619B">
      <w:pPr>
        <w:rPr>
          <w:rFonts w:ascii="Times New Roman" w:hAnsi="Times New Roman" w:cs="Times New Roman"/>
        </w:rPr>
      </w:pPr>
    </w:p>
    <w:sectPr w:rsidR="0074619B" w:rsidRPr="00BB5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4B9"/>
    <w:rsid w:val="000523AB"/>
    <w:rsid w:val="00121388"/>
    <w:rsid w:val="00422570"/>
    <w:rsid w:val="005934B9"/>
    <w:rsid w:val="0074619B"/>
    <w:rsid w:val="00943ABA"/>
    <w:rsid w:val="00995705"/>
    <w:rsid w:val="00BB5D5C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02D1"/>
  <w15:chartTrackingRefBased/>
  <w15:docId w15:val="{9CCA7160-0773-4483-BB70-943F5E72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2026-09-28T04:01:00Z</dcterms:created>
  <dcterms:modified xsi:type="dcterms:W3CDTF">2026-09-28T04:02:00Z</dcterms:modified>
</cp:coreProperties>
</file>